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Bdr>
          <w:top w:val="single" w:sz="2" w:space="1" w:color="D9D9E3"/>
          <w:left w:val="single" w:sz="2" w:space="1" w:color="D9D9E3"/>
          <w:bottom w:val="single" w:sz="2" w:space="1" w:color="D9D9E3"/>
          <w:right w:val="single" w:sz="2" w:space="1" w:color="D9D9E3"/>
        </w:pBdr>
        <w:bidi w:val="0"/>
        <w:jc w:val="left"/>
        <w:rPr/>
      </w:pPr>
      <w:r>
        <w:rPr>
          <w:rStyle w:val="Strong"/>
        </w:rPr>
        <w:t>PEREIRA Romain</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rPr>
        <w:t>BTS SIO 1B</w:t>
      </w:r>
    </w:p>
    <w:p>
      <w:pPr>
        <w:pStyle w:val="TextBody"/>
        <w:pBdr>
          <w:top w:val="single" w:sz="2" w:space="1" w:color="D9D9E3"/>
          <w:left w:val="single" w:sz="2" w:space="1" w:color="D9D9E3"/>
          <w:bottom w:val="single" w:sz="2" w:space="1" w:color="D9D9E3"/>
          <w:right w:val="single" w:sz="2" w:space="1" w:color="D9D9E3"/>
        </w:pBdr>
        <w:bidi w:val="0"/>
        <w:jc w:val="left"/>
        <w:rPr>
          <w:rStyle w:val="Strong"/>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center"/>
        <w:rPr/>
      </w:pPr>
      <w:r>
        <w:rPr>
          <w:rStyle w:val="Strong"/>
        </w:rPr>
        <w:t xml:space="preserve">Mission 10 </w:t>
      </w:r>
      <w:r>
        <w:rPr>
          <w:rStyle w:val="Strong"/>
        </w:rPr>
        <w:t>Suite</w:t>
      </w:r>
    </w:p>
    <w:p>
      <w:pPr>
        <w:pStyle w:val="TextBody"/>
        <w:pBdr>
          <w:top w:val="single" w:sz="2" w:space="1" w:color="D9D9E3"/>
          <w:left w:val="single" w:sz="2" w:space="1" w:color="D9D9E3"/>
          <w:bottom w:val="single" w:sz="2" w:space="1" w:color="D9D9E3"/>
          <w:right w:val="single" w:sz="2" w:space="1" w:color="D9D9E3"/>
        </w:pBdr>
        <w:bidi w:val="0"/>
        <w:jc w:val="left"/>
        <w:rPr>
          <w:rStyle w:val="Strong"/>
          <w:rFonts w:ascii="Montserrat;Arial;Verdana;Geneva;Helvetica;sans-serif" w:hAnsi="Montserrat;Arial;Verdana;Geneva;Helvetica;sans-serif"/>
          <w:b w:val="false"/>
          <w:b w:val="false"/>
          <w:i w:val="false"/>
          <w:i w:val="false"/>
          <w:caps w:val="false"/>
          <w:smallCaps w:val="false"/>
          <w:color w:val="000000"/>
          <w:spacing w:val="0"/>
          <w:sz w:val="15"/>
          <w:bdr w:val="single" w:sz="2" w:space="1" w:color="D9D9E3"/>
        </w:rPr>
      </w:pPr>
      <w:r>
        <w:rPr>
          <w:rFonts w:ascii="Montserrat;Arial;Verdana;Geneva;Helvetica;sans-serif" w:hAnsi="Montserrat;Arial;Verdana;Geneva;Helvetica;sans-serif"/>
          <w:b w:val="false"/>
          <w:i w:val="false"/>
          <w:caps w:val="false"/>
          <w:smallCaps w:val="false"/>
          <w:color w:val="000000"/>
          <w:spacing w:val="0"/>
          <w:sz w:val="15"/>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center"/>
        <w:rPr/>
      </w:pPr>
      <w:r>
        <w:rPr>
          <w:rStyle w:val="Strong"/>
          <w:i w:val="false"/>
          <w:iCs w:val="false"/>
          <w:u w:val="none"/>
        </w:rPr>
        <w:t>Compte rendu :</w:t>
      </w:r>
      <w:r>
        <w:rPr>
          <w:rStyle w:val="Strong"/>
        </w:rPr>
        <w:t xml:space="preserve"> </w:t>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rStyle w:val="Strong"/>
          <w:b w:val="false"/>
          <w:b w:val="false"/>
          <w:bCs w:val="false"/>
          <w:i w:val="false"/>
          <w:i w:val="false"/>
          <w:iCs w:val="false"/>
          <w:sz w:val="20"/>
          <w:szCs w:val="20"/>
          <w:u w:val="none"/>
        </w:rPr>
      </w:pPr>
      <w:r>
        <w:rPr/>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pPr>
      <w:r>
        <w:rPr>
          <w:rStyle w:val="Strong"/>
          <w:b w:val="false"/>
          <w:bCs w:val="false"/>
          <w:i w:val="false"/>
          <w:iCs w:val="false"/>
          <w:sz w:val="20"/>
          <w:szCs w:val="20"/>
          <w:u w:val="none"/>
        </w:rPr>
        <w:t>Le premier module, Panorama de la SSI, explore la réalité du cyberespace, un univers numérique hyper-connecté où la cybersécurité devient un enjeu majeur. Cette hyper-connectivité expose les systèmes à des risques élevés, soulignant la nécessité de protéger efficacement le cyberespace. La compréhension des différents acteurs de la cybersécurité, allant des organismes gouvernementaux aux individus, est cruciale pour développer une stratégie de sécurité adaptée. Les règles d'or de la sécurité, basées sur des principes tels que le hachage et l'utilisation de signatures numériques, sont présentées comme des fondamentaux pour sécuriser les informations. Ce module met en lumière l'importance de politiques de sécurité bien conçues, ainsi que la nécessité de sensibilisation à l'ingénierie sociale et au phishing.</w:t>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rStyle w:val="Strong"/>
          <w:b w:val="false"/>
          <w:b w:val="false"/>
          <w:bCs w:val="false"/>
          <w:i w:val="false"/>
          <w:i w:val="false"/>
          <w:iCs w:val="false"/>
          <w:sz w:val="20"/>
          <w:szCs w:val="20"/>
          <w:u w:val="none"/>
        </w:rPr>
      </w:pPr>
      <w:r>
        <w:rPr/>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pPr>
      <w:r>
        <w:rPr>
          <w:rStyle w:val="Strong"/>
          <w:b w:val="false"/>
          <w:bCs w:val="false"/>
          <w:i w:val="false"/>
          <w:iCs w:val="false"/>
          <w:sz w:val="20"/>
          <w:szCs w:val="20"/>
          <w:u w:val="none"/>
        </w:rPr>
        <w:t>Le second module, Sécurité de l’Authentification, se concentre sur l'un des aspects clés de la cybersécurité : l'authentification. Les principes de l'authentification sont explorés, mettant en avant l'importance de systèmes robustes comme l'authentification à deux facteurs (2FA) et l'utilisation de tokens d'authentification. La menace constante des attaques par brute force sur les mots de passe est examinée, soulignant l'importance de les sécuriser et de les gérer efficacement avec des gestionnaires de mots de passe. Une attention particulière est portée sur la cryptographie, notamment le chiffrement asymétrique et symétrique, essentiels pour la protection des données. Ce module aborde également les concepts avancés comme les attaques par déni de service (DoS) et de l'homme du milieu (MitM), ainsi que les failles Zero-Day, démontrant la complexité et l'évolution constante des menaces en cybersécurité.</w:t>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rStyle w:val="Strong"/>
          <w:b w:val="false"/>
          <w:b w:val="false"/>
          <w:bCs w:val="false"/>
          <w:i w:val="false"/>
          <w:i w:val="false"/>
          <w:iCs w:val="false"/>
          <w:sz w:val="20"/>
          <w:szCs w:val="20"/>
          <w:u w:val="none"/>
        </w:rPr>
      </w:pPr>
      <w:r>
        <w:rPr/>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rStyle w:val="Strong"/>
          <w:b w:val="false"/>
          <w:b w:val="false"/>
          <w:bCs w:val="false"/>
          <w:i w:val="false"/>
          <w:i w:val="false"/>
          <w:iCs w:val="false"/>
          <w:sz w:val="20"/>
          <w:szCs w:val="20"/>
          <w:u w:val="none"/>
        </w:rPr>
      </w:pPr>
      <w:r>
        <w:rPr>
          <w:rStyle w:val="Strong"/>
          <w:b w:val="false"/>
          <w:bCs w:val="false"/>
          <w:i w:val="false"/>
          <w:iCs w:val="false"/>
          <w:sz w:val="20"/>
          <w:szCs w:val="20"/>
          <w:u w:val="none"/>
        </w:rPr>
        <w:t>En conclusion, ces deux modules de la SecNumacadémie offrent une base solide pour comprendre les enjeux de la SSI. Ils mettent en évidence la nécessité d'une approche globale pour protéger les données et les systèmes dans le monde numérique d'aujourd'hui. La compréhension des différentes méthodes de cryptographie, des stratégies d'authentification, et des principes de sécurité informatique est cruciale pour tout professionnel évoluant dans le domaine de la technologie et de l'information.</w:t>
      </w:r>
    </w:p>
    <w:p>
      <w:pPr>
        <w:pStyle w:val="TextBody"/>
        <w:pBdr>
          <w:top w:val="single" w:sz="2" w:space="1" w:color="D9D9E3"/>
          <w:left w:val="single" w:sz="2" w:space="1" w:color="D9D9E3"/>
          <w:bottom w:val="single" w:sz="2" w:space="1" w:color="D9D9E3"/>
          <w:right w:val="single" w:sz="2" w:space="1" w:color="D9D9E3"/>
        </w:pBdr>
        <w:bidi w:val="0"/>
        <w:spacing w:lineRule="auto" w:line="276"/>
        <w:jc w:val="center"/>
        <w:rPr/>
      </w:pPr>
      <w:r>
        <w:rPr>
          <w:rStyle w:val="Strong"/>
          <w:b w:val="false"/>
          <w:bCs w:val="false"/>
          <w:sz w:val="20"/>
          <w:szCs w:val="2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2955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295525"/>
                    </a:xfrm>
                    <a:prstGeom prst="rect">
                      <a:avLst/>
                    </a:prstGeom>
                  </pic:spPr>
                </pic:pic>
              </a:graphicData>
            </a:graphic>
          </wp:anchor>
        </w:drawing>
      </w:r>
      <w:r>
        <w:rPr>
          <w:rStyle w:val="Strong"/>
          <w:b w:val="false"/>
          <w:bCs w:val="false"/>
          <w:sz w:val="20"/>
          <w:szCs w:val="20"/>
        </w:rPr>
        <w:t xml:space="preserve"> </w:t>
      </w:r>
    </w:p>
    <w:p>
      <w:pPr>
        <w:pStyle w:val="TextBody"/>
        <w:pBdr>
          <w:top w:val="single" w:sz="2" w:space="1" w:color="D9D9E3"/>
          <w:left w:val="single" w:sz="2" w:space="1" w:color="D9D9E3"/>
          <w:bottom w:val="single" w:sz="2" w:space="1" w:color="D9D9E3"/>
          <w:right w:val="single" w:sz="2" w:space="1" w:color="D9D9E3"/>
        </w:pBdr>
        <w:bidi w:val="0"/>
        <w:spacing w:lineRule="auto" w:line="276"/>
        <w:jc w:val="center"/>
        <w:rPr>
          <w:rStyle w:val="Strong"/>
          <w:b w:val="false"/>
          <w:b w:val="false"/>
          <w:bCs w:val="false"/>
          <w:sz w:val="20"/>
          <w:szCs w:val="20"/>
        </w:rPr>
      </w:pPr>
      <w:r>
        <w:rPr>
          <w:b w:val="false"/>
          <w:bCs w:val="false"/>
          <w:sz w:val="20"/>
          <w:szCs w:val="20"/>
        </w:rPr>
      </w:r>
    </w:p>
    <w:p>
      <w:pPr>
        <w:pStyle w:val="TextBody"/>
        <w:pBdr>
          <w:top w:val="single" w:sz="2" w:space="1" w:color="D9D9E3"/>
          <w:left w:val="single" w:sz="2" w:space="1" w:color="D9D9E3"/>
          <w:bottom w:val="single" w:sz="2" w:space="1" w:color="D9D9E3"/>
          <w:right w:val="single" w:sz="2" w:space="1" w:color="D9D9E3"/>
        </w:pBdr>
        <w:bidi w:val="0"/>
        <w:spacing w:lineRule="auto" w:line="276" w:before="0" w:after="140"/>
        <w:jc w:val="center"/>
        <w:rPr>
          <w:rStyle w:val="Strong"/>
          <w:b w:val="false"/>
          <w:b w:val="false"/>
          <w:bCs w:val="false"/>
          <w:sz w:val="20"/>
          <w:szCs w:val="20"/>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Montserrat">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Songti SC" w:cs="Arial Unicode MS"/>
      <w:color w:val="auto"/>
      <w:kern w:val="2"/>
      <w:sz w:val="24"/>
      <w:szCs w:val="24"/>
      <w:lang w:val="fr-FR" w:eastAsia="zh-CN" w:bidi="hi-IN"/>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LibreOffice/7.4.2.3$MacOSX_X86_64 LibreOffice_project/382eef1f22670f7f4118c8c2dd222ec7ad009daf</Application>
  <AppVersion>15.0000</AppVersion>
  <Pages>2</Pages>
  <Words>327</Words>
  <Characters>1956</Characters>
  <CharactersWithSpaces>2278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2023-09-28T12:17:02Z</dcterms:created>
  <dc:creator/>
  <dc:description/>
  <dc:language>fr-FR</dc:language>
  <cp:lastModifiedBy/>
  <dcterms:modified xsi:type="dcterms:W3CDTF">2023-12-06T15:54:49Z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