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2d6b" w:val="clear"/>
            <w:tcMar>
              <w:top w:w="500.0" w:type="dxa"/>
              <w:left w:w="600.0" w:type="dxa"/>
              <w:bottom w:w="500.0" w:type="dxa"/>
              <w:right w:w="600.0" w:type="dxa"/>
            </w:tcMar>
          </w:tcPr>
          <w:p w:rsidR="00000000" w:rsidDel="00000000" w:rsidP="00000000" w:rsidRDefault="00000000" w:rsidRPr="00000000" w14:paraId="00000002">
            <w:pPr>
              <w:spacing w:after="120" w:before="0" w:lineRule="auto"/>
              <w:jc w:val="center"/>
              <w:rPr>
                <w:i w:val="1"/>
                <w:iCs w:val="1"/>
              </w:rPr>
            </w:pPr>
            <w:r w:rsidDel="00000000" w:rsidR="00000000" w:rsidRPr="00000000">
              <w:rPr>
                <w:rFonts w:ascii="Georgia" w:cs="Georgia" w:eastAsia="Georgia" w:hAnsi="Georgia"/>
                <w:b w:val="1"/>
                <w:bCs w:val="1"/>
                <w:i w:val="1"/>
                <w:iCs w:val="1"/>
                <w:color w:val="ffffff"/>
                <w:sz w:val="52"/>
                <w:szCs w:val="52"/>
                <w:rtl w:val="0"/>
              </w:rPr>
              <w:t xml:space="preserve">BovOmics Challenge</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Georgia" w:cs="Georgia" w:eastAsia="Georgia" w:hAnsi="Georgia"/>
                <w:i w:val="1"/>
                <w:iCs w:val="1"/>
                <w:color w:val="eaf2fb"/>
                <w:sz w:val="28"/>
                <w:szCs w:val="28"/>
                <w:rtl w:val="0"/>
              </w:rPr>
              <w:t xml:space="preserve">Kit do Participante</w:t>
            </w: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rFonts w:ascii="Calibri" w:cs="Calibri" w:eastAsia="Calibri" w:hAnsi="Calibri"/>
                <w:color w:val="d6e4f0"/>
                <w:sz w:val="22"/>
                <w:szCs w:val="22"/>
                <w:rtl w:val="0"/>
              </w:rPr>
              <w:t xml:space="preserve">JBS  ·  SENAI  ·  UniSENAI/SC</w:t>
            </w:r>
            <w:r w:rsidDel="00000000" w:rsidR="00000000" w:rsidRPr="00000000">
              <w:rPr>
                <w:rtl w:val="0"/>
              </w:rPr>
            </w:r>
          </w:p>
        </w:tc>
      </w:tr>
    </w:tbl>
    <w:p w:rsidR="00000000" w:rsidDel="00000000" w:rsidP="00000000" w:rsidRDefault="00000000" w:rsidRPr="00000000" w14:paraId="00000005">
      <w:pPr>
        <w:spacing w:after="320" w:before="0" w:lineRule="auto"/>
        <w:rPr/>
      </w:pPr>
      <w:r w:rsidDel="00000000" w:rsidR="00000000" w:rsidRPr="00000000">
        <w:rPr>
          <w:rtl w:val="0"/>
        </w:rPr>
      </w:r>
    </w:p>
    <w:p w:rsidR="00000000" w:rsidDel="00000000" w:rsidP="00000000" w:rsidRDefault="00000000" w:rsidRPr="00000000" w14:paraId="00000006">
      <w:pPr>
        <w:pBdr>
          <w:bottom w:color="1e56b8" w:space="6" w:sz="6" w:val="single"/>
        </w:pBdr>
        <w:spacing w:after="120" w:before="400" w:lineRule="auto"/>
        <w:rPr/>
      </w:pPr>
      <w:r w:rsidDel="00000000" w:rsidR="00000000" w:rsidRPr="00000000">
        <w:rPr>
          <w:rFonts w:ascii="Calibri" w:cs="Calibri" w:eastAsia="Calibri" w:hAnsi="Calibri"/>
          <w:b w:val="1"/>
          <w:bCs w:val="1"/>
          <w:color w:val="2e7dd1"/>
          <w:sz w:val="26"/>
          <w:szCs w:val="26"/>
          <w:rtl w:val="0"/>
        </w:rPr>
        <w:t xml:space="preserve">● </w:t>
      </w:r>
      <w:r w:rsidDel="00000000" w:rsidR="00000000" w:rsidRPr="00000000">
        <w:rPr>
          <w:rFonts w:ascii="Calibri" w:cs="Calibri" w:eastAsia="Calibri" w:hAnsi="Calibri"/>
          <w:b w:val="1"/>
          <w:bCs w:val="1"/>
          <w:color w:val="0d1f4c"/>
          <w:sz w:val="26"/>
          <w:szCs w:val="26"/>
          <w:rtl w:val="0"/>
        </w:rPr>
        <w:t xml:space="preserve">Contexto Científico do Desafio</w:t>
      </w:r>
      <w:r w:rsidDel="00000000" w:rsidR="00000000" w:rsidRPr="00000000">
        <w:rPr>
          <w:rtl w:val="0"/>
        </w:rPr>
      </w:r>
    </w:p>
    <w:p w:rsidR="00000000" w:rsidDel="00000000" w:rsidP="00000000" w:rsidRDefault="00000000" w:rsidRPr="00000000" w14:paraId="00000007">
      <w:pPr>
        <w:spacing w:after="80" w:before="240" w:lineRule="auto"/>
        <w:rPr/>
      </w:pPr>
      <w:r w:rsidDel="00000000" w:rsidR="00000000" w:rsidRPr="00000000">
        <w:rPr>
          <w:rFonts w:ascii="Calibri" w:cs="Calibri" w:eastAsia="Calibri" w:hAnsi="Calibri"/>
          <w:b w:val="1"/>
          <w:bCs w:val="1"/>
          <w:color w:val="1e56b8"/>
          <w:sz w:val="22"/>
          <w:szCs w:val="22"/>
          <w:rtl w:val="0"/>
        </w:rPr>
        <w:t xml:space="preserve">Motivação</w:t>
      </w:r>
      <w:r w:rsidDel="00000000" w:rsidR="00000000" w:rsidRPr="00000000">
        <w:rPr>
          <w:rtl w:val="0"/>
        </w:rPr>
      </w:r>
    </w:p>
    <w:p w:rsidR="00000000" w:rsidDel="00000000" w:rsidP="00000000" w:rsidRDefault="00000000" w:rsidRPr="00000000" w14:paraId="00000008">
      <w:pPr>
        <w:spacing w:after="120" w:before="0" w:lineRule="auto"/>
        <w:rPr/>
      </w:pPr>
      <w:r w:rsidDel="00000000" w:rsidR="00000000" w:rsidRPr="00000000">
        <w:rPr>
          <w:rFonts w:ascii="Calibri" w:cs="Calibri" w:eastAsia="Calibri" w:hAnsi="Calibri"/>
          <w:i w:val="0"/>
          <w:iCs w:val="0"/>
          <w:color w:val="4a5568"/>
          <w:sz w:val="20"/>
          <w:szCs w:val="20"/>
          <w:rtl w:val="0"/>
        </w:rPr>
        <w:t xml:space="preserve">A lactação bovina é um processo biológico altamente regulado, envolvendo interações complexas entre programas transcricionais, mecanismos epigenéticos, estados celulares, sinalização intercelular e processos metabólicos na glândula mamária. A integração de múltiplas camadas ômicas representa uma oportunidade estratégica para compreender os mecanismos moleculares associados à produção e à composição do leite, bem como fatores ambientais, fisiológicos e sanitários que impactam diretamente a produtividade, a saúde animal e a sustentabilidade da cadeia leiteira.</w:t>
      </w:r>
      <w:r w:rsidDel="00000000" w:rsidR="00000000" w:rsidRPr="00000000">
        <w:rPr>
          <w:rtl w:val="0"/>
        </w:rPr>
      </w:r>
    </w:p>
    <w:p w:rsidR="00000000" w:rsidDel="00000000" w:rsidP="00000000" w:rsidRDefault="00000000" w:rsidRPr="00000000" w14:paraId="00000009">
      <w:pPr>
        <w:spacing w:after="120" w:before="0" w:lineRule="auto"/>
        <w:rPr/>
      </w:pPr>
      <w:r w:rsidDel="00000000" w:rsidR="00000000" w:rsidRPr="00000000">
        <w:rPr>
          <w:rFonts w:ascii="Calibri" w:cs="Calibri" w:eastAsia="Calibri" w:hAnsi="Calibri"/>
          <w:i w:val="0"/>
          <w:iCs w:val="0"/>
          <w:color w:val="4a5568"/>
          <w:sz w:val="20"/>
          <w:szCs w:val="20"/>
          <w:rtl w:val="0"/>
        </w:rPr>
        <w:t xml:space="preserve">Avanços recentes em transcriptômica, epigenômica e análises single-cell/single-nucleus vêm permitindo investigar a glândula mamária bovina em resolução celular sem precedentes, revelando como desafios ambientais e sanitários remodelam estados celulares, redes regulatórias e funções secretoras do tecido mamário.</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Fonts w:ascii="Calibri" w:cs="Calibri" w:eastAsia="Calibri" w:hAnsi="Calibri"/>
          <w:i w:val="0"/>
          <w:iCs w:val="0"/>
          <w:color w:val="4a5568"/>
          <w:sz w:val="20"/>
          <w:szCs w:val="20"/>
          <w:rtl w:val="0"/>
        </w:rPr>
        <w:t xml:space="preserve">Entre esses desafios, destacam-se o impacto crescente do estresse térmico (heat stress, HS) associado às mudanças climáticas, e a emergência de agentes infecciosos como o HPAIV H5N1 em rebanhos leiteiros. A integração multiômica oferece uma abordagem poderosa para conectar expressão gênica, acessibilidade cromatínica, metilação de DNA e composição celular em uma visão sistêmica da biologia mamária bovina.</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e56b8" w:space="6" w:sz="6" w:val="single"/>
        </w:pBdr>
        <w:spacing w:after="120" w:before="400" w:lineRule="auto"/>
        <w:rPr/>
      </w:pPr>
      <w:r w:rsidDel="00000000" w:rsidR="00000000" w:rsidRPr="00000000">
        <w:rPr>
          <w:rFonts w:ascii="Calibri" w:cs="Calibri" w:eastAsia="Calibri" w:hAnsi="Calibri"/>
          <w:b w:val="1"/>
          <w:bCs w:val="1"/>
          <w:color w:val="2e7dd1"/>
          <w:sz w:val="26"/>
          <w:szCs w:val="26"/>
          <w:rtl w:val="0"/>
        </w:rPr>
        <w:t xml:space="preserve">● </w:t>
      </w:r>
      <w:r w:rsidDel="00000000" w:rsidR="00000000" w:rsidRPr="00000000">
        <w:rPr>
          <w:rFonts w:ascii="Calibri" w:cs="Calibri" w:eastAsia="Calibri" w:hAnsi="Calibri"/>
          <w:b w:val="1"/>
          <w:bCs w:val="1"/>
          <w:color w:val="0d1f4c"/>
          <w:sz w:val="26"/>
          <w:szCs w:val="26"/>
          <w:rtl w:val="0"/>
        </w:rPr>
        <w:t xml:space="preserve">Por que Integração Multiômica?</w:t>
      </w:r>
      <w:r w:rsidDel="00000000" w:rsidR="00000000" w:rsidRPr="00000000">
        <w:rPr>
          <w:rtl w:val="0"/>
        </w:rPr>
      </w:r>
    </w:p>
    <w:p w:rsidR="00000000" w:rsidDel="00000000" w:rsidP="00000000" w:rsidRDefault="00000000" w:rsidRPr="00000000" w14:paraId="0000000D">
      <w:pPr>
        <w:spacing w:after="120" w:before="0" w:lineRule="auto"/>
        <w:rPr/>
      </w:pPr>
      <w:r w:rsidDel="00000000" w:rsidR="00000000" w:rsidRPr="00000000">
        <w:rPr>
          <w:rFonts w:ascii="Calibri" w:cs="Calibri" w:eastAsia="Calibri" w:hAnsi="Calibri"/>
          <w:i w:val="0"/>
          <w:iCs w:val="0"/>
          <w:color w:val="4a5568"/>
          <w:sz w:val="20"/>
          <w:szCs w:val="20"/>
          <w:rtl w:val="0"/>
        </w:rPr>
        <w:t xml:space="preserve">Cada camada de dado biológico captura uma dimensão diferente do sistema. Quando analisadas de forma isolada, essas camadas oferecem informações úteis, mas parciais. Quando integradas, permitem construir hipóteses biológicas mais robustas e abrangentes.</w:t>
      </w:r>
      <w:r w:rsidDel="00000000" w:rsidR="00000000" w:rsidRPr="00000000">
        <w:rPr>
          <w:rtl w:val="0"/>
        </w:rPr>
      </w:r>
    </w:p>
    <w:p w:rsidR="00000000" w:rsidDel="00000000" w:rsidP="00000000" w:rsidRDefault="00000000" w:rsidRPr="00000000" w14:paraId="0000000E">
      <w:pPr>
        <w:spacing w:after="12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1a3f8f" w:space="0" w:sz="4" w:val="single"/>
              <w:left w:color="1a3f8f" w:space="0" w:sz="4" w:val="single"/>
              <w:bottom w:color="1a3f8f" w:space="0" w:sz="4" w:val="single"/>
              <w:right w:color="1a3f8f" w:space="0" w:sz="4" w:val="single"/>
            </w:tcBorders>
            <w:shd w:fill="1a3f8f" w:val="clear"/>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20"/>
                <w:szCs w:val="20"/>
                <w:rtl w:val="0"/>
              </w:rPr>
              <w:t xml:space="preserve">Camada de dado</w:t>
            </w:r>
            <w:r w:rsidDel="00000000" w:rsidR="00000000" w:rsidRPr="00000000">
              <w:rPr>
                <w:rtl w:val="0"/>
              </w:rPr>
            </w:r>
          </w:p>
        </w:tc>
        <w:tc>
          <w:tcPr>
            <w:tcBorders>
              <w:top w:color="1a3f8f" w:space="0" w:sz="4" w:val="single"/>
              <w:left w:color="1a3f8f" w:space="0" w:sz="4" w:val="single"/>
              <w:bottom w:color="1a3f8f" w:space="0" w:sz="4" w:val="single"/>
              <w:right w:color="1a3f8f" w:space="0" w:sz="4" w:val="single"/>
            </w:tcBorders>
            <w:shd w:fill="1a3f8f" w:val="clear"/>
            <w:tcMar>
              <w:top w:w="100.0" w:type="dxa"/>
              <w:left w:w="160.0" w:type="dxa"/>
              <w:bottom w:w="100.0" w:type="dxa"/>
              <w:right w:w="16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20"/>
                <w:szCs w:val="20"/>
                <w:rtl w:val="0"/>
              </w:rPr>
              <w:t xml:space="preserve">O que informa</w:t>
            </w:r>
            <w:r w:rsidDel="00000000" w:rsidR="00000000" w:rsidRPr="00000000">
              <w:rPr>
                <w:rtl w:val="0"/>
              </w:rPr>
            </w:r>
          </w:p>
        </w:tc>
      </w:tr>
      <w:tr>
        <w:trPr>
          <w:cantSplit w:val="0"/>
          <w:tblHeader w:val="0"/>
        </w:trPr>
        <w:tc>
          <w:tcPr>
            <w:tcBorders>
              <w:top w:color="d6e4f0" w:space="0" w:sz="4" w:val="single"/>
              <w:left w:color="d6e4f0" w:space="0" w:sz="4" w:val="single"/>
              <w:bottom w:color="d6e4f0" w:space="0" w:sz="4" w:val="single"/>
              <w:right w:color="d6e4f0" w:space="0" w:sz="4" w:val="single"/>
            </w:tcBorders>
            <w:shd w:fill="eaf2fb" w:val="clear"/>
            <w:tcMar>
              <w:top w:w="80.0" w:type="dxa"/>
              <w:left w:w="160.0" w:type="dxa"/>
              <w:bottom w:w="80.0" w:type="dxa"/>
              <w:right w:w="16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1a3f8f"/>
                <w:sz w:val="20"/>
                <w:szCs w:val="20"/>
                <w:rtl w:val="0"/>
              </w:rPr>
              <w:t xml:space="preserve">RNA-seq bulk</w:t>
            </w:r>
            <w:r w:rsidDel="00000000" w:rsidR="00000000" w:rsidRPr="00000000">
              <w:rPr>
                <w:rtl w:val="0"/>
              </w:rPr>
            </w:r>
          </w:p>
        </w:tc>
        <w:tc>
          <w:tcPr>
            <w:tcBorders>
              <w:top w:color="d6e4f0" w:space="0" w:sz="4" w:val="single"/>
              <w:left w:color="d6e4f0" w:space="0" w:sz="4" w:val="single"/>
              <w:bottom w:color="d6e4f0" w:space="0" w:sz="4" w:val="single"/>
              <w:right w:color="d6e4f0" w:space="0" w:sz="4" w:val="single"/>
            </w:tcBorders>
            <w:shd w:fill="eaf2fb" w:val="clear"/>
            <w:tcMar>
              <w:top w:w="80.0" w:type="dxa"/>
              <w:left w:w="160.0" w:type="dxa"/>
              <w:bottom w:w="80.0" w:type="dxa"/>
              <w:right w:w="160.0" w:type="dxa"/>
            </w:tcMar>
          </w:tcPr>
          <w:p w:rsidR="00000000" w:rsidDel="00000000" w:rsidP="00000000" w:rsidRDefault="00000000" w:rsidRPr="00000000" w14:paraId="00000012">
            <w:pPr>
              <w:rPr/>
            </w:pPr>
            <w:r w:rsidDel="00000000" w:rsidR="00000000" w:rsidRPr="00000000">
              <w:rPr>
                <w:rFonts w:ascii="Calibri" w:cs="Calibri" w:eastAsia="Calibri" w:hAnsi="Calibri"/>
                <w:color w:val="4a5568"/>
                <w:sz w:val="20"/>
                <w:szCs w:val="20"/>
                <w:rtl w:val="0"/>
              </w:rPr>
              <w:t xml:space="preserve">Quais genes estão mais ou menos expressos no tecido como um todo</w:t>
            </w:r>
            <w:r w:rsidDel="00000000" w:rsidR="00000000" w:rsidRPr="00000000">
              <w:rPr>
                <w:rtl w:val="0"/>
              </w:rPr>
            </w:r>
          </w:p>
        </w:tc>
      </w:tr>
      <w:tr>
        <w:trPr>
          <w:cantSplit w:val="0"/>
          <w:tblHeader w:val="0"/>
        </w:trPr>
        <w:tc>
          <w:tcPr>
            <w:tcBorders>
              <w:top w:color="d6e4f0" w:space="0" w:sz="4" w:val="single"/>
              <w:left w:color="d6e4f0" w:space="0" w:sz="4" w:val="single"/>
              <w:bottom w:color="d6e4f0" w:space="0" w:sz="4" w:val="single"/>
              <w:right w:color="d6e4f0" w:space="0" w:sz="4" w:val="single"/>
            </w:tcBorders>
            <w:shd w:fill="ffffff" w:val="clear"/>
            <w:tcMar>
              <w:top w:w="80.0" w:type="dxa"/>
              <w:left w:w="160.0" w:type="dxa"/>
              <w:bottom w:w="80.0" w:type="dxa"/>
              <w:right w:w="16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1a3f8f"/>
                <w:sz w:val="20"/>
                <w:szCs w:val="20"/>
                <w:rtl w:val="0"/>
              </w:rPr>
              <w:t xml:space="preserve">sc/snRNA-seq</w:t>
            </w:r>
            <w:r w:rsidDel="00000000" w:rsidR="00000000" w:rsidRPr="00000000">
              <w:rPr>
                <w:rtl w:val="0"/>
              </w:rPr>
            </w:r>
          </w:p>
        </w:tc>
        <w:tc>
          <w:tcPr>
            <w:tcBorders>
              <w:top w:color="d6e4f0" w:space="0" w:sz="4" w:val="single"/>
              <w:left w:color="d6e4f0" w:space="0" w:sz="4" w:val="single"/>
              <w:bottom w:color="d6e4f0" w:space="0" w:sz="4" w:val="single"/>
              <w:right w:color="d6e4f0" w:space="0" w:sz="4" w:val="single"/>
            </w:tcBorders>
            <w:shd w:fill="ffffff" w:val="clear"/>
            <w:tcMar>
              <w:top w:w="80.0" w:type="dxa"/>
              <w:left w:w="160.0" w:type="dxa"/>
              <w:bottom w:w="80.0" w:type="dxa"/>
              <w:right w:w="160.0" w:type="dxa"/>
            </w:tcMar>
          </w:tcPr>
          <w:p w:rsidR="00000000" w:rsidDel="00000000" w:rsidP="00000000" w:rsidRDefault="00000000" w:rsidRPr="00000000" w14:paraId="00000014">
            <w:pPr>
              <w:rPr/>
            </w:pPr>
            <w:r w:rsidDel="00000000" w:rsidR="00000000" w:rsidRPr="00000000">
              <w:rPr>
                <w:rFonts w:ascii="Calibri" w:cs="Calibri" w:eastAsia="Calibri" w:hAnsi="Calibri"/>
                <w:color w:val="4a5568"/>
                <w:sz w:val="20"/>
                <w:szCs w:val="20"/>
                <w:rtl w:val="0"/>
              </w:rPr>
              <w:t xml:space="preserve">Quais genes são expressos em cada tipo celular</w:t>
            </w:r>
            <w:r w:rsidDel="00000000" w:rsidR="00000000" w:rsidRPr="00000000">
              <w:rPr>
                <w:rtl w:val="0"/>
              </w:rPr>
            </w:r>
          </w:p>
        </w:tc>
      </w:tr>
      <w:tr>
        <w:trPr>
          <w:cantSplit w:val="0"/>
          <w:tblHeader w:val="0"/>
        </w:trPr>
        <w:tc>
          <w:tcPr>
            <w:tcBorders>
              <w:top w:color="d6e4f0" w:space="0" w:sz="4" w:val="single"/>
              <w:left w:color="d6e4f0" w:space="0" w:sz="4" w:val="single"/>
              <w:bottom w:color="d6e4f0" w:space="0" w:sz="4" w:val="single"/>
              <w:right w:color="d6e4f0" w:space="0" w:sz="4" w:val="single"/>
            </w:tcBorders>
            <w:shd w:fill="eaf2fb" w:val="clear"/>
            <w:tcMar>
              <w:top w:w="80.0" w:type="dxa"/>
              <w:left w:w="160.0" w:type="dxa"/>
              <w:bottom w:w="80.0" w:type="dxa"/>
              <w:right w:w="16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1a3f8f"/>
                <w:sz w:val="20"/>
                <w:szCs w:val="20"/>
                <w:rtl w:val="0"/>
              </w:rPr>
              <w:t xml:space="preserve">ATAC-seq</w:t>
            </w:r>
            <w:r w:rsidDel="00000000" w:rsidR="00000000" w:rsidRPr="00000000">
              <w:rPr>
                <w:rtl w:val="0"/>
              </w:rPr>
            </w:r>
          </w:p>
        </w:tc>
        <w:tc>
          <w:tcPr>
            <w:tcBorders>
              <w:top w:color="d6e4f0" w:space="0" w:sz="4" w:val="single"/>
              <w:left w:color="d6e4f0" w:space="0" w:sz="4" w:val="single"/>
              <w:bottom w:color="d6e4f0" w:space="0" w:sz="4" w:val="single"/>
              <w:right w:color="d6e4f0" w:space="0" w:sz="4" w:val="single"/>
            </w:tcBorders>
            <w:shd w:fill="eaf2fb" w:val="clear"/>
            <w:tcMar>
              <w:top w:w="80.0" w:type="dxa"/>
              <w:left w:w="160.0" w:type="dxa"/>
              <w:bottom w:w="80.0" w:type="dxa"/>
              <w:right w:w="160.0" w:type="dxa"/>
            </w:tcMar>
          </w:tcPr>
          <w:p w:rsidR="00000000" w:rsidDel="00000000" w:rsidP="00000000" w:rsidRDefault="00000000" w:rsidRPr="00000000" w14:paraId="00000016">
            <w:pPr>
              <w:rPr/>
            </w:pPr>
            <w:r w:rsidDel="00000000" w:rsidR="00000000" w:rsidRPr="00000000">
              <w:rPr>
                <w:rFonts w:ascii="Calibri" w:cs="Calibri" w:eastAsia="Calibri" w:hAnsi="Calibri"/>
                <w:color w:val="4a5568"/>
                <w:sz w:val="20"/>
                <w:szCs w:val="20"/>
                <w:rtl w:val="0"/>
              </w:rPr>
              <w:t xml:space="preserve">Quais regiões do genoma estão acessíveis e podem atuar como elementos regulatórios</w:t>
            </w:r>
            <w:r w:rsidDel="00000000" w:rsidR="00000000" w:rsidRPr="00000000">
              <w:rPr>
                <w:rtl w:val="0"/>
              </w:rPr>
            </w:r>
          </w:p>
        </w:tc>
      </w:tr>
      <w:tr>
        <w:trPr>
          <w:cantSplit w:val="0"/>
          <w:tblHeader w:val="0"/>
        </w:trPr>
        <w:tc>
          <w:tcPr>
            <w:tcBorders>
              <w:top w:color="d6e4f0" w:space="0" w:sz="4" w:val="single"/>
              <w:left w:color="d6e4f0" w:space="0" w:sz="4" w:val="single"/>
              <w:bottom w:color="d6e4f0" w:space="0" w:sz="4" w:val="single"/>
              <w:right w:color="d6e4f0" w:space="0" w:sz="4" w:val="single"/>
            </w:tcBorders>
            <w:shd w:fill="ffffff" w:val="clear"/>
            <w:tcMar>
              <w:top w:w="80.0" w:type="dxa"/>
              <w:left w:w="160.0" w:type="dxa"/>
              <w:bottom w:w="80.0" w:type="dxa"/>
              <w:right w:w="160.0" w:type="dxa"/>
            </w:tcMa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1a3f8f"/>
                <w:sz w:val="20"/>
                <w:szCs w:val="20"/>
                <w:rtl w:val="0"/>
              </w:rPr>
              <w:t xml:space="preserve">BS-seq (Metilação)</w:t>
            </w:r>
            <w:r w:rsidDel="00000000" w:rsidR="00000000" w:rsidRPr="00000000">
              <w:rPr>
                <w:rtl w:val="0"/>
              </w:rPr>
            </w:r>
          </w:p>
        </w:tc>
        <w:tc>
          <w:tcPr>
            <w:tcBorders>
              <w:top w:color="d6e4f0" w:space="0" w:sz="4" w:val="single"/>
              <w:left w:color="d6e4f0" w:space="0" w:sz="4" w:val="single"/>
              <w:bottom w:color="d6e4f0" w:space="0" w:sz="4" w:val="single"/>
              <w:right w:color="d6e4f0" w:space="0" w:sz="4" w:val="single"/>
            </w:tcBorders>
            <w:shd w:fill="ffffff" w:val="clear"/>
            <w:tcMar>
              <w:top w:w="80.0" w:type="dxa"/>
              <w:left w:w="160.0" w:type="dxa"/>
              <w:bottom w:w="80.0" w:type="dxa"/>
              <w:right w:w="160.0" w:type="dxa"/>
            </w:tcMar>
          </w:tcPr>
          <w:p w:rsidR="00000000" w:rsidDel="00000000" w:rsidP="00000000" w:rsidRDefault="00000000" w:rsidRPr="00000000" w14:paraId="00000018">
            <w:pPr>
              <w:rPr/>
            </w:pPr>
            <w:r w:rsidDel="00000000" w:rsidR="00000000" w:rsidRPr="00000000">
              <w:rPr>
                <w:rFonts w:ascii="Calibri" w:cs="Calibri" w:eastAsia="Calibri" w:hAnsi="Calibri"/>
                <w:color w:val="4a5568"/>
                <w:sz w:val="20"/>
                <w:szCs w:val="20"/>
                <w:rtl w:val="0"/>
              </w:rPr>
              <w:t xml:space="preserve">Quais regiões do genoma apresentam marcas epigenéticas relevantes</w:t>
            </w:r>
            <w:r w:rsidDel="00000000" w:rsidR="00000000" w:rsidRPr="00000000">
              <w:rPr>
                <w:rtl w:val="0"/>
              </w:rPr>
            </w:r>
          </w:p>
        </w:tc>
      </w:tr>
      <w:tr>
        <w:trPr>
          <w:cantSplit w:val="0"/>
          <w:tblHeader w:val="0"/>
        </w:trPr>
        <w:tc>
          <w:tcPr>
            <w:tcBorders>
              <w:top w:color="d6e4f0" w:space="0" w:sz="4" w:val="single"/>
              <w:left w:color="d6e4f0" w:space="0" w:sz="4" w:val="single"/>
              <w:bottom w:color="d6e4f0" w:space="0" w:sz="4" w:val="single"/>
              <w:right w:color="d6e4f0" w:space="0" w:sz="4" w:val="single"/>
            </w:tcBorders>
            <w:shd w:fill="eaf2fb" w:val="clear"/>
            <w:tcMar>
              <w:top w:w="80.0" w:type="dxa"/>
              <w:left w:w="160.0" w:type="dxa"/>
              <w:bottom w:w="80.0" w:type="dxa"/>
              <w:right w:w="160.0" w:type="dxa"/>
            </w:tcMa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1a3f8f"/>
                <w:sz w:val="20"/>
                <w:szCs w:val="20"/>
                <w:rtl w:val="0"/>
              </w:rPr>
              <w:t xml:space="preserve">Datasets externos</w:t>
            </w:r>
            <w:r w:rsidDel="00000000" w:rsidR="00000000" w:rsidRPr="00000000">
              <w:rPr>
                <w:rtl w:val="0"/>
              </w:rPr>
            </w:r>
          </w:p>
        </w:tc>
        <w:tc>
          <w:tcPr>
            <w:tcBorders>
              <w:top w:color="d6e4f0" w:space="0" w:sz="4" w:val="single"/>
              <w:left w:color="d6e4f0" w:space="0" w:sz="4" w:val="single"/>
              <w:bottom w:color="d6e4f0" w:space="0" w:sz="4" w:val="single"/>
              <w:right w:color="d6e4f0" w:space="0" w:sz="4" w:val="single"/>
            </w:tcBorders>
            <w:shd w:fill="eaf2fb" w:val="clear"/>
            <w:tcMar>
              <w:top w:w="80.0" w:type="dxa"/>
              <w:left w:w="160.0" w:type="dxa"/>
              <w:bottom w:w="80.0" w:type="dxa"/>
              <w:right w:w="160.0" w:type="dxa"/>
            </w:tcMar>
          </w:tcPr>
          <w:p w:rsidR="00000000" w:rsidDel="00000000" w:rsidP="00000000" w:rsidRDefault="00000000" w:rsidRPr="00000000" w14:paraId="0000001A">
            <w:pPr>
              <w:rPr/>
            </w:pPr>
            <w:r w:rsidDel="00000000" w:rsidR="00000000" w:rsidRPr="00000000">
              <w:rPr>
                <w:rFonts w:ascii="Calibri" w:cs="Calibri" w:eastAsia="Calibri" w:hAnsi="Calibri"/>
                <w:color w:val="4a5568"/>
                <w:sz w:val="20"/>
                <w:szCs w:val="20"/>
                <w:rtl w:val="0"/>
              </w:rPr>
              <w:t xml:space="preserve">Evidências independentes de outros estudos públicos</w:t>
            </w:r>
            <w:r w:rsidDel="00000000" w:rsidR="00000000" w:rsidRPr="00000000">
              <w:rPr>
                <w:rtl w:val="0"/>
              </w:rPr>
            </w:r>
          </w:p>
        </w:tc>
      </w:tr>
    </w:tbl>
    <w:p w:rsidR="00000000" w:rsidDel="00000000" w:rsidP="00000000" w:rsidRDefault="00000000" w:rsidRPr="00000000" w14:paraId="0000001B">
      <w:pPr>
        <w:spacing w:after="120" w:before="0" w:lineRule="auto"/>
        <w:rPr/>
      </w:pPr>
      <w:r w:rsidDel="00000000" w:rsidR="00000000" w:rsidRPr="00000000">
        <w:rPr>
          <w:rtl w:val="0"/>
        </w:rPr>
      </w:r>
    </w:p>
    <w:p w:rsidR="00000000" w:rsidDel="00000000" w:rsidP="00000000" w:rsidRDefault="00000000" w:rsidRPr="00000000" w14:paraId="0000001C">
      <w:pPr>
        <w:pBdr>
          <w:bottom w:color="1e56b8" w:space="6" w:sz="6" w:val="single"/>
        </w:pBdr>
        <w:spacing w:after="120" w:before="400" w:lineRule="auto"/>
        <w:rPr/>
      </w:pPr>
      <w:r w:rsidDel="00000000" w:rsidR="00000000" w:rsidRPr="00000000">
        <w:rPr>
          <w:rFonts w:ascii="Calibri" w:cs="Calibri" w:eastAsia="Calibri" w:hAnsi="Calibri"/>
          <w:b w:val="1"/>
          <w:bCs w:val="1"/>
          <w:color w:val="2e7dd1"/>
          <w:sz w:val="26"/>
          <w:szCs w:val="26"/>
          <w:rtl w:val="0"/>
        </w:rPr>
        <w:t xml:space="preserve">● </w:t>
      </w:r>
      <w:r w:rsidDel="00000000" w:rsidR="00000000" w:rsidRPr="00000000">
        <w:rPr>
          <w:rFonts w:ascii="Calibri" w:cs="Calibri" w:eastAsia="Calibri" w:hAnsi="Calibri"/>
          <w:b w:val="1"/>
          <w:bCs w:val="1"/>
          <w:color w:val="0d1f4c"/>
          <w:sz w:val="26"/>
          <w:szCs w:val="26"/>
          <w:rtl w:val="0"/>
        </w:rPr>
        <w:t xml:space="preserve">Pergunta Central do Hackathon</w:t>
      </w:r>
      <w:r w:rsidDel="00000000" w:rsidR="00000000" w:rsidRPr="00000000">
        <w:rPr>
          <w:rtl w:val="0"/>
        </w:rPr>
      </w:r>
    </w:p>
    <w:p w:rsidR="00000000" w:rsidDel="00000000" w:rsidP="00000000" w:rsidRDefault="00000000" w:rsidRPr="00000000" w14:paraId="0000001D">
      <w:pPr>
        <w:spacing w:after="4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56b8" w:space="0" w:sz="4" w:val="single"/>
              <w:left w:color="1a3f8f" w:space="0" w:sz="16" w:val="single"/>
              <w:bottom w:color="1e56b8" w:space="0" w:sz="4" w:val="single"/>
              <w:right w:color="1e56b8" w:space="0" w:sz="4" w:val="single"/>
            </w:tcBorders>
            <w:shd w:fill="eaf2fb" w:val="clear"/>
            <w:tcMar>
              <w:top w:w="160.0" w:type="dxa"/>
              <w:left w:w="240.0" w:type="dxa"/>
              <w:bottom w:w="160.0" w:type="dxa"/>
              <w:right w:w="24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0d1f4c"/>
                <w:sz w:val="20"/>
                <w:szCs w:val="20"/>
                <w:rtl w:val="0"/>
              </w:rPr>
              <w:t xml:space="preserve">Como integrar diferentes camadas ômicas da glândula mamária bovina para identificar genes, regiões regulatórias, tipos celulares e vias biológicas associados à produção e à composição do leite?</w:t>
            </w:r>
            <w:r w:rsidDel="00000000" w:rsidR="00000000" w:rsidRPr="00000000">
              <w:rPr>
                <w:rtl w:val="0"/>
              </w:rPr>
            </w:r>
          </w:p>
        </w:tc>
      </w:tr>
    </w:tbl>
    <w:p w:rsidR="00000000" w:rsidDel="00000000" w:rsidP="00000000" w:rsidRDefault="00000000" w:rsidRPr="00000000" w14:paraId="0000001F">
      <w:pPr>
        <w:spacing w:after="120" w:before="0" w:lineRule="auto"/>
        <w:rPr/>
      </w:pPr>
      <w:r w:rsidDel="00000000" w:rsidR="00000000" w:rsidRPr="00000000">
        <w:rPr>
          <w:rtl w:val="0"/>
        </w:rPr>
      </w:r>
    </w:p>
    <w:p w:rsidR="00000000" w:rsidDel="00000000" w:rsidP="00000000" w:rsidRDefault="00000000" w:rsidRPr="00000000" w14:paraId="00000020">
      <w:pPr>
        <w:spacing w:after="120" w:before="0" w:lineRule="auto"/>
        <w:rPr/>
      </w:pPr>
      <w:r w:rsidDel="00000000" w:rsidR="00000000" w:rsidRPr="00000000">
        <w:rPr>
          <w:rFonts w:ascii="Calibri" w:cs="Calibri" w:eastAsia="Calibri" w:hAnsi="Calibri"/>
          <w:i w:val="0"/>
          <w:iCs w:val="0"/>
          <w:color w:val="4a5568"/>
          <w:sz w:val="20"/>
          <w:szCs w:val="20"/>
          <w:rtl w:val="0"/>
        </w:rPr>
        <w:t xml:space="preserve">As equipes deverão propor soluções computacionais reprodutíveis que combinem uma ou mais camadas de dados para gerar hipóteses biológicas relevantes.</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Bdr>
          <w:bottom w:color="1e56b8" w:space="6" w:sz="6" w:val="single"/>
        </w:pBdr>
        <w:spacing w:after="120" w:before="400" w:lineRule="auto"/>
        <w:rPr/>
      </w:pPr>
      <w:r w:rsidDel="00000000" w:rsidR="00000000" w:rsidRPr="00000000">
        <w:rPr>
          <w:rFonts w:ascii="Calibri" w:cs="Calibri" w:eastAsia="Calibri" w:hAnsi="Calibri"/>
          <w:b w:val="1"/>
          <w:bCs w:val="1"/>
          <w:color w:val="2e7dd1"/>
          <w:sz w:val="26"/>
          <w:szCs w:val="26"/>
          <w:rtl w:val="0"/>
        </w:rPr>
        <w:t xml:space="preserve">● </w:t>
      </w:r>
      <w:r w:rsidDel="00000000" w:rsidR="00000000" w:rsidRPr="00000000">
        <w:rPr>
          <w:rFonts w:ascii="Calibri" w:cs="Calibri" w:eastAsia="Calibri" w:hAnsi="Calibri"/>
          <w:b w:val="1"/>
          <w:bCs w:val="1"/>
          <w:color w:val="0d1f4c"/>
          <w:sz w:val="26"/>
          <w:szCs w:val="26"/>
          <w:rtl w:val="0"/>
        </w:rPr>
        <w:t xml:space="preserve">Dados Disponibilizados</w:t>
      </w:r>
      <w:r w:rsidDel="00000000" w:rsidR="00000000" w:rsidRPr="00000000">
        <w:rPr>
          <w:rtl w:val="0"/>
        </w:rPr>
      </w:r>
    </w:p>
    <w:p w:rsidR="00000000" w:rsidDel="00000000" w:rsidP="00000000" w:rsidRDefault="00000000" w:rsidRPr="00000000" w14:paraId="00000023">
      <w:pPr>
        <w:spacing w:after="120" w:before="0" w:lineRule="auto"/>
        <w:rPr/>
      </w:pPr>
      <w:r w:rsidDel="00000000" w:rsidR="00000000" w:rsidRPr="00000000">
        <w:rPr>
          <w:rFonts w:ascii="Calibri" w:cs="Calibri" w:eastAsia="Calibri" w:hAnsi="Calibri"/>
          <w:i w:val="0"/>
          <w:iCs w:val="0"/>
          <w:color w:val="4a5568"/>
          <w:sz w:val="20"/>
          <w:szCs w:val="20"/>
          <w:rtl w:val="0"/>
        </w:rPr>
        <w:t xml:space="preserve">Os datasets disponibilizados compreendem quatro camadas ômicas geradas a partir de amostras de glândula mamária bovina:</w:t>
      </w:r>
      <w:r w:rsidDel="00000000" w:rsidR="00000000" w:rsidRPr="00000000">
        <w:rPr>
          <w:rtl w:val="0"/>
        </w:rPr>
      </w:r>
    </w:p>
    <w:p w:rsidR="00000000" w:rsidDel="00000000" w:rsidP="00000000" w:rsidRDefault="00000000" w:rsidRPr="00000000" w14:paraId="00000024">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f8f" w:val="clear"/>
            <w:tcMar>
              <w:top w:w="120.0" w:type="dxa"/>
              <w:left w:w="160.0" w:type="dxa"/>
              <w:bottom w:w="120.0" w:type="dxa"/>
              <w:right w:w="160.0" w:type="dxa"/>
            </w:tcMar>
            <w:vAlign w:val="center"/>
          </w:tcPr>
          <w:p w:rsidR="00000000" w:rsidDel="00000000" w:rsidP="00000000" w:rsidRDefault="00000000" w:rsidRPr="00000000" w14:paraId="00000025">
            <w:pPr>
              <w:jc w:val="center"/>
              <w:rPr/>
            </w:pPr>
            <w:r w:rsidDel="00000000" w:rsidR="00000000" w:rsidRPr="00000000">
              <w:rPr>
                <w:rFonts w:ascii="Quattrocento Sans" w:cs="Quattrocento Sans" w:eastAsia="Quattrocento Sans" w:hAnsi="Quattrocento Sans"/>
                <w:color w:val="ffffff"/>
                <w:sz w:val="28"/>
                <w:szCs w:val="28"/>
                <w:rtl w:val="0"/>
              </w:rPr>
              <w:t xml:space="preserve">🧬</w:t>
            </w:r>
            <w:r w:rsidDel="00000000" w:rsidR="00000000" w:rsidRPr="00000000">
              <w:rPr>
                <w:rtl w:val="0"/>
              </w:rPr>
            </w:r>
          </w:p>
        </w:tc>
        <w:tc>
          <w:tcPr>
            <w:tcBorders>
              <w:top w:color="d6e4f0" w:space="0" w:sz="4" w:val="single"/>
              <w:left w:color="000000" w:space="0" w:sz="0" w:val="nil"/>
              <w:bottom w:color="d6e4f0" w:space="0" w:sz="4" w:val="single"/>
              <w:right w:color="d6e4f0" w:space="0" w:sz="4" w:val="single"/>
            </w:tcBorders>
            <w:shd w:fill="f5f9fe" w:val="clear"/>
            <w:tcMar>
              <w:top w:w="120.0" w:type="dxa"/>
              <w:left w:w="200.0" w:type="dxa"/>
              <w:bottom w:w="120.0" w:type="dxa"/>
              <w:right w:w="160.0" w:type="dxa"/>
            </w:tcMar>
          </w:tcPr>
          <w:p w:rsidR="00000000" w:rsidDel="00000000" w:rsidP="00000000" w:rsidRDefault="00000000" w:rsidRPr="00000000" w14:paraId="00000026">
            <w:pPr>
              <w:spacing w:after="40" w:before="0" w:lineRule="auto"/>
              <w:rPr/>
            </w:pPr>
            <w:r w:rsidDel="00000000" w:rsidR="00000000" w:rsidRPr="00000000">
              <w:rPr>
                <w:rFonts w:ascii="Calibri" w:cs="Calibri" w:eastAsia="Calibri" w:hAnsi="Calibri"/>
                <w:b w:val="1"/>
                <w:bCs w:val="1"/>
                <w:color w:val="0d1f4c"/>
                <w:sz w:val="22"/>
                <w:szCs w:val="22"/>
                <w:rtl w:val="0"/>
              </w:rPr>
              <w:t xml:space="preserve">RNA-seq bulk</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Fonts w:ascii="Calibri" w:cs="Calibri" w:eastAsia="Calibri" w:hAnsi="Calibri"/>
                <w:color w:val="4a5568"/>
                <w:sz w:val="19"/>
                <w:szCs w:val="19"/>
                <w:rtl w:val="0"/>
              </w:rPr>
              <w:t xml:space="preserve">Dados de transcriptômica em nível de tecido, permitindo análises de expressão gênica diferencial, enriquecimento de vias e co-expressão. Constitui a camada central de expressão e âncora para integração multiômica.</w:t>
            </w:r>
            <w:r w:rsidDel="00000000" w:rsidR="00000000" w:rsidRPr="00000000">
              <w:rPr>
                <w:rtl w:val="0"/>
              </w:rPr>
            </w:r>
          </w:p>
        </w:tc>
      </w:tr>
    </w:tbl>
    <w:p w:rsidR="00000000" w:rsidDel="00000000" w:rsidP="00000000" w:rsidRDefault="00000000" w:rsidRPr="00000000" w14:paraId="00000028">
      <w:pPr>
        <w:spacing w:after="6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f8f" w:val="clear"/>
            <w:tcMar>
              <w:top w:w="120.0" w:type="dxa"/>
              <w:left w:w="160.0" w:type="dxa"/>
              <w:bottom w:w="120.0" w:type="dxa"/>
              <w:right w:w="160.0" w:type="dxa"/>
            </w:tcMar>
            <w:vAlign w:val="center"/>
          </w:tcPr>
          <w:p w:rsidR="00000000" w:rsidDel="00000000" w:rsidP="00000000" w:rsidRDefault="00000000" w:rsidRPr="00000000" w14:paraId="00000029">
            <w:pPr>
              <w:jc w:val="center"/>
              <w:rPr/>
            </w:pPr>
            <w:r w:rsidDel="00000000" w:rsidR="00000000" w:rsidRPr="00000000">
              <w:rPr>
                <w:rFonts w:ascii="Quattrocento Sans" w:cs="Quattrocento Sans" w:eastAsia="Quattrocento Sans" w:hAnsi="Quattrocento Sans"/>
                <w:color w:val="ffffff"/>
                <w:sz w:val="28"/>
                <w:szCs w:val="28"/>
                <w:rtl w:val="0"/>
              </w:rPr>
              <w:t xml:space="preserve">🔬</w:t>
            </w:r>
            <w:r w:rsidDel="00000000" w:rsidR="00000000" w:rsidRPr="00000000">
              <w:rPr>
                <w:rtl w:val="0"/>
              </w:rPr>
            </w:r>
          </w:p>
        </w:tc>
        <w:tc>
          <w:tcPr>
            <w:tcBorders>
              <w:top w:color="d6e4f0" w:space="0" w:sz="4" w:val="single"/>
              <w:left w:color="000000" w:space="0" w:sz="0" w:val="nil"/>
              <w:bottom w:color="d6e4f0" w:space="0" w:sz="4" w:val="single"/>
              <w:right w:color="d6e4f0" w:space="0" w:sz="4" w:val="single"/>
            </w:tcBorders>
            <w:shd w:fill="f5f9fe" w:val="clear"/>
            <w:tcMar>
              <w:top w:w="120.0" w:type="dxa"/>
              <w:left w:w="200.0" w:type="dxa"/>
              <w:bottom w:w="120.0" w:type="dxa"/>
              <w:right w:w="160.0" w:type="dxa"/>
            </w:tcMar>
          </w:tcPr>
          <w:p w:rsidR="00000000" w:rsidDel="00000000" w:rsidP="00000000" w:rsidRDefault="00000000" w:rsidRPr="00000000" w14:paraId="0000002A">
            <w:pPr>
              <w:spacing w:after="40" w:before="0" w:lineRule="auto"/>
              <w:rPr/>
            </w:pPr>
            <w:r w:rsidDel="00000000" w:rsidR="00000000" w:rsidRPr="00000000">
              <w:rPr>
                <w:rFonts w:ascii="Calibri" w:cs="Calibri" w:eastAsia="Calibri" w:hAnsi="Calibri"/>
                <w:b w:val="1"/>
                <w:bCs w:val="1"/>
                <w:color w:val="0d1f4c"/>
                <w:sz w:val="22"/>
                <w:szCs w:val="22"/>
                <w:rtl w:val="0"/>
              </w:rPr>
              <w:t xml:space="preserve">sc/snRNA-seq</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Calibri" w:cs="Calibri" w:eastAsia="Calibri" w:hAnsi="Calibri"/>
                <w:color w:val="4a5568"/>
                <w:sz w:val="19"/>
                <w:szCs w:val="19"/>
                <w:rtl w:val="0"/>
              </w:rPr>
              <w:t xml:space="preserve">Dados de transcriptômica em resolução de célula ou núcleo único, possibilitando a identificação de tipos e estados celulares presentes na glândula mamária e o mapeamento de genes candidatos em populações celulares específicas.</w:t>
            </w:r>
            <w:r w:rsidDel="00000000" w:rsidR="00000000" w:rsidRPr="00000000">
              <w:rPr>
                <w:rtl w:val="0"/>
              </w:rPr>
            </w:r>
          </w:p>
        </w:tc>
      </w:tr>
    </w:tbl>
    <w:p w:rsidR="00000000" w:rsidDel="00000000" w:rsidP="00000000" w:rsidRDefault="00000000" w:rsidRPr="00000000" w14:paraId="0000002C">
      <w:pPr>
        <w:spacing w:after="6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f8f" w:val="clear"/>
            <w:tcMar>
              <w:top w:w="120.0" w:type="dxa"/>
              <w:left w:w="160.0" w:type="dxa"/>
              <w:bottom w:w="120.0" w:type="dxa"/>
              <w:right w:w="160.0" w:type="dxa"/>
            </w:tcMar>
            <w:vAlign w:val="center"/>
          </w:tcPr>
          <w:p w:rsidR="00000000" w:rsidDel="00000000" w:rsidP="00000000" w:rsidRDefault="00000000" w:rsidRPr="00000000" w14:paraId="0000002D">
            <w:pPr>
              <w:jc w:val="center"/>
              <w:rPr/>
            </w:pPr>
            <w:r w:rsidDel="00000000" w:rsidR="00000000" w:rsidRPr="00000000">
              <w:rPr>
                <w:rFonts w:ascii="Quattrocento Sans" w:cs="Quattrocento Sans" w:eastAsia="Quattrocento Sans" w:hAnsi="Quattrocento Sans"/>
                <w:color w:val="ffffff"/>
                <w:sz w:val="28"/>
                <w:szCs w:val="28"/>
                <w:rtl w:val="0"/>
              </w:rPr>
              <w:t xml:space="preserve">📊</w:t>
            </w:r>
            <w:r w:rsidDel="00000000" w:rsidR="00000000" w:rsidRPr="00000000">
              <w:rPr>
                <w:rtl w:val="0"/>
              </w:rPr>
            </w:r>
          </w:p>
        </w:tc>
        <w:tc>
          <w:tcPr>
            <w:tcBorders>
              <w:top w:color="d6e4f0" w:space="0" w:sz="4" w:val="single"/>
              <w:left w:color="000000" w:space="0" w:sz="0" w:val="nil"/>
              <w:bottom w:color="d6e4f0" w:space="0" w:sz="4" w:val="single"/>
              <w:right w:color="d6e4f0" w:space="0" w:sz="4" w:val="single"/>
            </w:tcBorders>
            <w:shd w:fill="f5f9fe" w:val="clear"/>
            <w:tcMar>
              <w:top w:w="120.0" w:type="dxa"/>
              <w:left w:w="200.0" w:type="dxa"/>
              <w:bottom w:w="120.0" w:type="dxa"/>
              <w:right w:w="160.0" w:type="dxa"/>
            </w:tcMar>
          </w:tcPr>
          <w:p w:rsidR="00000000" w:rsidDel="00000000" w:rsidP="00000000" w:rsidRDefault="00000000" w:rsidRPr="00000000" w14:paraId="0000002E">
            <w:pPr>
              <w:spacing w:after="40" w:before="0" w:lineRule="auto"/>
              <w:rPr/>
            </w:pPr>
            <w:r w:rsidDel="00000000" w:rsidR="00000000" w:rsidRPr="00000000">
              <w:rPr>
                <w:rFonts w:ascii="Calibri" w:cs="Calibri" w:eastAsia="Calibri" w:hAnsi="Calibri"/>
                <w:b w:val="1"/>
                <w:bCs w:val="1"/>
                <w:color w:val="0d1f4c"/>
                <w:sz w:val="22"/>
                <w:szCs w:val="22"/>
                <w:rtl w:val="0"/>
              </w:rPr>
              <w:t xml:space="preserve">ATAC-seq</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Fonts w:ascii="Calibri" w:cs="Calibri" w:eastAsia="Calibri" w:hAnsi="Calibri"/>
                <w:color w:val="4a5568"/>
                <w:sz w:val="19"/>
                <w:szCs w:val="19"/>
                <w:rtl w:val="0"/>
              </w:rPr>
              <w:t xml:space="preserve">Dados de acessibilidade cromatínica em escala genômica, permitindo a identificação de regiões regulatórias ativas, análise de motivos de fatores de transcrição e integração com dados de expressão gênica.</w:t>
            </w:r>
            <w:r w:rsidDel="00000000" w:rsidR="00000000" w:rsidRPr="00000000">
              <w:rPr>
                <w:rtl w:val="0"/>
              </w:rPr>
            </w:r>
          </w:p>
        </w:tc>
      </w:tr>
    </w:tbl>
    <w:p w:rsidR="00000000" w:rsidDel="00000000" w:rsidP="00000000" w:rsidRDefault="00000000" w:rsidRPr="00000000" w14:paraId="00000030">
      <w:pPr>
        <w:spacing w:after="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f8f" w:val="clear"/>
            <w:tcMar>
              <w:top w:w="120.0" w:type="dxa"/>
              <w:left w:w="160.0" w:type="dxa"/>
              <w:bottom w:w="120.0" w:type="dxa"/>
              <w:right w:w="160.0" w:type="dxa"/>
            </w:tcMar>
            <w:vAlign w:val="center"/>
          </w:tcPr>
          <w:p w:rsidR="00000000" w:rsidDel="00000000" w:rsidP="00000000" w:rsidRDefault="00000000" w:rsidRPr="00000000" w14:paraId="00000031">
            <w:pPr>
              <w:jc w:val="center"/>
              <w:rPr/>
            </w:pPr>
            <w:r w:rsidDel="00000000" w:rsidR="00000000" w:rsidRPr="00000000">
              <w:rPr>
                <w:rFonts w:ascii="Quattrocento Sans" w:cs="Quattrocento Sans" w:eastAsia="Quattrocento Sans" w:hAnsi="Quattrocento Sans"/>
                <w:color w:val="ffffff"/>
                <w:sz w:val="28"/>
                <w:szCs w:val="28"/>
                <w:rtl w:val="0"/>
              </w:rPr>
              <w:t xml:space="preserve">🔩</w:t>
            </w:r>
            <w:r w:rsidDel="00000000" w:rsidR="00000000" w:rsidRPr="00000000">
              <w:rPr>
                <w:rtl w:val="0"/>
              </w:rPr>
            </w:r>
          </w:p>
        </w:tc>
        <w:tc>
          <w:tcPr>
            <w:tcBorders>
              <w:top w:color="d6e4f0" w:space="0" w:sz="4" w:val="single"/>
              <w:left w:color="000000" w:space="0" w:sz="0" w:val="nil"/>
              <w:bottom w:color="d6e4f0" w:space="0" w:sz="4" w:val="single"/>
              <w:right w:color="d6e4f0" w:space="0" w:sz="4" w:val="single"/>
            </w:tcBorders>
            <w:shd w:fill="f5f9fe" w:val="clear"/>
            <w:tcMar>
              <w:top w:w="120.0" w:type="dxa"/>
              <w:left w:w="200.0" w:type="dxa"/>
              <w:bottom w:w="120.0" w:type="dxa"/>
              <w:right w:w="160.0" w:type="dxa"/>
            </w:tcMar>
          </w:tcPr>
          <w:p w:rsidR="00000000" w:rsidDel="00000000" w:rsidP="00000000" w:rsidRDefault="00000000" w:rsidRPr="00000000" w14:paraId="00000032">
            <w:pPr>
              <w:spacing w:after="40" w:before="0" w:lineRule="auto"/>
              <w:rPr/>
            </w:pPr>
            <w:r w:rsidDel="00000000" w:rsidR="00000000" w:rsidRPr="00000000">
              <w:rPr>
                <w:rFonts w:ascii="Calibri" w:cs="Calibri" w:eastAsia="Calibri" w:hAnsi="Calibri"/>
                <w:b w:val="1"/>
                <w:bCs w:val="1"/>
                <w:color w:val="0d1f4c"/>
                <w:sz w:val="22"/>
                <w:szCs w:val="22"/>
                <w:rtl w:val="0"/>
              </w:rPr>
              <w:t xml:space="preserve">BS-seq (Bisulfite Sequencing)</w:t>
            </w: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Fonts w:ascii="Calibri" w:cs="Calibri" w:eastAsia="Calibri" w:hAnsi="Calibri"/>
                <w:color w:val="4a5568"/>
                <w:sz w:val="19"/>
                <w:szCs w:val="19"/>
                <w:rtl w:val="0"/>
              </w:rPr>
              <w:t xml:space="preserve">Dados de metilação de DNA, permitindo análises de regiões diferencialmente metiladas (DMRs) e correlação entre o estado epigenético de regiões regulatórias e a expressão gênica.</w:t>
            </w:r>
            <w:r w:rsidDel="00000000" w:rsidR="00000000" w:rsidRPr="00000000">
              <w:rPr>
                <w:rtl w:val="0"/>
              </w:rPr>
            </w:r>
          </w:p>
        </w:tc>
      </w:tr>
    </w:tbl>
    <w:p w:rsidR="00000000" w:rsidDel="00000000" w:rsidP="00000000" w:rsidRDefault="00000000" w:rsidRPr="00000000" w14:paraId="00000034">
      <w:pPr>
        <w:spacing w:after="120" w:before="0" w:lineRule="auto"/>
        <w:rPr/>
      </w:pPr>
      <w:r w:rsidDel="00000000" w:rsidR="00000000" w:rsidRPr="00000000">
        <w:rPr>
          <w:rtl w:val="0"/>
        </w:rPr>
      </w:r>
    </w:p>
    <w:p w:rsidR="00000000" w:rsidDel="00000000" w:rsidP="00000000" w:rsidRDefault="00000000" w:rsidRPr="00000000" w14:paraId="00000035">
      <w:pPr>
        <w:spacing w:after="120" w:before="0" w:lineRule="auto"/>
        <w:rPr/>
      </w:pPr>
      <w:r w:rsidDel="00000000" w:rsidR="00000000" w:rsidRPr="00000000">
        <w:rPr>
          <w:rFonts w:ascii="Calibri" w:cs="Calibri" w:eastAsia="Calibri" w:hAnsi="Calibri"/>
          <w:i w:val="1"/>
          <w:iCs w:val="1"/>
          <w:color w:val="4a5568"/>
          <w:sz w:val="20"/>
          <w:szCs w:val="20"/>
          <w:rtl w:val="0"/>
        </w:rPr>
        <w:t xml:space="preserve">Os formatos e versões específicas de cada dataset serão detalhados no repositório do desafio.</w:t>
      </w:r>
      <w:r w:rsidDel="00000000" w:rsidR="00000000" w:rsidRPr="00000000">
        <w:rPr>
          <w:rtl w:val="0"/>
        </w:rPr>
      </w:r>
    </w:p>
    <w:p w:rsidR="00000000" w:rsidDel="00000000" w:rsidP="00000000" w:rsidRDefault="00000000" w:rsidRPr="00000000" w14:paraId="00000036">
      <w:pPr>
        <w:pBdr>
          <w:bottom w:color="1e56b8" w:space="6" w:sz="6" w:val="single"/>
        </w:pBdr>
        <w:spacing w:after="120" w:before="400" w:lineRule="auto"/>
        <w:rPr/>
      </w:pPr>
      <w:r w:rsidDel="00000000" w:rsidR="00000000" w:rsidRPr="00000000">
        <w:rPr>
          <w:rFonts w:ascii="Calibri" w:cs="Calibri" w:eastAsia="Calibri" w:hAnsi="Calibri"/>
          <w:b w:val="1"/>
          <w:bCs w:val="1"/>
          <w:color w:val="2e7dd1"/>
          <w:sz w:val="26"/>
          <w:szCs w:val="26"/>
          <w:rtl w:val="0"/>
        </w:rPr>
        <w:t xml:space="preserve">● </w:t>
      </w:r>
      <w:r w:rsidDel="00000000" w:rsidR="00000000" w:rsidRPr="00000000">
        <w:rPr>
          <w:rFonts w:ascii="Calibri" w:cs="Calibri" w:eastAsia="Calibri" w:hAnsi="Calibri"/>
          <w:b w:val="1"/>
          <w:bCs w:val="1"/>
          <w:color w:val="0d1f4c"/>
          <w:sz w:val="26"/>
          <w:szCs w:val="26"/>
          <w:rtl w:val="0"/>
        </w:rPr>
        <w:t xml:space="preserve">Possíveis Abordagens</w:t>
      </w:r>
      <w:r w:rsidDel="00000000" w:rsidR="00000000" w:rsidRPr="00000000">
        <w:rPr>
          <w:rtl w:val="0"/>
        </w:rPr>
      </w:r>
    </w:p>
    <w:p w:rsidR="00000000" w:rsidDel="00000000" w:rsidP="00000000" w:rsidRDefault="00000000" w:rsidRPr="00000000" w14:paraId="00000037">
      <w:pPr>
        <w:spacing w:after="120" w:before="0" w:lineRule="auto"/>
        <w:rPr/>
      </w:pPr>
      <w:r w:rsidDel="00000000" w:rsidR="00000000" w:rsidRPr="00000000">
        <w:rPr>
          <w:rFonts w:ascii="Calibri" w:cs="Calibri" w:eastAsia="Calibri" w:hAnsi="Calibri"/>
          <w:i w:val="0"/>
          <w:iCs w:val="0"/>
          <w:color w:val="4a5568"/>
          <w:sz w:val="20"/>
          <w:szCs w:val="20"/>
          <w:rtl w:val="0"/>
        </w:rPr>
        <w:t xml:space="preserve">As equipes deverão desenvolver soluções computacionais reprodutíveis para integrar datasets multiômicos bovinos e identificar genes candidatos, vias regulatórias, regiões funcionais do genoma, assinaturas moleculares e tipos celulares relevantes para a biologia da lactação e seus mecanismos adaptativos.</w:t>
      </w:r>
      <w:r w:rsidDel="00000000" w:rsidR="00000000" w:rsidRPr="00000000">
        <w:rPr>
          <w:rtl w:val="0"/>
        </w:rPr>
      </w:r>
    </w:p>
    <w:p w:rsidR="00000000" w:rsidDel="00000000" w:rsidP="00000000" w:rsidRDefault="00000000" w:rsidRPr="00000000" w14:paraId="00000038">
      <w:pPr>
        <w:spacing w:after="120" w:before="0" w:lineRule="auto"/>
        <w:rPr/>
      </w:pPr>
      <w:r w:rsidDel="00000000" w:rsidR="00000000" w:rsidRPr="00000000">
        <w:rPr>
          <w:rFonts w:ascii="Calibri" w:cs="Calibri" w:eastAsia="Calibri" w:hAnsi="Calibri"/>
          <w:i w:val="0"/>
          <w:iCs w:val="0"/>
          <w:color w:val="4a5568"/>
          <w:sz w:val="20"/>
          <w:szCs w:val="20"/>
          <w:rtl w:val="0"/>
        </w:rPr>
        <w:t xml:space="preserve">As propostas deverão priorizar rigor científico, integração metodológica, interpretação biológica, reprodutibilidade computacional e potencial de geração de conhecimento aplicável à cadeia produtiva do leite e à bioeconomia agropecuária.</w:t>
      </w:r>
      <w:r w:rsidDel="00000000" w:rsidR="00000000" w:rsidRPr="00000000">
        <w:rPr>
          <w:rtl w:val="0"/>
        </w:rPr>
      </w:r>
    </w:p>
    <w:p w:rsidR="00000000" w:rsidDel="00000000" w:rsidP="00000000" w:rsidRDefault="00000000" w:rsidRPr="00000000" w14:paraId="00000039">
      <w:pPr>
        <w:spacing w:after="80" w:before="0" w:lineRule="auto"/>
        <w:rPr/>
      </w:pPr>
      <w:r w:rsidDel="00000000" w:rsidR="00000000" w:rsidRPr="00000000">
        <w:rPr>
          <w:rtl w:val="0"/>
        </w:rPr>
      </w:r>
    </w:p>
    <w:p w:rsidR="00000000" w:rsidDel="00000000" w:rsidP="00000000" w:rsidRDefault="00000000" w:rsidRPr="00000000" w14:paraId="0000003A">
      <w:pPr>
        <w:spacing w:after="80" w:before="240" w:lineRule="auto"/>
        <w:rPr/>
      </w:pPr>
      <w:r w:rsidDel="00000000" w:rsidR="00000000" w:rsidRPr="00000000">
        <w:rPr>
          <w:rFonts w:ascii="Calibri" w:cs="Calibri" w:eastAsia="Calibri" w:hAnsi="Calibri"/>
          <w:b w:val="1"/>
          <w:bCs w:val="1"/>
          <w:color w:val="1e56b8"/>
          <w:sz w:val="22"/>
          <w:szCs w:val="22"/>
          <w:rtl w:val="0"/>
        </w:rPr>
        <w:t xml:space="preserve">Dados centrais</w:t>
      </w:r>
      <w:r w:rsidDel="00000000" w:rsidR="00000000" w:rsidRPr="00000000">
        <w:rPr>
          <w:rtl w:val="0"/>
        </w:rPr>
      </w:r>
    </w:p>
    <w:p w:rsidR="00000000" w:rsidDel="00000000" w:rsidP="00000000" w:rsidRDefault="00000000" w:rsidRPr="00000000" w14:paraId="0000003B">
      <w:pPr>
        <w:spacing w:after="60" w:before="60" w:lineRule="auto"/>
        <w:ind w:left="480" w:hanging="360"/>
        <w:rPr/>
      </w:pPr>
      <w:r w:rsidDel="00000000" w:rsidR="00000000" w:rsidRPr="00000000">
        <w:rPr>
          <w:rFonts w:ascii="Calibri" w:cs="Calibri" w:eastAsia="Calibri" w:hAnsi="Calibri"/>
          <w:b w:val="1"/>
          <w:bCs w:val="1"/>
          <w:color w:val="2e7dd1"/>
          <w:sz w:val="20"/>
          <w:szCs w:val="20"/>
          <w:rtl w:val="0"/>
        </w:rPr>
        <w:t xml:space="preserve">▸  </w:t>
      </w:r>
      <w:r w:rsidDel="00000000" w:rsidR="00000000" w:rsidRPr="00000000">
        <w:rPr>
          <w:rFonts w:ascii="Calibri" w:cs="Calibri" w:eastAsia="Calibri" w:hAnsi="Calibri"/>
          <w:b w:val="1"/>
          <w:bCs w:val="1"/>
          <w:color w:val="0d1f4c"/>
          <w:sz w:val="20"/>
          <w:szCs w:val="20"/>
          <w:rtl w:val="0"/>
        </w:rPr>
        <w:t xml:space="preserve">RNA-seq bulk</w:t>
      </w:r>
      <w:r w:rsidDel="00000000" w:rsidR="00000000" w:rsidRPr="00000000">
        <w:rPr>
          <w:rFonts w:ascii="Calibri" w:cs="Calibri" w:eastAsia="Calibri" w:hAnsi="Calibri"/>
          <w:color w:val="4a5568"/>
          <w:sz w:val="20"/>
          <w:szCs w:val="20"/>
          <w:rtl w:val="0"/>
        </w:rPr>
        <w:t xml:space="preserve"> — análise da expressão gênica em glândula mamária bovina</w:t>
      </w:r>
      <w:r w:rsidDel="00000000" w:rsidR="00000000" w:rsidRPr="00000000">
        <w:rPr>
          <w:rtl w:val="0"/>
        </w:rPr>
      </w:r>
    </w:p>
    <w:p w:rsidR="00000000" w:rsidDel="00000000" w:rsidP="00000000" w:rsidRDefault="00000000" w:rsidRPr="00000000" w14:paraId="0000003C">
      <w:pPr>
        <w:spacing w:after="60" w:before="60" w:lineRule="auto"/>
        <w:ind w:left="480" w:hanging="360"/>
        <w:rPr/>
      </w:pPr>
      <w:r w:rsidDel="00000000" w:rsidR="00000000" w:rsidRPr="00000000">
        <w:rPr>
          <w:rFonts w:ascii="Calibri" w:cs="Calibri" w:eastAsia="Calibri" w:hAnsi="Calibri"/>
          <w:b w:val="1"/>
          <w:bCs w:val="1"/>
          <w:color w:val="2e7dd1"/>
          <w:sz w:val="20"/>
          <w:szCs w:val="20"/>
          <w:rtl w:val="0"/>
        </w:rPr>
        <w:t xml:space="preserve">▸  </w:t>
      </w:r>
      <w:r w:rsidDel="00000000" w:rsidR="00000000" w:rsidRPr="00000000">
        <w:rPr>
          <w:rFonts w:ascii="Calibri" w:cs="Calibri" w:eastAsia="Calibri" w:hAnsi="Calibri"/>
          <w:b w:val="1"/>
          <w:bCs w:val="1"/>
          <w:color w:val="0d1f4c"/>
          <w:sz w:val="20"/>
          <w:szCs w:val="20"/>
          <w:rtl w:val="0"/>
        </w:rPr>
        <w:t xml:space="preserve">ATAC-seq</w:t>
      </w:r>
      <w:r w:rsidDel="00000000" w:rsidR="00000000" w:rsidRPr="00000000">
        <w:rPr>
          <w:rFonts w:ascii="Calibri" w:cs="Calibri" w:eastAsia="Calibri" w:hAnsi="Calibri"/>
          <w:color w:val="4a5568"/>
          <w:sz w:val="20"/>
          <w:szCs w:val="20"/>
          <w:rtl w:val="0"/>
        </w:rPr>
        <w:t xml:space="preserve"> — análise de acessibilidade cromatínica e regiões regulatórias</w:t>
      </w:r>
      <w:r w:rsidDel="00000000" w:rsidR="00000000" w:rsidRPr="00000000">
        <w:rPr>
          <w:rtl w:val="0"/>
        </w:rPr>
      </w:r>
    </w:p>
    <w:p w:rsidR="00000000" w:rsidDel="00000000" w:rsidP="00000000" w:rsidRDefault="00000000" w:rsidRPr="00000000" w14:paraId="0000003D">
      <w:pPr>
        <w:spacing w:after="60" w:before="60" w:lineRule="auto"/>
        <w:ind w:left="480" w:hanging="360"/>
        <w:rPr/>
      </w:pPr>
      <w:r w:rsidDel="00000000" w:rsidR="00000000" w:rsidRPr="00000000">
        <w:rPr>
          <w:rFonts w:ascii="Calibri" w:cs="Calibri" w:eastAsia="Calibri" w:hAnsi="Calibri"/>
          <w:b w:val="1"/>
          <w:bCs w:val="1"/>
          <w:color w:val="2e7dd1"/>
          <w:sz w:val="20"/>
          <w:szCs w:val="20"/>
          <w:rtl w:val="0"/>
        </w:rPr>
        <w:t xml:space="preserve">▸  </w:t>
      </w:r>
      <w:r w:rsidDel="00000000" w:rsidR="00000000" w:rsidRPr="00000000">
        <w:rPr>
          <w:rFonts w:ascii="Calibri" w:cs="Calibri" w:eastAsia="Calibri" w:hAnsi="Calibri"/>
          <w:b w:val="1"/>
          <w:bCs w:val="1"/>
          <w:color w:val="0d1f4c"/>
          <w:sz w:val="20"/>
          <w:szCs w:val="20"/>
          <w:rtl w:val="0"/>
        </w:rPr>
        <w:t xml:space="preserve">BS-seq / Metilação de DNA</w:t>
      </w:r>
      <w:r w:rsidDel="00000000" w:rsidR="00000000" w:rsidRPr="00000000">
        <w:rPr>
          <w:rFonts w:ascii="Calibri" w:cs="Calibri" w:eastAsia="Calibri" w:hAnsi="Calibri"/>
          <w:color w:val="4a5568"/>
          <w:sz w:val="20"/>
          <w:szCs w:val="20"/>
          <w:rtl w:val="0"/>
        </w:rPr>
        <w:t xml:space="preserve"> — análise epigenética complementar</w:t>
      </w:r>
      <w:r w:rsidDel="00000000" w:rsidR="00000000" w:rsidRPr="00000000">
        <w:rPr>
          <w:rtl w:val="0"/>
        </w:rPr>
      </w:r>
    </w:p>
    <w:p w:rsidR="00000000" w:rsidDel="00000000" w:rsidP="00000000" w:rsidRDefault="00000000" w:rsidRPr="00000000" w14:paraId="0000003E">
      <w:pPr>
        <w:spacing w:after="80" w:before="0" w:lineRule="auto"/>
        <w:rPr/>
      </w:pPr>
      <w:r w:rsidDel="00000000" w:rsidR="00000000" w:rsidRPr="00000000">
        <w:rPr>
          <w:rtl w:val="0"/>
        </w:rPr>
      </w:r>
    </w:p>
    <w:p w:rsidR="00000000" w:rsidDel="00000000" w:rsidP="00000000" w:rsidRDefault="00000000" w:rsidRPr="00000000" w14:paraId="0000003F">
      <w:pPr>
        <w:spacing w:after="80" w:before="240" w:lineRule="auto"/>
        <w:rPr/>
      </w:pPr>
      <w:r w:rsidDel="00000000" w:rsidR="00000000" w:rsidRPr="00000000">
        <w:rPr>
          <w:rFonts w:ascii="Calibri" w:cs="Calibri" w:eastAsia="Calibri" w:hAnsi="Calibri"/>
          <w:b w:val="1"/>
          <w:bCs w:val="1"/>
          <w:color w:val="1e56b8"/>
          <w:sz w:val="22"/>
          <w:szCs w:val="22"/>
          <w:rtl w:val="0"/>
        </w:rPr>
        <w:t xml:space="preserve">Dados complementares</w:t>
      </w:r>
      <w:r w:rsidDel="00000000" w:rsidR="00000000" w:rsidRPr="00000000">
        <w:rPr>
          <w:rtl w:val="0"/>
        </w:rPr>
      </w:r>
    </w:p>
    <w:p w:rsidR="00000000" w:rsidDel="00000000" w:rsidP="00000000" w:rsidRDefault="00000000" w:rsidRPr="00000000" w14:paraId="00000040">
      <w:pPr>
        <w:spacing w:after="60" w:before="60" w:lineRule="auto"/>
        <w:ind w:left="480" w:hanging="360"/>
        <w:rPr/>
      </w:pPr>
      <w:r w:rsidDel="00000000" w:rsidR="00000000" w:rsidRPr="00000000">
        <w:rPr>
          <w:rFonts w:ascii="Calibri" w:cs="Calibri" w:eastAsia="Calibri" w:hAnsi="Calibri"/>
          <w:b w:val="1"/>
          <w:bCs w:val="1"/>
          <w:color w:val="2e7dd1"/>
          <w:sz w:val="20"/>
          <w:szCs w:val="20"/>
          <w:rtl w:val="0"/>
        </w:rPr>
        <w:t xml:space="preserve">▸  </w:t>
      </w:r>
      <w:r w:rsidDel="00000000" w:rsidR="00000000" w:rsidRPr="00000000">
        <w:rPr>
          <w:rFonts w:ascii="Calibri" w:cs="Calibri" w:eastAsia="Calibri" w:hAnsi="Calibri"/>
          <w:b w:val="1"/>
          <w:bCs w:val="1"/>
          <w:color w:val="0d1f4c"/>
          <w:sz w:val="20"/>
          <w:szCs w:val="20"/>
          <w:rtl w:val="0"/>
        </w:rPr>
        <w:t xml:space="preserve">sc/snRNA-seq</w:t>
      </w:r>
      <w:r w:rsidDel="00000000" w:rsidR="00000000" w:rsidRPr="00000000">
        <w:rPr>
          <w:rFonts w:ascii="Calibri" w:cs="Calibri" w:eastAsia="Calibri" w:hAnsi="Calibri"/>
          <w:color w:val="4a5568"/>
          <w:sz w:val="20"/>
          <w:szCs w:val="20"/>
          <w:rtl w:val="0"/>
        </w:rPr>
        <w:t xml:space="preserve"> — interpretação de tipos celulares da glândula mamária</w:t>
      </w:r>
      <w:r w:rsidDel="00000000" w:rsidR="00000000" w:rsidRPr="00000000">
        <w:rPr>
          <w:rtl w:val="0"/>
        </w:rPr>
      </w:r>
    </w:p>
    <w:p w:rsidR="00000000" w:rsidDel="00000000" w:rsidP="00000000" w:rsidRDefault="00000000" w:rsidRPr="00000000" w14:paraId="00000041">
      <w:pPr>
        <w:spacing w:after="60" w:before="60" w:lineRule="auto"/>
        <w:ind w:left="480" w:hanging="360"/>
        <w:rPr/>
      </w:pPr>
      <w:r w:rsidDel="00000000" w:rsidR="00000000" w:rsidRPr="00000000">
        <w:rPr>
          <w:rFonts w:ascii="Calibri" w:cs="Calibri" w:eastAsia="Calibri" w:hAnsi="Calibri"/>
          <w:b w:val="1"/>
          <w:bCs w:val="1"/>
          <w:color w:val="2e7dd1"/>
          <w:sz w:val="20"/>
          <w:szCs w:val="20"/>
          <w:rtl w:val="0"/>
        </w:rPr>
        <w:t xml:space="preserve">▸  </w:t>
      </w:r>
      <w:r w:rsidDel="00000000" w:rsidR="00000000" w:rsidRPr="00000000">
        <w:rPr>
          <w:rFonts w:ascii="Calibri" w:cs="Calibri" w:eastAsia="Calibri" w:hAnsi="Calibri"/>
          <w:b w:val="1"/>
          <w:bCs w:val="1"/>
          <w:color w:val="0d1f4c"/>
          <w:sz w:val="20"/>
          <w:szCs w:val="20"/>
          <w:rtl w:val="0"/>
        </w:rPr>
        <w:t xml:space="preserve">Metabolômica</w:t>
      </w:r>
      <w:r w:rsidDel="00000000" w:rsidR="00000000" w:rsidRPr="00000000">
        <w:rPr>
          <w:rFonts w:ascii="Calibri" w:cs="Calibri" w:eastAsia="Calibri" w:hAnsi="Calibri"/>
          <w:color w:val="4a5568"/>
          <w:sz w:val="20"/>
          <w:szCs w:val="20"/>
          <w:rtl w:val="0"/>
        </w:rPr>
        <w:t xml:space="preserve"> — análises complementares de metabolismo associado à lactação</w:t>
      </w:r>
      <w:r w:rsidDel="00000000" w:rsidR="00000000" w:rsidRPr="00000000">
        <w:rPr>
          <w:rtl w:val="0"/>
        </w:rPr>
      </w:r>
    </w:p>
    <w:p w:rsidR="00000000" w:rsidDel="00000000" w:rsidP="00000000" w:rsidRDefault="00000000" w:rsidRPr="00000000" w14:paraId="00000042">
      <w:pPr>
        <w:spacing w:after="60" w:before="60" w:lineRule="auto"/>
        <w:ind w:left="480" w:hanging="360"/>
        <w:rPr/>
      </w:pPr>
      <w:r w:rsidDel="00000000" w:rsidR="00000000" w:rsidRPr="00000000">
        <w:rPr>
          <w:rFonts w:ascii="Calibri" w:cs="Calibri" w:eastAsia="Calibri" w:hAnsi="Calibri"/>
          <w:b w:val="1"/>
          <w:bCs w:val="1"/>
          <w:color w:val="2e7dd1"/>
          <w:sz w:val="20"/>
          <w:szCs w:val="20"/>
          <w:rtl w:val="0"/>
        </w:rPr>
        <w:t xml:space="preserve">▸  </w:t>
      </w:r>
      <w:r w:rsidDel="00000000" w:rsidR="00000000" w:rsidRPr="00000000">
        <w:rPr>
          <w:rFonts w:ascii="Calibri" w:cs="Calibri" w:eastAsia="Calibri" w:hAnsi="Calibri"/>
          <w:b w:val="1"/>
          <w:bCs w:val="1"/>
          <w:color w:val="0d1f4c"/>
          <w:sz w:val="20"/>
          <w:szCs w:val="20"/>
          <w:rtl w:val="0"/>
        </w:rPr>
        <w:t xml:space="preserve">Datasets públicos externos</w:t>
      </w:r>
      <w:r w:rsidDel="00000000" w:rsidR="00000000" w:rsidRPr="00000000">
        <w:rPr>
          <w:rFonts w:ascii="Calibri" w:cs="Calibri" w:eastAsia="Calibri" w:hAnsi="Calibri"/>
          <w:color w:val="4a5568"/>
          <w:sz w:val="20"/>
          <w:szCs w:val="20"/>
          <w:rtl w:val="0"/>
        </w:rPr>
        <w:t xml:space="preserve"> — validação cross-cohort ou comparação com outros estudos</w:t>
      </w:r>
      <w:r w:rsidDel="00000000" w:rsidR="00000000" w:rsidRPr="00000000">
        <w:rPr>
          <w:rtl w:val="0"/>
        </w:rPr>
      </w:r>
    </w:p>
    <w:p w:rsidR="00000000" w:rsidDel="00000000" w:rsidP="00000000" w:rsidRDefault="00000000" w:rsidRPr="00000000" w14:paraId="00000043">
      <w:pPr>
        <w:spacing w:after="120" w:before="0" w:lineRule="auto"/>
        <w:rPr/>
      </w:pPr>
      <w:r w:rsidDel="00000000" w:rsidR="00000000" w:rsidRPr="00000000">
        <w:rPr>
          <w:rtl w:val="0"/>
        </w:rPr>
      </w:r>
    </w:p>
    <w:p w:rsidR="00000000" w:rsidDel="00000000" w:rsidP="00000000" w:rsidRDefault="00000000" w:rsidRPr="00000000" w14:paraId="00000044">
      <w:pPr>
        <w:pBdr>
          <w:bottom w:color="1e56b8" w:space="6" w:sz="6" w:val="single"/>
        </w:pBdr>
        <w:spacing w:after="120" w:before="400" w:lineRule="auto"/>
        <w:rPr/>
      </w:pPr>
      <w:r w:rsidDel="00000000" w:rsidR="00000000" w:rsidRPr="00000000">
        <w:rPr>
          <w:rFonts w:ascii="Calibri" w:cs="Calibri" w:eastAsia="Calibri" w:hAnsi="Calibri"/>
          <w:b w:val="1"/>
          <w:bCs w:val="1"/>
          <w:color w:val="2e7dd1"/>
          <w:sz w:val="26"/>
          <w:szCs w:val="26"/>
          <w:rtl w:val="0"/>
        </w:rPr>
        <w:t xml:space="preserve">● </w:t>
      </w:r>
      <w:r w:rsidDel="00000000" w:rsidR="00000000" w:rsidRPr="00000000">
        <w:rPr>
          <w:rFonts w:ascii="Calibri" w:cs="Calibri" w:eastAsia="Calibri" w:hAnsi="Calibri"/>
          <w:b w:val="1"/>
          <w:bCs w:val="1"/>
          <w:color w:val="0d1f4c"/>
          <w:sz w:val="26"/>
          <w:szCs w:val="26"/>
          <w:rtl w:val="0"/>
        </w:rPr>
        <w:t xml:space="preserve">Perguntas que as Equipes Podem Explorar</w:t>
      </w:r>
      <w:r w:rsidDel="00000000" w:rsidR="00000000" w:rsidRPr="00000000">
        <w:rPr>
          <w:rtl w:val="0"/>
        </w:rPr>
      </w:r>
    </w:p>
    <w:p w:rsidR="00000000" w:rsidDel="00000000" w:rsidP="00000000" w:rsidRDefault="00000000" w:rsidRPr="00000000" w14:paraId="00000045">
      <w:pPr>
        <w:spacing w:after="40" w:before="0" w:lineRule="auto"/>
        <w:rPr/>
      </w:pPr>
      <w:r w:rsidDel="00000000" w:rsidR="00000000" w:rsidRPr="00000000">
        <w:rPr>
          <w:rtl w:val="0"/>
        </w:rPr>
      </w:r>
    </w:p>
    <w:p w:rsidR="00000000" w:rsidDel="00000000" w:rsidP="00000000" w:rsidRDefault="00000000" w:rsidRPr="00000000" w14:paraId="00000046">
      <w:pPr>
        <w:spacing w:after="60" w:before="60" w:lineRule="auto"/>
        <w:ind w:left="480" w:hanging="360"/>
        <w:rPr/>
      </w:pPr>
      <w:r w:rsidDel="00000000" w:rsidR="00000000" w:rsidRPr="00000000">
        <w:rPr>
          <w:rFonts w:ascii="Calibri" w:cs="Calibri" w:eastAsia="Calibri" w:hAnsi="Calibri"/>
          <w:b w:val="1"/>
          <w:bCs w:val="1"/>
          <w:color w:val="c05621"/>
          <w:sz w:val="20"/>
          <w:szCs w:val="20"/>
          <w:rtl w:val="0"/>
        </w:rPr>
        <w:t xml:space="preserve">?  </w:t>
      </w:r>
      <w:r w:rsidDel="00000000" w:rsidR="00000000" w:rsidRPr="00000000">
        <w:rPr>
          <w:rFonts w:ascii="Calibri" w:cs="Calibri" w:eastAsia="Calibri" w:hAnsi="Calibri"/>
          <w:color w:val="4a5568"/>
          <w:sz w:val="20"/>
          <w:szCs w:val="20"/>
          <w:rtl w:val="0"/>
        </w:rPr>
        <w:t xml:space="preserve">Quais genes da glândula mamária bovina são mais promissores como candidatos associados à produção ou à composição do leite?</w:t>
      </w:r>
      <w:r w:rsidDel="00000000" w:rsidR="00000000" w:rsidRPr="00000000">
        <w:rPr>
          <w:rtl w:val="0"/>
        </w:rPr>
      </w:r>
    </w:p>
    <w:p w:rsidR="00000000" w:rsidDel="00000000" w:rsidP="00000000" w:rsidRDefault="00000000" w:rsidRPr="00000000" w14:paraId="00000047">
      <w:pPr>
        <w:spacing w:after="60" w:before="60" w:lineRule="auto"/>
        <w:ind w:left="480" w:hanging="360"/>
        <w:rPr/>
      </w:pPr>
      <w:r w:rsidDel="00000000" w:rsidR="00000000" w:rsidRPr="00000000">
        <w:rPr>
          <w:rFonts w:ascii="Calibri" w:cs="Calibri" w:eastAsia="Calibri" w:hAnsi="Calibri"/>
          <w:b w:val="1"/>
          <w:bCs w:val="1"/>
          <w:color w:val="c05621"/>
          <w:sz w:val="20"/>
          <w:szCs w:val="20"/>
          <w:rtl w:val="0"/>
        </w:rPr>
        <w:t xml:space="preserve">?  </w:t>
      </w:r>
      <w:r w:rsidDel="00000000" w:rsidR="00000000" w:rsidRPr="00000000">
        <w:rPr>
          <w:rFonts w:ascii="Calibri" w:cs="Calibri" w:eastAsia="Calibri" w:hAnsi="Calibri"/>
          <w:color w:val="4a5568"/>
          <w:sz w:val="20"/>
          <w:szCs w:val="20"/>
          <w:rtl w:val="0"/>
        </w:rPr>
        <w:t xml:space="preserve">Quais regiões regulatórias acessíveis por ATAC-seq parecem estar associadas a genes relevantes para lactação, metabolismo lipídico ou síntese de proteínas do leite?</w:t>
      </w:r>
      <w:r w:rsidDel="00000000" w:rsidR="00000000" w:rsidRPr="00000000">
        <w:rPr>
          <w:rtl w:val="0"/>
        </w:rPr>
      </w:r>
    </w:p>
    <w:p w:rsidR="00000000" w:rsidDel="00000000" w:rsidP="00000000" w:rsidRDefault="00000000" w:rsidRPr="00000000" w14:paraId="00000048">
      <w:pPr>
        <w:spacing w:after="60" w:before="60" w:lineRule="auto"/>
        <w:ind w:left="480" w:hanging="360"/>
        <w:rPr/>
      </w:pPr>
      <w:r w:rsidDel="00000000" w:rsidR="00000000" w:rsidRPr="00000000">
        <w:rPr>
          <w:rFonts w:ascii="Calibri" w:cs="Calibri" w:eastAsia="Calibri" w:hAnsi="Calibri"/>
          <w:b w:val="1"/>
          <w:bCs w:val="1"/>
          <w:color w:val="c05621"/>
          <w:sz w:val="20"/>
          <w:szCs w:val="20"/>
          <w:rtl w:val="0"/>
        </w:rPr>
        <w:t xml:space="preserve">?  </w:t>
      </w:r>
      <w:r w:rsidDel="00000000" w:rsidR="00000000" w:rsidRPr="00000000">
        <w:rPr>
          <w:rFonts w:ascii="Calibri" w:cs="Calibri" w:eastAsia="Calibri" w:hAnsi="Calibri"/>
          <w:color w:val="4a5568"/>
          <w:sz w:val="20"/>
          <w:szCs w:val="20"/>
          <w:rtl w:val="0"/>
        </w:rPr>
        <w:t xml:space="preserve">Dados de metilação de DNA ajudam a priorizar genes, regiões regulatórias ou mecanismos epigenéticos associados à função mamária?</w:t>
      </w:r>
      <w:r w:rsidDel="00000000" w:rsidR="00000000" w:rsidRPr="00000000">
        <w:rPr>
          <w:rtl w:val="0"/>
        </w:rPr>
      </w:r>
    </w:p>
    <w:p w:rsidR="00000000" w:rsidDel="00000000" w:rsidP="00000000" w:rsidRDefault="00000000" w:rsidRPr="00000000" w14:paraId="00000049">
      <w:pPr>
        <w:spacing w:after="60" w:before="60" w:lineRule="auto"/>
        <w:ind w:left="480" w:hanging="360"/>
        <w:rPr/>
      </w:pPr>
      <w:r w:rsidDel="00000000" w:rsidR="00000000" w:rsidRPr="00000000">
        <w:rPr>
          <w:rFonts w:ascii="Calibri" w:cs="Calibri" w:eastAsia="Calibri" w:hAnsi="Calibri"/>
          <w:b w:val="1"/>
          <w:bCs w:val="1"/>
          <w:color w:val="c05621"/>
          <w:sz w:val="20"/>
          <w:szCs w:val="20"/>
          <w:rtl w:val="0"/>
        </w:rPr>
        <w:t xml:space="preserve">?  </w:t>
      </w:r>
      <w:r w:rsidDel="00000000" w:rsidR="00000000" w:rsidRPr="00000000">
        <w:rPr>
          <w:rFonts w:ascii="Calibri" w:cs="Calibri" w:eastAsia="Calibri" w:hAnsi="Calibri"/>
          <w:color w:val="4a5568"/>
          <w:sz w:val="20"/>
          <w:szCs w:val="20"/>
          <w:rtl w:val="0"/>
        </w:rPr>
        <w:t xml:space="preserve">Quais tipos celulares da glândula mamária expressam os genes candidatos identificados nas análises bulk?</w:t>
      </w:r>
      <w:r w:rsidDel="00000000" w:rsidR="00000000" w:rsidRPr="00000000">
        <w:rPr>
          <w:rtl w:val="0"/>
        </w:rPr>
      </w:r>
    </w:p>
    <w:p w:rsidR="00000000" w:rsidDel="00000000" w:rsidP="00000000" w:rsidRDefault="00000000" w:rsidRPr="00000000" w14:paraId="0000004A">
      <w:pPr>
        <w:spacing w:after="60" w:before="60" w:lineRule="auto"/>
        <w:ind w:left="480" w:hanging="360"/>
        <w:rPr/>
      </w:pPr>
      <w:r w:rsidDel="00000000" w:rsidR="00000000" w:rsidRPr="00000000">
        <w:rPr>
          <w:rFonts w:ascii="Calibri" w:cs="Calibri" w:eastAsia="Calibri" w:hAnsi="Calibri"/>
          <w:b w:val="1"/>
          <w:bCs w:val="1"/>
          <w:color w:val="c05621"/>
          <w:sz w:val="20"/>
          <w:szCs w:val="20"/>
          <w:rtl w:val="0"/>
        </w:rPr>
        <w:t xml:space="preserve">?  </w:t>
      </w:r>
      <w:r w:rsidDel="00000000" w:rsidR="00000000" w:rsidRPr="00000000">
        <w:rPr>
          <w:rFonts w:ascii="Calibri" w:cs="Calibri" w:eastAsia="Calibri" w:hAnsi="Calibri"/>
          <w:color w:val="4a5568"/>
          <w:sz w:val="20"/>
          <w:szCs w:val="20"/>
          <w:rtl w:val="0"/>
        </w:rPr>
        <w:t xml:space="preserve">É possível construir uma assinatura molecular associada a características como gordura, proteína ou atividade secretora da glândula mamária?</w:t>
      </w:r>
      <w:r w:rsidDel="00000000" w:rsidR="00000000" w:rsidRPr="00000000">
        <w:rPr>
          <w:rtl w:val="0"/>
        </w:rPr>
      </w:r>
    </w:p>
    <w:p w:rsidR="00000000" w:rsidDel="00000000" w:rsidP="00000000" w:rsidRDefault="00000000" w:rsidRPr="00000000" w14:paraId="0000004B">
      <w:pPr>
        <w:spacing w:after="60" w:before="60" w:lineRule="auto"/>
        <w:ind w:left="480" w:hanging="360"/>
        <w:rPr/>
      </w:pPr>
      <w:r w:rsidDel="00000000" w:rsidR="00000000" w:rsidRPr="00000000">
        <w:rPr>
          <w:rFonts w:ascii="Calibri" w:cs="Calibri" w:eastAsia="Calibri" w:hAnsi="Calibri"/>
          <w:b w:val="1"/>
          <w:bCs w:val="1"/>
          <w:color w:val="c05621"/>
          <w:sz w:val="20"/>
          <w:szCs w:val="20"/>
          <w:rtl w:val="0"/>
        </w:rPr>
        <w:t xml:space="preserve">?  </w:t>
      </w:r>
      <w:r w:rsidDel="00000000" w:rsidR="00000000" w:rsidRPr="00000000">
        <w:rPr>
          <w:rFonts w:ascii="Calibri" w:cs="Calibri" w:eastAsia="Calibri" w:hAnsi="Calibri"/>
          <w:color w:val="4a5568"/>
          <w:sz w:val="20"/>
          <w:szCs w:val="20"/>
          <w:rtl w:val="0"/>
        </w:rPr>
        <w:t xml:space="preserve">Há concordância entre expressão gênica, acessibilidade cromatínica e metilação para os mesmos genes, vias ou processos biológicos?</w:t>
      </w:r>
      <w:r w:rsidDel="00000000" w:rsidR="00000000" w:rsidRPr="00000000">
        <w:rPr>
          <w:rtl w:val="0"/>
        </w:rPr>
      </w:r>
    </w:p>
    <w:p w:rsidR="00000000" w:rsidDel="00000000" w:rsidP="00000000" w:rsidRDefault="00000000" w:rsidRPr="00000000" w14:paraId="0000004C">
      <w:pPr>
        <w:spacing w:after="60" w:before="60" w:lineRule="auto"/>
        <w:ind w:left="480" w:hanging="360"/>
        <w:rPr/>
      </w:pPr>
      <w:r w:rsidDel="00000000" w:rsidR="00000000" w:rsidRPr="00000000">
        <w:rPr>
          <w:rFonts w:ascii="Calibri" w:cs="Calibri" w:eastAsia="Calibri" w:hAnsi="Calibri"/>
          <w:b w:val="1"/>
          <w:bCs w:val="1"/>
          <w:color w:val="c05621"/>
          <w:sz w:val="20"/>
          <w:szCs w:val="20"/>
          <w:rtl w:val="0"/>
        </w:rPr>
        <w:t xml:space="preserve">?  </w:t>
      </w:r>
      <w:r w:rsidDel="00000000" w:rsidR="00000000" w:rsidRPr="00000000">
        <w:rPr>
          <w:rFonts w:ascii="Calibri" w:cs="Calibri" w:eastAsia="Calibri" w:hAnsi="Calibri"/>
          <w:color w:val="4a5568"/>
          <w:sz w:val="20"/>
          <w:szCs w:val="20"/>
          <w:rtl w:val="0"/>
        </w:rPr>
        <w:t xml:space="preserve">Quais vias biológicas aparecem de forma consistente nas diferentes camadas ômicas?</w:t>
      </w:r>
      <w:r w:rsidDel="00000000" w:rsidR="00000000" w:rsidRPr="00000000">
        <w:rPr>
          <w:rtl w:val="0"/>
        </w:rPr>
      </w:r>
    </w:p>
    <w:p w:rsidR="00000000" w:rsidDel="00000000" w:rsidP="00000000" w:rsidRDefault="00000000" w:rsidRPr="00000000" w14:paraId="0000004D">
      <w:pPr>
        <w:spacing w:after="60" w:before="60" w:lineRule="auto"/>
        <w:ind w:left="480" w:hanging="360"/>
        <w:rPr/>
      </w:pPr>
      <w:r w:rsidDel="00000000" w:rsidR="00000000" w:rsidRPr="00000000">
        <w:rPr>
          <w:rFonts w:ascii="Calibri" w:cs="Calibri" w:eastAsia="Calibri" w:hAnsi="Calibri"/>
          <w:b w:val="1"/>
          <w:bCs w:val="1"/>
          <w:color w:val="c05621"/>
          <w:sz w:val="20"/>
          <w:szCs w:val="20"/>
          <w:rtl w:val="0"/>
        </w:rPr>
        <w:t xml:space="preserve">?  </w:t>
      </w:r>
      <w:r w:rsidDel="00000000" w:rsidR="00000000" w:rsidRPr="00000000">
        <w:rPr>
          <w:rFonts w:ascii="Calibri" w:cs="Calibri" w:eastAsia="Calibri" w:hAnsi="Calibri"/>
          <w:color w:val="4a5568"/>
          <w:sz w:val="20"/>
          <w:szCs w:val="20"/>
          <w:rtl w:val="0"/>
        </w:rPr>
        <w:t xml:space="preserve">Os achados identificados em um dataset podem ser validados ou reforçados por evidências de outros estudos públicos?</w:t>
      </w:r>
      <w:r w:rsidDel="00000000" w:rsidR="00000000" w:rsidRPr="00000000">
        <w:rPr>
          <w:rtl w:val="0"/>
        </w:rPr>
      </w:r>
    </w:p>
    <w:sectPr>
      <w:headerReference r:id="rId7" w:type="default"/>
      <w:footerReference r:id="rId8" w:type="default"/>
      <w:pgSz w:h="16838" w:w="11906" w:orient="portrait"/>
      <w:pgMar w:bottom="1080" w:top="17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color="d6e4f0" w:space="6" w:sz="4" w:val="single"/>
      </w:pBdr>
      <w:tabs>
        <w:tab w:val="right" w:leader="none" w:pos="9026"/>
      </w:tabs>
      <w:rPr/>
    </w:pPr>
    <w:r w:rsidDel="00000000" w:rsidR="00000000" w:rsidRPr="00000000">
      <w:rPr>
        <w:rFonts w:ascii="Calibri" w:cs="Calibri" w:eastAsia="Calibri" w:hAnsi="Calibri"/>
        <w:color w:val="4a5568"/>
        <w:sz w:val="16"/>
        <w:szCs w:val="16"/>
        <w:rtl w:val="0"/>
      </w:rPr>
      <w:t xml:space="preserve">JBS  ·  SENAI  ·  UniSENAI/SC                                                                                                                                                                                                          Página </w:t>
    </w:r>
    <w:r w:rsidDel="00000000" w:rsidR="00000000" w:rsidRPr="00000000">
      <w:rPr>
        <w:rFonts w:ascii="Calibri" w:cs="Calibri" w:eastAsia="Calibri" w:hAnsi="Calibri"/>
        <w:color w:val="1e56b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vAlign w:val="center"/>
        </w:tcPr>
        <w:p w:rsidR="00000000" w:rsidDel="00000000" w:rsidP="00000000" w:rsidRDefault="00000000" w:rsidRPr="00000000" w14:paraId="0000004F">
          <w:pPr>
            <w:rPr/>
          </w:pPr>
          <w:r w:rsidDel="00000000" w:rsidR="00000000" w:rsidRPr="00000000">
            <w:rPr/>
            <w:drawing>
              <wp:inline distB="114300" distT="114300" distL="114300" distR="114300">
                <wp:extent cx="1981200" cy="531798"/>
                <wp:effectExtent b="0" l="0" r="0" t="0"/>
                <wp:docPr id="3" name="image4.png"/>
                <a:graphic>
                  <a:graphicData uri="http://schemas.openxmlformats.org/drawingml/2006/picture">
                    <pic:pic>
                      <pic:nvPicPr>
                        <pic:cNvPr id="0" name="image4.png"/>
                        <pic:cNvPicPr preferRelativeResize="0"/>
                      </pic:nvPicPr>
                      <pic:blipFill>
                        <a:blip r:embed="rId1"/>
                        <a:srcRect b="31302" l="0" r="0" t="32852"/>
                        <a:stretch>
                          <a:fillRect/>
                        </a:stretch>
                      </pic:blipFill>
                      <pic:spPr>
                        <a:xfrm>
                          <a:off x="0" y="0"/>
                          <a:ext cx="1981200" cy="53179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0.0" w:type="dxa"/>
          </w:tcMar>
          <w:vAlign w:val="center"/>
        </w:tcPr>
        <w:p w:rsidR="00000000" w:rsidDel="00000000" w:rsidP="00000000" w:rsidRDefault="00000000" w:rsidRPr="00000000" w14:paraId="00000050">
          <w:pPr>
            <w:jc w:val="right"/>
            <w:rPr/>
          </w:pPr>
          <w:r w:rsidDel="00000000" w:rsidR="00000000" w:rsidRPr="00000000">
            <w:rPr/>
            <w:drawing>
              <wp:inline distB="114300" distT="114300" distL="114300" distR="114300">
                <wp:extent cx="1061286" cy="295275"/>
                <wp:effectExtent b="0" l="0" r="0" t="0"/>
                <wp:docPr id="2" name="image1.png"/>
                <a:graphic>
                  <a:graphicData uri="http://schemas.openxmlformats.org/drawingml/2006/picture">
                    <pic:pic>
                      <pic:nvPicPr>
                        <pic:cNvPr id="0" name="image1.png"/>
                        <pic:cNvPicPr preferRelativeResize="0"/>
                      </pic:nvPicPr>
                      <pic:blipFill>
                        <a:blip r:embed="rId2"/>
                        <a:srcRect b="17776" l="8621" r="8867" t="17614"/>
                        <a:stretch>
                          <a:fillRect/>
                        </a:stretch>
                      </pic:blipFill>
                      <pic:spPr>
                        <a:xfrm>
                          <a:off x="0" y="0"/>
                          <a:ext cx="1061286" cy="295275"/>
                        </a:xfrm>
                        <a:prstGeom prst="rect"/>
                        <a:ln/>
                      </pic:spPr>
                    </pic:pic>
                  </a:graphicData>
                </a:graphic>
              </wp:inline>
            </w:drawing>
          </w:r>
          <w:r w:rsidDel="00000000" w:rsidR="00000000" w:rsidRPr="00000000">
            <w:rPr>
              <w:rFonts w:ascii="Calibri" w:cs="Calibri" w:eastAsia="Calibri" w:hAnsi="Calibri"/>
              <w:sz w:val="20"/>
              <w:szCs w:val="20"/>
              <w:rtl w:val="0"/>
            </w:rPr>
            <w:t xml:space="preserve">   </w:t>
          </w:r>
          <w:r w:rsidDel="00000000" w:rsidR="00000000" w:rsidRPr="00000000">
            <w:rPr/>
            <w:drawing>
              <wp:inline distB="114300" distT="114300" distL="114300" distR="114300">
                <wp:extent cx="1509713" cy="306660"/>
                <wp:effectExtent b="0" l="0" r="0" t="0"/>
                <wp:docPr id="1" name="image3.png"/>
                <a:graphic>
                  <a:graphicData uri="http://schemas.openxmlformats.org/drawingml/2006/picture">
                    <pic:pic>
                      <pic:nvPicPr>
                        <pic:cNvPr id="0" name="image3.png"/>
                        <pic:cNvPicPr preferRelativeResize="0"/>
                      </pic:nvPicPr>
                      <pic:blipFill>
                        <a:blip r:embed="rId3"/>
                        <a:srcRect b="14100" l="0" r="0" t="0"/>
                        <a:stretch>
                          <a:fillRect/>
                        </a:stretch>
                      </pic:blipFill>
                      <pic:spPr>
                        <a:xfrm>
                          <a:off x="0" y="0"/>
                          <a:ext cx="1509713" cy="30666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09638" cy="374557"/>
                <wp:effectExtent b="0" l="0" r="0" t="0"/>
                <wp:docPr id="4" name="image2.png"/>
                <a:graphic>
                  <a:graphicData uri="http://schemas.openxmlformats.org/drawingml/2006/picture">
                    <pic:pic>
                      <pic:nvPicPr>
                        <pic:cNvPr id="0" name="image2.png"/>
                        <pic:cNvPicPr preferRelativeResize="0"/>
                      </pic:nvPicPr>
                      <pic:blipFill>
                        <a:blip r:embed="rId4"/>
                        <a:srcRect b="16979" l="7882" r="7635" t="16808"/>
                        <a:stretch>
                          <a:fillRect/>
                        </a:stretch>
                      </pic:blipFill>
                      <pic:spPr>
                        <a:xfrm>
                          <a:off x="0" y="0"/>
                          <a:ext cx="909638" cy="3745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pBdr>
        <w:bottom w:color="1a3f8f" w:space="4" w:sz="6" w:val="single"/>
      </w:pBdr>
      <w:spacing w:after="0" w:before="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3.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86jL8sqixz7vwq1D4iYd0rzIqw==">CgMxLjA4AHIhMVFXcEtiendIcHBISXRvUHpJNTdJZWNTWkQ3cnl0RE00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