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3581D" w14:textId="72E63EBC" w:rsidR="006A150E" w:rsidRDefault="001031F3">
      <w:pPr>
        <w:spacing w:after="0" w:line="360" w:lineRule="auto"/>
        <w:jc w:val="both"/>
        <w:rPr>
          <w:rFonts w:ascii="Times New Roman" w:hAnsi="Times New Roman" w:cs="Times New Roman"/>
          <w:sz w:val="32"/>
          <w:szCs w:val="24"/>
        </w:rPr>
      </w:pPr>
      <w:r w:rsidRPr="003A3045">
        <w:rPr>
          <w:rFonts w:ascii="Times New Roman" w:hAnsi="Times New Roman" w:cs="Times New Roman"/>
          <w:b/>
          <w:sz w:val="32"/>
          <w:szCs w:val="24"/>
        </w:rPr>
        <w:t>Title:</w:t>
      </w:r>
      <w:r w:rsidRPr="003A3045">
        <w:rPr>
          <w:rFonts w:ascii="Times New Roman" w:hAnsi="Times New Roman" w:cs="Times New Roman"/>
          <w:sz w:val="32"/>
          <w:szCs w:val="24"/>
        </w:rPr>
        <w:t xml:space="preserve"> </w:t>
      </w:r>
      <w:r w:rsidR="00472C8B">
        <w:rPr>
          <w:rFonts w:ascii="Times New Roman" w:hAnsi="Times New Roman" w:cs="Times New Roman"/>
          <w:sz w:val="32"/>
          <w:szCs w:val="24"/>
        </w:rPr>
        <w:t xml:space="preserve">Analysis of Fixed Volume Swaps </w:t>
      </w:r>
      <w:r w:rsidRPr="003A3045">
        <w:rPr>
          <w:rFonts w:ascii="Times New Roman" w:hAnsi="Times New Roman" w:cs="Times New Roman"/>
          <w:sz w:val="32"/>
          <w:szCs w:val="24"/>
        </w:rPr>
        <w:t xml:space="preserve">for </w:t>
      </w:r>
      <w:r w:rsidR="00472C8B">
        <w:rPr>
          <w:rFonts w:ascii="Times New Roman" w:hAnsi="Times New Roman" w:cs="Times New Roman"/>
          <w:sz w:val="32"/>
          <w:szCs w:val="24"/>
        </w:rPr>
        <w:t xml:space="preserve">Hedging Financial Risk at </w:t>
      </w:r>
      <w:r w:rsidRPr="003A3045">
        <w:rPr>
          <w:rFonts w:ascii="Times New Roman" w:hAnsi="Times New Roman" w:cs="Times New Roman"/>
          <w:sz w:val="32"/>
          <w:szCs w:val="24"/>
        </w:rPr>
        <w:t xml:space="preserve">Large-Scale Wind Projects </w:t>
      </w:r>
    </w:p>
    <w:p w14:paraId="22B83B29" w14:textId="77777777" w:rsidR="003A3045" w:rsidRPr="003A3045" w:rsidRDefault="003A3045">
      <w:pPr>
        <w:spacing w:after="0" w:line="360" w:lineRule="auto"/>
        <w:jc w:val="both"/>
        <w:rPr>
          <w:rFonts w:ascii="Times New Roman" w:hAnsi="Times New Roman" w:cs="Times New Roman"/>
          <w:sz w:val="32"/>
          <w:szCs w:val="24"/>
        </w:rPr>
      </w:pPr>
    </w:p>
    <w:p w14:paraId="10C259A8" w14:textId="77777777" w:rsidR="006A150E" w:rsidRPr="003A3045" w:rsidRDefault="006A150E">
      <w:pPr>
        <w:spacing w:line="240" w:lineRule="auto"/>
        <w:jc w:val="both"/>
        <w:rPr>
          <w:rFonts w:ascii="Times New Roman" w:hAnsi="Times New Roman" w:cs="Times New Roman"/>
          <w:b/>
          <w:sz w:val="28"/>
          <w:szCs w:val="24"/>
        </w:rPr>
      </w:pPr>
    </w:p>
    <w:p w14:paraId="0AF639A2" w14:textId="1EA30F40" w:rsidR="006A150E" w:rsidRPr="003A3045" w:rsidRDefault="001031F3">
      <w:pPr>
        <w:spacing w:line="240" w:lineRule="auto"/>
        <w:jc w:val="both"/>
        <w:rPr>
          <w:rFonts w:ascii="Times New Roman" w:hAnsi="Times New Roman" w:cs="Times New Roman"/>
          <w:sz w:val="28"/>
          <w:szCs w:val="24"/>
        </w:rPr>
      </w:pPr>
      <w:r w:rsidRPr="003A3045">
        <w:rPr>
          <w:rFonts w:ascii="Times New Roman" w:hAnsi="Times New Roman" w:cs="Times New Roman"/>
          <w:b/>
          <w:sz w:val="28"/>
          <w:szCs w:val="24"/>
        </w:rPr>
        <w:t>Authors:</w:t>
      </w:r>
      <w:r w:rsidRPr="003A3045">
        <w:rPr>
          <w:rFonts w:ascii="Times New Roman" w:hAnsi="Times New Roman" w:cs="Times New Roman"/>
          <w:sz w:val="28"/>
          <w:szCs w:val="24"/>
        </w:rPr>
        <w:t xml:space="preserve"> </w:t>
      </w:r>
      <w:r w:rsidRPr="003A3045">
        <w:rPr>
          <w:rFonts w:ascii="Times New Roman" w:hAnsi="Times New Roman" w:cs="Times New Roman"/>
          <w:sz w:val="28"/>
          <w:szCs w:val="24"/>
          <w:vertAlign w:val="superscript"/>
        </w:rPr>
        <w:t>1</w:t>
      </w:r>
      <w:r w:rsidRPr="003A3045">
        <w:rPr>
          <w:rFonts w:ascii="Times New Roman" w:hAnsi="Times New Roman" w:cs="Times New Roman"/>
          <w:sz w:val="28"/>
          <w:szCs w:val="24"/>
        </w:rPr>
        <w:t xml:space="preserve">Zachary Lucy*, </w:t>
      </w:r>
      <w:r w:rsidRPr="003A3045">
        <w:rPr>
          <w:rFonts w:ascii="Times New Roman" w:hAnsi="Times New Roman" w:cs="Times New Roman"/>
          <w:sz w:val="28"/>
          <w:szCs w:val="24"/>
          <w:vertAlign w:val="superscript"/>
        </w:rPr>
        <w:t>1</w:t>
      </w:r>
      <w:r w:rsidRPr="003A3045">
        <w:rPr>
          <w:rFonts w:ascii="Times New Roman" w:hAnsi="Times New Roman" w:cs="Times New Roman"/>
          <w:sz w:val="28"/>
          <w:szCs w:val="24"/>
        </w:rPr>
        <w:t>Jordan Kern, PhD</w:t>
      </w:r>
      <w:r w:rsidR="00A15588">
        <w:rPr>
          <w:rFonts w:ascii="Times New Roman" w:hAnsi="Times New Roman" w:cs="Times New Roman"/>
          <w:sz w:val="28"/>
          <w:szCs w:val="24"/>
        </w:rPr>
        <w:t xml:space="preserve">, </w:t>
      </w:r>
      <w:r w:rsidR="00A15588">
        <w:rPr>
          <w:rFonts w:ascii="Times New Roman" w:hAnsi="Times New Roman" w:cs="Times New Roman"/>
          <w:sz w:val="28"/>
          <w:szCs w:val="24"/>
          <w:vertAlign w:val="superscript"/>
        </w:rPr>
        <w:t>2</w:t>
      </w:r>
      <w:r w:rsidR="00A15588">
        <w:rPr>
          <w:rFonts w:ascii="Times New Roman" w:hAnsi="Times New Roman" w:cs="Times New Roman"/>
          <w:sz w:val="28"/>
          <w:szCs w:val="24"/>
        </w:rPr>
        <w:t xml:space="preserve">Adam </w:t>
      </w:r>
      <w:proofErr w:type="spellStart"/>
      <w:r w:rsidR="00A15588">
        <w:rPr>
          <w:rFonts w:ascii="Times New Roman" w:hAnsi="Times New Roman" w:cs="Times New Roman"/>
          <w:sz w:val="28"/>
          <w:szCs w:val="24"/>
        </w:rPr>
        <w:t>Hise</w:t>
      </w:r>
      <w:proofErr w:type="spellEnd"/>
    </w:p>
    <w:p w14:paraId="230DA6CA" w14:textId="77777777" w:rsidR="003A3045" w:rsidRPr="003A3045" w:rsidRDefault="003A3045">
      <w:pPr>
        <w:spacing w:line="240" w:lineRule="auto"/>
        <w:jc w:val="both"/>
        <w:rPr>
          <w:rFonts w:ascii="Times New Roman" w:hAnsi="Times New Roman" w:cs="Times New Roman"/>
          <w:sz w:val="24"/>
          <w:szCs w:val="24"/>
        </w:rPr>
      </w:pPr>
    </w:p>
    <w:p w14:paraId="5DC449EE" w14:textId="77777777" w:rsidR="006A150E" w:rsidRPr="003A3045" w:rsidRDefault="006A150E">
      <w:pPr>
        <w:spacing w:line="240" w:lineRule="auto"/>
        <w:jc w:val="both"/>
        <w:rPr>
          <w:rFonts w:ascii="Times New Roman" w:hAnsi="Times New Roman" w:cs="Times New Roman"/>
          <w:sz w:val="24"/>
          <w:szCs w:val="24"/>
        </w:rPr>
      </w:pPr>
    </w:p>
    <w:p w14:paraId="4E55124A" w14:textId="77777777" w:rsidR="006A150E" w:rsidRPr="003A3045" w:rsidRDefault="001031F3">
      <w:pPr>
        <w:spacing w:line="240" w:lineRule="auto"/>
        <w:jc w:val="both"/>
        <w:rPr>
          <w:rFonts w:ascii="Times New Roman" w:hAnsi="Times New Roman" w:cs="Times New Roman"/>
          <w:sz w:val="24"/>
          <w:szCs w:val="24"/>
        </w:rPr>
      </w:pPr>
      <w:r w:rsidRPr="003A3045">
        <w:rPr>
          <w:rFonts w:ascii="Times New Roman" w:hAnsi="Times New Roman" w:cs="Times New Roman"/>
          <w:sz w:val="24"/>
          <w:szCs w:val="24"/>
        </w:rPr>
        <w:t>*Corresponding Author</w:t>
      </w:r>
    </w:p>
    <w:p w14:paraId="30AB9120" w14:textId="77777777" w:rsidR="006A150E" w:rsidRPr="003A3045" w:rsidRDefault="006A150E">
      <w:pPr>
        <w:spacing w:after="0" w:line="240" w:lineRule="auto"/>
        <w:jc w:val="both"/>
        <w:rPr>
          <w:rFonts w:ascii="Times New Roman" w:hAnsi="Times New Roman" w:cs="Times New Roman"/>
          <w:sz w:val="24"/>
          <w:szCs w:val="24"/>
        </w:rPr>
      </w:pPr>
    </w:p>
    <w:p w14:paraId="40EB5636" w14:textId="0CD41C21" w:rsidR="006A150E" w:rsidRDefault="001031F3" w:rsidP="00A15588">
      <w:pPr>
        <w:numPr>
          <w:ilvl w:val="0"/>
          <w:numId w:val="1"/>
        </w:numPr>
        <w:pBdr>
          <w:top w:val="nil"/>
          <w:left w:val="nil"/>
          <w:bottom w:val="nil"/>
          <w:right w:val="nil"/>
          <w:between w:val="nil"/>
        </w:pBdr>
        <w:spacing w:after="120" w:line="240" w:lineRule="auto"/>
        <w:jc w:val="both"/>
        <w:rPr>
          <w:rFonts w:ascii="Times New Roman" w:hAnsi="Times New Roman" w:cs="Times New Roman"/>
          <w:color w:val="000000"/>
          <w:sz w:val="24"/>
          <w:szCs w:val="24"/>
        </w:rPr>
      </w:pPr>
      <w:r w:rsidRPr="003A3045">
        <w:rPr>
          <w:rFonts w:ascii="Times New Roman" w:hAnsi="Times New Roman" w:cs="Times New Roman"/>
          <w:color w:val="000000"/>
          <w:sz w:val="24"/>
          <w:szCs w:val="24"/>
        </w:rPr>
        <w:t>Department of Forestry and Environmental Resources, North Carolina State University, Raleigh, NC 27695, United States</w:t>
      </w:r>
    </w:p>
    <w:p w14:paraId="4047D429" w14:textId="10E4458B" w:rsidR="00A15588" w:rsidRPr="003A3045" w:rsidRDefault="00A15588">
      <w:pPr>
        <w:numPr>
          <w:ilvl w:val="0"/>
          <w:numId w:val="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Ascend Analytics </w:t>
      </w:r>
    </w:p>
    <w:p w14:paraId="1F572A70" w14:textId="77777777" w:rsidR="006A150E" w:rsidRPr="003A3045" w:rsidRDefault="006A150E">
      <w:pPr>
        <w:spacing w:line="240" w:lineRule="auto"/>
        <w:ind w:left="720" w:hanging="720"/>
        <w:jc w:val="both"/>
        <w:rPr>
          <w:rFonts w:ascii="Times New Roman" w:hAnsi="Times New Roman" w:cs="Times New Roman"/>
          <w:sz w:val="24"/>
          <w:szCs w:val="24"/>
        </w:rPr>
      </w:pPr>
    </w:p>
    <w:p w14:paraId="6E03D5D7" w14:textId="77777777" w:rsidR="006A150E" w:rsidRPr="003A3045" w:rsidRDefault="006A150E">
      <w:pPr>
        <w:spacing w:line="240" w:lineRule="auto"/>
        <w:jc w:val="both"/>
        <w:rPr>
          <w:rFonts w:ascii="Times New Roman" w:hAnsi="Times New Roman" w:cs="Times New Roman"/>
          <w:sz w:val="24"/>
          <w:szCs w:val="24"/>
        </w:rPr>
      </w:pPr>
    </w:p>
    <w:p w14:paraId="242F7A11" w14:textId="77777777" w:rsidR="006A150E" w:rsidRPr="003A3045" w:rsidRDefault="006A150E">
      <w:pPr>
        <w:spacing w:line="240" w:lineRule="auto"/>
        <w:jc w:val="both"/>
        <w:rPr>
          <w:rFonts w:ascii="Times New Roman" w:hAnsi="Times New Roman" w:cs="Times New Roman"/>
          <w:sz w:val="24"/>
          <w:szCs w:val="24"/>
        </w:rPr>
      </w:pPr>
    </w:p>
    <w:p w14:paraId="4C6A9373" w14:textId="77777777" w:rsidR="006A150E" w:rsidRPr="003A3045" w:rsidRDefault="006A150E">
      <w:pPr>
        <w:spacing w:line="480" w:lineRule="auto"/>
        <w:jc w:val="both"/>
        <w:rPr>
          <w:rFonts w:ascii="Times New Roman" w:hAnsi="Times New Roman" w:cs="Times New Roman"/>
          <w:sz w:val="24"/>
          <w:szCs w:val="24"/>
        </w:rPr>
      </w:pPr>
    </w:p>
    <w:p w14:paraId="2FA7823D" w14:textId="77777777" w:rsidR="006A150E" w:rsidRPr="003A3045" w:rsidRDefault="006A150E">
      <w:pPr>
        <w:spacing w:line="480" w:lineRule="auto"/>
        <w:jc w:val="both"/>
        <w:rPr>
          <w:rFonts w:ascii="Times New Roman" w:hAnsi="Times New Roman" w:cs="Times New Roman"/>
          <w:sz w:val="24"/>
          <w:szCs w:val="24"/>
        </w:rPr>
      </w:pPr>
    </w:p>
    <w:p w14:paraId="483C215F" w14:textId="77777777" w:rsidR="006A150E" w:rsidRPr="003A3045" w:rsidRDefault="006A150E">
      <w:pPr>
        <w:spacing w:line="480" w:lineRule="auto"/>
        <w:jc w:val="both"/>
        <w:rPr>
          <w:rFonts w:ascii="Times New Roman" w:hAnsi="Times New Roman" w:cs="Times New Roman"/>
          <w:sz w:val="24"/>
          <w:szCs w:val="24"/>
        </w:rPr>
      </w:pPr>
    </w:p>
    <w:p w14:paraId="45D910BA" w14:textId="77777777" w:rsidR="006A150E" w:rsidRPr="003A3045" w:rsidRDefault="006A150E">
      <w:pPr>
        <w:spacing w:line="480" w:lineRule="auto"/>
        <w:jc w:val="both"/>
        <w:rPr>
          <w:rFonts w:ascii="Times New Roman" w:hAnsi="Times New Roman" w:cs="Times New Roman"/>
          <w:sz w:val="24"/>
          <w:szCs w:val="24"/>
        </w:rPr>
      </w:pPr>
    </w:p>
    <w:p w14:paraId="336399E5" w14:textId="77777777" w:rsidR="006A150E" w:rsidRPr="003A3045" w:rsidRDefault="006A150E">
      <w:pPr>
        <w:spacing w:line="480" w:lineRule="auto"/>
        <w:jc w:val="both"/>
        <w:rPr>
          <w:rFonts w:ascii="Times New Roman" w:hAnsi="Times New Roman" w:cs="Times New Roman"/>
          <w:sz w:val="24"/>
          <w:szCs w:val="24"/>
        </w:rPr>
      </w:pPr>
    </w:p>
    <w:p w14:paraId="0F13B65E" w14:textId="77777777" w:rsidR="006A150E" w:rsidRPr="003A3045" w:rsidRDefault="006A150E">
      <w:pPr>
        <w:spacing w:line="480" w:lineRule="auto"/>
        <w:jc w:val="both"/>
        <w:rPr>
          <w:rFonts w:ascii="Times New Roman" w:hAnsi="Times New Roman" w:cs="Times New Roman"/>
          <w:sz w:val="24"/>
          <w:szCs w:val="24"/>
        </w:rPr>
      </w:pPr>
    </w:p>
    <w:p w14:paraId="0247F544" w14:textId="77777777" w:rsidR="006A150E" w:rsidRPr="003A3045" w:rsidRDefault="006A150E">
      <w:pPr>
        <w:spacing w:line="480" w:lineRule="auto"/>
        <w:jc w:val="both"/>
        <w:rPr>
          <w:rFonts w:ascii="Times New Roman" w:hAnsi="Times New Roman" w:cs="Times New Roman"/>
          <w:sz w:val="24"/>
          <w:szCs w:val="24"/>
        </w:rPr>
      </w:pPr>
    </w:p>
    <w:p w14:paraId="1D98DF43" w14:textId="77777777" w:rsidR="006A150E" w:rsidRPr="003A3045" w:rsidRDefault="006A150E">
      <w:pPr>
        <w:spacing w:line="480" w:lineRule="auto"/>
        <w:jc w:val="both"/>
        <w:rPr>
          <w:rFonts w:ascii="Times New Roman" w:hAnsi="Times New Roman" w:cs="Times New Roman"/>
          <w:sz w:val="24"/>
          <w:szCs w:val="24"/>
        </w:rPr>
      </w:pPr>
    </w:p>
    <w:p w14:paraId="0CB9D19B" w14:textId="77777777" w:rsidR="006A150E" w:rsidRPr="003A3045" w:rsidRDefault="006A150E">
      <w:pPr>
        <w:spacing w:line="480" w:lineRule="auto"/>
        <w:jc w:val="both"/>
        <w:rPr>
          <w:rFonts w:ascii="Times New Roman" w:hAnsi="Times New Roman" w:cs="Times New Roman"/>
          <w:sz w:val="24"/>
          <w:szCs w:val="24"/>
        </w:rPr>
      </w:pPr>
    </w:p>
    <w:p w14:paraId="4FAADDA2" w14:textId="77777777" w:rsidR="006A150E" w:rsidRPr="003A3045" w:rsidRDefault="006A150E">
      <w:pPr>
        <w:spacing w:line="480" w:lineRule="auto"/>
        <w:jc w:val="both"/>
        <w:rPr>
          <w:rFonts w:ascii="Times New Roman" w:hAnsi="Times New Roman" w:cs="Times New Roman"/>
          <w:sz w:val="24"/>
          <w:szCs w:val="24"/>
        </w:rPr>
      </w:pPr>
    </w:p>
    <w:p w14:paraId="69055DC6" w14:textId="77777777" w:rsidR="006A150E" w:rsidRPr="003A3045" w:rsidRDefault="006A150E">
      <w:pPr>
        <w:spacing w:line="480" w:lineRule="auto"/>
        <w:jc w:val="both"/>
        <w:rPr>
          <w:rFonts w:ascii="Times New Roman" w:hAnsi="Times New Roman" w:cs="Times New Roman"/>
          <w:sz w:val="24"/>
          <w:szCs w:val="24"/>
        </w:rPr>
      </w:pPr>
    </w:p>
    <w:p w14:paraId="0DEB718A" w14:textId="77777777" w:rsidR="006A150E" w:rsidRPr="000A41DB" w:rsidRDefault="001031F3">
      <w:pPr>
        <w:pStyle w:val="Heading1"/>
        <w:rPr>
          <w:rFonts w:ascii="Times New Roman" w:hAnsi="Times New Roman" w:cs="Times New Roman"/>
          <w:szCs w:val="24"/>
        </w:rPr>
      </w:pPr>
      <w:bookmarkStart w:id="0" w:name="_fczxe3jqumq6" w:colFirst="0" w:colLast="0"/>
      <w:bookmarkEnd w:id="0"/>
      <w:commentRangeStart w:id="1"/>
      <w:commentRangeStart w:id="2"/>
      <w:r w:rsidRPr="000A41DB">
        <w:rPr>
          <w:rFonts w:ascii="Times New Roman" w:hAnsi="Times New Roman" w:cs="Times New Roman"/>
          <w:szCs w:val="24"/>
        </w:rPr>
        <w:t>Abstract</w:t>
      </w:r>
      <w:commentRangeEnd w:id="1"/>
      <w:r w:rsidRPr="000A41DB">
        <w:rPr>
          <w:rFonts w:ascii="Times New Roman" w:hAnsi="Times New Roman" w:cs="Times New Roman"/>
          <w:szCs w:val="24"/>
        </w:rPr>
        <w:commentReference w:id="1"/>
      </w:r>
      <w:commentRangeEnd w:id="2"/>
      <w:r w:rsidR="00197C0D">
        <w:rPr>
          <w:rStyle w:val="CommentReference"/>
          <w:color w:val="auto"/>
        </w:rPr>
        <w:commentReference w:id="2"/>
      </w:r>
    </w:p>
    <w:p w14:paraId="1C6F713C" w14:textId="77777777" w:rsidR="006A150E" w:rsidRPr="003A3045" w:rsidRDefault="006A150E">
      <w:pPr>
        <w:rPr>
          <w:rFonts w:ascii="Times New Roman" w:hAnsi="Times New Roman" w:cs="Times New Roman"/>
          <w:sz w:val="24"/>
          <w:szCs w:val="24"/>
        </w:rPr>
      </w:pPr>
    </w:p>
    <w:p w14:paraId="7A57C3D0" w14:textId="77777777" w:rsidR="006A150E" w:rsidRPr="003A3045" w:rsidRDefault="006A150E">
      <w:pPr>
        <w:rPr>
          <w:rFonts w:ascii="Times New Roman" w:hAnsi="Times New Roman" w:cs="Times New Roman"/>
          <w:sz w:val="24"/>
          <w:szCs w:val="24"/>
        </w:rPr>
      </w:pPr>
    </w:p>
    <w:p w14:paraId="14000B89" w14:textId="77777777" w:rsidR="006A150E" w:rsidRDefault="006A150E">
      <w:pPr>
        <w:pStyle w:val="Heading1"/>
        <w:rPr>
          <w:rFonts w:ascii="Times New Roman" w:hAnsi="Times New Roman" w:cs="Times New Roman"/>
          <w:sz w:val="24"/>
          <w:szCs w:val="24"/>
        </w:rPr>
      </w:pPr>
    </w:p>
    <w:p w14:paraId="60C73BBE" w14:textId="77777777" w:rsidR="003A3045" w:rsidRDefault="003A3045" w:rsidP="003A3045"/>
    <w:p w14:paraId="564BD1F9" w14:textId="77777777" w:rsidR="003A3045" w:rsidRDefault="003A3045" w:rsidP="003A3045"/>
    <w:p w14:paraId="35C31127" w14:textId="77777777" w:rsidR="003A3045" w:rsidRDefault="003A3045" w:rsidP="003A3045"/>
    <w:p w14:paraId="1775DAE4" w14:textId="77777777" w:rsidR="003A3045" w:rsidRDefault="003A3045" w:rsidP="003A3045"/>
    <w:p w14:paraId="1F5B0883" w14:textId="77777777" w:rsidR="003A3045" w:rsidRDefault="003A3045" w:rsidP="003A3045"/>
    <w:p w14:paraId="02625F76" w14:textId="77777777" w:rsidR="003A3045" w:rsidRDefault="003A3045" w:rsidP="003A3045"/>
    <w:p w14:paraId="12F4EB7D" w14:textId="77777777" w:rsidR="003A3045" w:rsidRDefault="003A3045" w:rsidP="003A3045"/>
    <w:p w14:paraId="58FAE809" w14:textId="77777777" w:rsidR="003A3045" w:rsidRDefault="003A3045" w:rsidP="003A3045"/>
    <w:p w14:paraId="2CA49902" w14:textId="77777777" w:rsidR="003A3045" w:rsidRDefault="003A3045" w:rsidP="003A3045"/>
    <w:p w14:paraId="418E9F3E" w14:textId="77777777" w:rsidR="003A3045" w:rsidRDefault="003A3045" w:rsidP="003A3045"/>
    <w:p w14:paraId="177FEC3C" w14:textId="77777777" w:rsidR="003A3045" w:rsidRDefault="003A3045" w:rsidP="003A3045"/>
    <w:p w14:paraId="2196840E" w14:textId="77777777" w:rsidR="003A3045" w:rsidRDefault="003A3045" w:rsidP="003A3045"/>
    <w:p w14:paraId="2654C0CA" w14:textId="77777777" w:rsidR="003A3045" w:rsidRDefault="003A3045" w:rsidP="003A3045"/>
    <w:p w14:paraId="1C74C599" w14:textId="77777777" w:rsidR="003A3045" w:rsidRDefault="003A3045" w:rsidP="003A3045"/>
    <w:p w14:paraId="46CD4B9C" w14:textId="77777777" w:rsidR="003A3045" w:rsidRDefault="003A3045" w:rsidP="003A3045"/>
    <w:p w14:paraId="4CDA6F05" w14:textId="77777777" w:rsidR="003A3045" w:rsidRDefault="003A3045" w:rsidP="003A3045"/>
    <w:p w14:paraId="72E1FA5D" w14:textId="77777777" w:rsidR="003A3045" w:rsidRDefault="003A3045" w:rsidP="003A3045"/>
    <w:p w14:paraId="624EC309" w14:textId="77777777" w:rsidR="003A3045" w:rsidRDefault="003A3045" w:rsidP="003A3045"/>
    <w:p w14:paraId="029D16DA" w14:textId="77777777" w:rsidR="003A3045" w:rsidRDefault="003A3045" w:rsidP="003A3045"/>
    <w:p w14:paraId="5F824FDB" w14:textId="77777777" w:rsidR="003A3045" w:rsidRDefault="003A3045" w:rsidP="003A3045"/>
    <w:p w14:paraId="253E7A46" w14:textId="77777777" w:rsidR="003A3045" w:rsidRDefault="003A3045" w:rsidP="003A3045"/>
    <w:p w14:paraId="68E5A79E" w14:textId="77777777" w:rsidR="003A3045" w:rsidRDefault="003A3045" w:rsidP="003A3045"/>
    <w:p w14:paraId="4D5C5095" w14:textId="77777777" w:rsidR="003A3045" w:rsidRDefault="003A3045" w:rsidP="003A3045"/>
    <w:p w14:paraId="698C4B74" w14:textId="77777777" w:rsidR="003A3045" w:rsidRDefault="003A3045" w:rsidP="003A3045"/>
    <w:p w14:paraId="46378D7D" w14:textId="77777777" w:rsidR="003A3045" w:rsidRDefault="003A3045" w:rsidP="003A3045"/>
    <w:p w14:paraId="5C3BC0E9" w14:textId="77777777" w:rsidR="003A3045" w:rsidRPr="003A3045" w:rsidRDefault="003A3045" w:rsidP="003A3045"/>
    <w:p w14:paraId="7B6495F0" w14:textId="7565959D" w:rsidR="006A150E" w:rsidRPr="003A3045" w:rsidRDefault="001031F3" w:rsidP="00CD6730">
      <w:pPr>
        <w:pStyle w:val="Heading1"/>
        <w:numPr>
          <w:ilvl w:val="0"/>
          <w:numId w:val="4"/>
        </w:numPr>
        <w:rPr>
          <w:rFonts w:ascii="Times New Roman" w:hAnsi="Times New Roman" w:cs="Times New Roman"/>
          <w:sz w:val="28"/>
          <w:szCs w:val="24"/>
        </w:rPr>
      </w:pPr>
      <w:r w:rsidRPr="000A41DB">
        <w:rPr>
          <w:rFonts w:ascii="Times New Roman" w:hAnsi="Times New Roman" w:cs="Times New Roman"/>
          <w:szCs w:val="24"/>
        </w:rPr>
        <w:t>Introduction</w:t>
      </w:r>
    </w:p>
    <w:p w14:paraId="5CD91C96" w14:textId="77777777" w:rsidR="006A150E" w:rsidRPr="003A3045" w:rsidRDefault="006A150E">
      <w:pPr>
        <w:rPr>
          <w:rFonts w:ascii="Times New Roman" w:hAnsi="Times New Roman" w:cs="Times New Roman"/>
          <w:sz w:val="24"/>
          <w:szCs w:val="24"/>
        </w:rPr>
      </w:pPr>
    </w:p>
    <w:p w14:paraId="102A7ED6" w14:textId="77777777" w:rsidR="006A150E" w:rsidRPr="003A3045" w:rsidRDefault="001031F3">
      <w:pPr>
        <w:spacing w:after="0" w:line="480" w:lineRule="auto"/>
        <w:jc w:val="both"/>
        <w:rPr>
          <w:rFonts w:ascii="Times New Roman" w:hAnsi="Times New Roman" w:cs="Times New Roman"/>
          <w:sz w:val="24"/>
          <w:szCs w:val="24"/>
        </w:rPr>
      </w:pPr>
      <w:r w:rsidRPr="003A3045">
        <w:rPr>
          <w:rFonts w:ascii="Times New Roman" w:hAnsi="Times New Roman" w:cs="Times New Roman"/>
          <w:b/>
          <w:sz w:val="24"/>
          <w:szCs w:val="24"/>
        </w:rPr>
        <w:tab/>
      </w:r>
      <w:commentRangeStart w:id="3"/>
      <w:commentRangeStart w:id="4"/>
      <w:r w:rsidRPr="003A3045">
        <w:rPr>
          <w:rFonts w:ascii="Times New Roman" w:hAnsi="Times New Roman" w:cs="Times New Roman"/>
          <w:sz w:val="24"/>
          <w:szCs w:val="24"/>
        </w:rPr>
        <w:t xml:space="preserve">The global energy landscape is in the midst of an urgently needed transition from fossil fuels to renewable energy sources. This change is being pushed by a combination of ambitious policy mandates, as well as the declining costs of variable renewable energy (wind and solar). The United Nations Paris Climate Agreement calls for limiting global warming to well below 2 degrees </w:t>
      </w:r>
      <w:proofErr w:type="spellStart"/>
      <w:r w:rsidRPr="003A3045">
        <w:rPr>
          <w:rFonts w:ascii="Times New Roman" w:hAnsi="Times New Roman" w:cs="Times New Roman"/>
          <w:sz w:val="24"/>
          <w:szCs w:val="24"/>
        </w:rPr>
        <w:t>Celcius</w:t>
      </w:r>
      <w:proofErr w:type="spellEnd"/>
      <w:r w:rsidRPr="003A3045">
        <w:rPr>
          <w:rFonts w:ascii="Times New Roman" w:hAnsi="Times New Roman" w:cs="Times New Roman"/>
          <w:sz w:val="24"/>
          <w:szCs w:val="24"/>
        </w:rPr>
        <w:t xml:space="preserve">, preferably 1.5 degrees Celsius, compared to pre-industrial levels [1]. Paris compatible trajectories of both 1.5 and 2 degrees </w:t>
      </w:r>
      <w:proofErr w:type="spellStart"/>
      <w:r w:rsidRPr="003A3045">
        <w:rPr>
          <w:rFonts w:ascii="Times New Roman" w:hAnsi="Times New Roman" w:cs="Times New Roman"/>
          <w:sz w:val="24"/>
          <w:szCs w:val="24"/>
        </w:rPr>
        <w:t>Celcius</w:t>
      </w:r>
      <w:proofErr w:type="spellEnd"/>
      <w:r w:rsidRPr="003A3045">
        <w:rPr>
          <w:rFonts w:ascii="Times New Roman" w:hAnsi="Times New Roman" w:cs="Times New Roman"/>
          <w:sz w:val="24"/>
          <w:szCs w:val="24"/>
        </w:rPr>
        <w:t xml:space="preserve"> will require a sharp reduction in global fossil fuel emissions. In order to meet the 1.5 degrees </w:t>
      </w:r>
      <w:proofErr w:type="spellStart"/>
      <w:r w:rsidRPr="003A3045">
        <w:rPr>
          <w:rFonts w:ascii="Times New Roman" w:hAnsi="Times New Roman" w:cs="Times New Roman"/>
          <w:sz w:val="24"/>
          <w:szCs w:val="24"/>
        </w:rPr>
        <w:t>Celcius</w:t>
      </w:r>
      <w:proofErr w:type="spellEnd"/>
      <w:r w:rsidRPr="003A3045">
        <w:rPr>
          <w:rFonts w:ascii="Times New Roman" w:hAnsi="Times New Roman" w:cs="Times New Roman"/>
          <w:sz w:val="24"/>
          <w:szCs w:val="24"/>
        </w:rPr>
        <w:t xml:space="preserve"> target, global CO2 emissions will need to be reduced by 91-104% according to IPCC estimates. Coal, oil, and natural gas production will require global reductions of 74-95%, 47-78%, and 56%, respectively [2]. In accordance with this global effort, the United States government is endeavoring, under the Biden Administration, to eliminate carbon emissions from the electricity sector by 2035. Market forces are </w:t>
      </w:r>
      <w:proofErr w:type="spellStart"/>
      <w:r w:rsidRPr="003A3045">
        <w:rPr>
          <w:rFonts w:ascii="Times New Roman" w:hAnsi="Times New Roman" w:cs="Times New Roman"/>
          <w:sz w:val="24"/>
          <w:szCs w:val="24"/>
        </w:rPr>
        <w:t>accellerating</w:t>
      </w:r>
      <w:proofErr w:type="spellEnd"/>
      <w:r w:rsidRPr="003A3045">
        <w:rPr>
          <w:rFonts w:ascii="Times New Roman" w:hAnsi="Times New Roman" w:cs="Times New Roman"/>
          <w:sz w:val="24"/>
          <w:szCs w:val="24"/>
        </w:rPr>
        <w:t xml:space="preserve"> the adoption of renewable energy technologies as well. The </w:t>
      </w:r>
      <w:proofErr w:type="spellStart"/>
      <w:r w:rsidRPr="003A3045">
        <w:rPr>
          <w:rFonts w:ascii="Times New Roman" w:hAnsi="Times New Roman" w:cs="Times New Roman"/>
          <w:sz w:val="24"/>
          <w:szCs w:val="24"/>
        </w:rPr>
        <w:t>levelized</w:t>
      </w:r>
      <w:proofErr w:type="spellEnd"/>
      <w:r w:rsidRPr="003A3045">
        <w:rPr>
          <w:rFonts w:ascii="Times New Roman" w:hAnsi="Times New Roman" w:cs="Times New Roman"/>
          <w:sz w:val="24"/>
          <w:szCs w:val="24"/>
        </w:rPr>
        <w:t xml:space="preserve"> cost of electricity (LCOE) for both solar photovoltaics (PV) and onshore wind have declined rapidly in the previous decade, and are expected to decline steadily in the coming decades as capital costs for these technologies decreases [3]. Underscoring these market trends, wind and solar account for 70% of planned U.S. electricity generating capacity additions in 2021 [4]. A major drawback to renewable technologies like wind and solar is the intermittent nature of their energy output, however. Multi-scale variability in wind and solar power production presents both engineering and economic challenges that must be overcome in order to transition away from the current, hydrocarbon-dominated energy landscape. </w:t>
      </w:r>
      <w:commentRangeEnd w:id="3"/>
      <w:r w:rsidRPr="003A3045">
        <w:rPr>
          <w:rFonts w:ascii="Times New Roman" w:hAnsi="Times New Roman" w:cs="Times New Roman"/>
          <w:sz w:val="24"/>
          <w:szCs w:val="24"/>
        </w:rPr>
        <w:commentReference w:id="3"/>
      </w:r>
      <w:commentRangeEnd w:id="4"/>
      <w:r w:rsidR="003A3045">
        <w:rPr>
          <w:rStyle w:val="CommentReference"/>
        </w:rPr>
        <w:commentReference w:id="4"/>
      </w:r>
    </w:p>
    <w:p w14:paraId="49509123" w14:textId="0B1078F2" w:rsidR="006A150E" w:rsidRPr="003A3045" w:rsidRDefault="001031F3">
      <w:pPr>
        <w:spacing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t xml:space="preserve">Despite </w:t>
      </w:r>
      <w:r w:rsidR="0095067E">
        <w:rPr>
          <w:rFonts w:ascii="Times New Roman" w:hAnsi="Times New Roman" w:cs="Times New Roman"/>
          <w:sz w:val="24"/>
          <w:szCs w:val="24"/>
        </w:rPr>
        <w:t>fall</w:t>
      </w:r>
      <w:r w:rsidRPr="003A3045">
        <w:rPr>
          <w:rFonts w:ascii="Times New Roman" w:hAnsi="Times New Roman" w:cs="Times New Roman"/>
          <w:sz w:val="24"/>
          <w:szCs w:val="24"/>
        </w:rPr>
        <w:t xml:space="preserve">ing </w:t>
      </w:r>
      <w:proofErr w:type="spellStart"/>
      <w:r w:rsidRPr="003A3045">
        <w:rPr>
          <w:rFonts w:ascii="Times New Roman" w:hAnsi="Times New Roman" w:cs="Times New Roman"/>
          <w:sz w:val="24"/>
          <w:szCs w:val="24"/>
        </w:rPr>
        <w:t>levelized</w:t>
      </w:r>
      <w:proofErr w:type="spellEnd"/>
      <w:r w:rsidRPr="003A3045">
        <w:rPr>
          <w:rFonts w:ascii="Times New Roman" w:hAnsi="Times New Roman" w:cs="Times New Roman"/>
          <w:sz w:val="24"/>
          <w:szCs w:val="24"/>
        </w:rPr>
        <w:t xml:space="preserve"> costs of renewable energy, financial instability, caused in part by variability in production (e.g., wind speeds) and in part by variability in market prices, looms large as a </w:t>
      </w:r>
      <w:r w:rsidRPr="003A3045">
        <w:rPr>
          <w:rFonts w:ascii="Times New Roman" w:hAnsi="Times New Roman" w:cs="Times New Roman"/>
          <w:sz w:val="24"/>
          <w:szCs w:val="24"/>
        </w:rPr>
        <w:lastRenderedPageBreak/>
        <w:t>threat to slow the energy transition. The International Energy Agency (IEA) estimates that $2.3 trillion in annual investment in clean energy technologies will be required to achieve emissions reduction goals set out in the Paris Climate Agreement (roughly three times the current rate) [3]</w:t>
      </w:r>
      <w:r w:rsidRPr="003A3045">
        <w:rPr>
          <w:rFonts w:ascii="Times New Roman" w:hAnsi="Times New Roman" w:cs="Times New Roman"/>
          <w:sz w:val="24"/>
          <w:szCs w:val="24"/>
          <w:vertAlign w:val="superscript"/>
        </w:rPr>
        <w:t xml:space="preserve"> </w:t>
      </w:r>
      <w:r w:rsidRPr="003A3045">
        <w:rPr>
          <w:rFonts w:ascii="Times New Roman" w:hAnsi="Times New Roman" w:cs="Times New Roman"/>
          <w:sz w:val="24"/>
          <w:szCs w:val="24"/>
        </w:rPr>
        <w:t xml:space="preserve">. Presumably, a significant source of these funds will be private sector investment. While there are myriad approaches for financing and subsidizing renewable energy products, it is generally the case that uncertainty in revenues for renewable energy developers is seen as a credit risk that increases their “cost of capital” (e.g. interest rate on borrowed sums). This in turn increases total project costs, reduces profitability and -- potentially – could slow the rate of investment in zero carbon energy [3]. </w:t>
      </w:r>
    </w:p>
    <w:p w14:paraId="32DCCACD" w14:textId="77777777" w:rsidR="006A150E" w:rsidRPr="003A3045"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In the U.S., this problem is particularly acute for wind power producers, who in recent years have been negatively impacted by the phasing out of the production tax credit (PTC) program and low wholesale electricity prices. Strong competition and a limited pool of customers have depressed prices for coveted power purchase agreement (PPA) contracts, in which developers are matched with large “off-take” customers (often utilities) who buy the electricity at a set price for a specific period of time (generally 10-25 years). Instead, wind projects are increasingly selling directly into the wholesale market as “merchant generators”, leaving them exposed not only to fluctuations in the amount of generation they produce, but also fluctuations in the market price of electricity ($/MWh). </w:t>
      </w:r>
    </w:p>
    <w:p w14:paraId="5B5CE134" w14:textId="005DDD6D" w:rsidR="006A150E"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To mitigate this financial risk, wind power producers often seek some kind of hedge against price fluctuations in an effort to mimic the protection provided by a traditional PPA. There are a range of hedging structures that producers can utilize to mitigate risk, depending on the type of risk being hedged. Most are purely financial contracts that don’t involve physical delivery of electricity. A widely used hedging model is the “fixed volume price swap,” which </w:t>
      </w:r>
      <w:r w:rsidR="003A3045">
        <w:rPr>
          <w:rFonts w:ascii="Times New Roman" w:hAnsi="Times New Roman" w:cs="Times New Roman"/>
          <w:sz w:val="24"/>
          <w:szCs w:val="24"/>
        </w:rPr>
        <w:t>was used to manage price risk at</w:t>
      </w:r>
      <w:r w:rsidRPr="003A3045">
        <w:rPr>
          <w:rFonts w:ascii="Times New Roman" w:hAnsi="Times New Roman" w:cs="Times New Roman"/>
          <w:sz w:val="24"/>
          <w:szCs w:val="24"/>
        </w:rPr>
        <w:t xml:space="preserve"> 48.4% of all </w:t>
      </w:r>
      <w:r w:rsidR="003A3045" w:rsidRPr="003A3045">
        <w:rPr>
          <w:rFonts w:ascii="Times New Roman" w:hAnsi="Times New Roman" w:cs="Times New Roman"/>
          <w:sz w:val="24"/>
          <w:szCs w:val="24"/>
        </w:rPr>
        <w:t xml:space="preserve">merchant or part-merchant </w:t>
      </w:r>
      <w:r w:rsidRPr="003A3045">
        <w:rPr>
          <w:rFonts w:ascii="Times New Roman" w:hAnsi="Times New Roman" w:cs="Times New Roman"/>
          <w:sz w:val="24"/>
          <w:szCs w:val="24"/>
        </w:rPr>
        <w:t>wind</w:t>
      </w:r>
      <w:r w:rsidR="003A3045">
        <w:rPr>
          <w:rFonts w:ascii="Times New Roman" w:hAnsi="Times New Roman" w:cs="Times New Roman"/>
          <w:sz w:val="24"/>
          <w:szCs w:val="24"/>
        </w:rPr>
        <w:t xml:space="preserve"> capacity</w:t>
      </w:r>
      <w:r w:rsidRPr="003A3045">
        <w:rPr>
          <w:rFonts w:ascii="Times New Roman" w:hAnsi="Times New Roman" w:cs="Times New Roman"/>
          <w:sz w:val="24"/>
          <w:szCs w:val="24"/>
        </w:rPr>
        <w:t xml:space="preserve"> in the U.S. in 2017</w:t>
      </w:r>
      <w:r w:rsidRPr="00D811FD">
        <w:rPr>
          <w:rFonts w:ascii="Times New Roman" w:hAnsi="Times New Roman" w:cs="Times New Roman"/>
          <w:sz w:val="24"/>
          <w:szCs w:val="24"/>
        </w:rPr>
        <w:t>. Fixed volume swaps involves trading actual wholesale electricity prices for a pre-determined fixed price (Figure 1). This</w:t>
      </w:r>
      <w:r w:rsidRPr="003A3045">
        <w:rPr>
          <w:rFonts w:ascii="Times New Roman" w:hAnsi="Times New Roman" w:cs="Times New Roman"/>
          <w:sz w:val="24"/>
          <w:szCs w:val="24"/>
        </w:rPr>
        <w:t xml:space="preserve"> fixed price (referred to as the “strike”) is typically lower than the average market price, allowing the hedge-provider to profit. Wind projects have been willing to pay this premium in order to reduce their exposure to electricity price </w:t>
      </w:r>
      <w:r w:rsidRPr="003A3045">
        <w:rPr>
          <w:rFonts w:ascii="Times New Roman" w:hAnsi="Times New Roman" w:cs="Times New Roman"/>
          <w:sz w:val="24"/>
          <w:szCs w:val="24"/>
        </w:rPr>
        <w:lastRenderedPageBreak/>
        <w:t>volatility, presumably in order to secure lower cost financing than would be possible if electricity prices were unhedged. However, in some instances, these financial hedging options may limit (or even reduce) the control that wind developers have over projected revenues from their projects, with the end result of dis-incentivizing the expansion of renewable energy.</w:t>
      </w:r>
    </w:p>
    <w:p w14:paraId="2C0461E3" w14:textId="77777777" w:rsidR="00D72664" w:rsidRPr="003A3045" w:rsidRDefault="00D72664">
      <w:pPr>
        <w:spacing w:after="0" w:line="480" w:lineRule="auto"/>
        <w:ind w:firstLine="720"/>
        <w:jc w:val="both"/>
        <w:rPr>
          <w:rFonts w:ascii="Times New Roman" w:hAnsi="Times New Roman" w:cs="Times New Roman"/>
          <w:sz w:val="24"/>
          <w:szCs w:val="24"/>
        </w:rPr>
      </w:pPr>
    </w:p>
    <w:p w14:paraId="7BBEEF5E" w14:textId="77777777" w:rsidR="00D72664" w:rsidRDefault="00D72664" w:rsidP="00D72664">
      <w:pPr>
        <w:keepNext/>
        <w:spacing w:after="0" w:line="480" w:lineRule="auto"/>
        <w:jc w:val="center"/>
      </w:pPr>
      <w:r w:rsidRPr="00D72664">
        <w:rPr>
          <w:rFonts w:ascii="Times New Roman" w:hAnsi="Times New Roman" w:cs="Times New Roman"/>
          <w:noProof/>
          <w:sz w:val="24"/>
          <w:szCs w:val="24"/>
        </w:rPr>
        <w:drawing>
          <wp:inline distT="0" distB="0" distL="0" distR="0" wp14:anchorId="3F3BDECE" wp14:editId="5FE94B52">
            <wp:extent cx="5426710" cy="3177050"/>
            <wp:effectExtent l="0" t="0" r="2540" b="4445"/>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7"/>
                    <a:stretch>
                      <a:fillRect/>
                    </a:stretch>
                  </pic:blipFill>
                  <pic:spPr>
                    <a:xfrm>
                      <a:off x="0" y="0"/>
                      <a:ext cx="5433669" cy="3181124"/>
                    </a:xfrm>
                    <a:prstGeom prst="rect">
                      <a:avLst/>
                    </a:prstGeom>
                  </pic:spPr>
                </pic:pic>
              </a:graphicData>
            </a:graphic>
          </wp:inline>
        </w:drawing>
      </w:r>
    </w:p>
    <w:p w14:paraId="1DBCAF00" w14:textId="32B16AB8" w:rsidR="00D72664" w:rsidRPr="00E57ECE" w:rsidRDefault="00D72664" w:rsidP="00D72664">
      <w:pPr>
        <w:spacing w:after="0" w:line="480" w:lineRule="auto"/>
        <w:jc w:val="center"/>
        <w:rPr>
          <w:rFonts w:ascii="Times New Roman" w:hAnsi="Times New Roman" w:cs="Times New Roman"/>
          <w:sz w:val="20"/>
          <w:szCs w:val="24"/>
        </w:rPr>
      </w:pPr>
      <w:r w:rsidRPr="00E57ECE">
        <w:rPr>
          <w:rFonts w:ascii="Times New Roman" w:hAnsi="Times New Roman" w:cs="Times New Roman"/>
          <w:b/>
          <w:sz w:val="20"/>
          <w:szCs w:val="24"/>
        </w:rPr>
        <w:t>Figure 1:</w:t>
      </w:r>
      <w:r w:rsidRPr="00E57ECE">
        <w:rPr>
          <w:rFonts w:ascii="Times New Roman" w:hAnsi="Times New Roman" w:cs="Times New Roman"/>
          <w:sz w:val="20"/>
          <w:szCs w:val="24"/>
        </w:rPr>
        <w:t xml:space="preserve"> Example of a fixed volume price swap between a wind power producer and hedge provider.</w:t>
      </w:r>
    </w:p>
    <w:p w14:paraId="153873B7" w14:textId="0DFC28FA" w:rsidR="006A150E" w:rsidRPr="003A3045" w:rsidRDefault="006A150E" w:rsidP="00D72664">
      <w:pPr>
        <w:pStyle w:val="Caption"/>
        <w:jc w:val="center"/>
        <w:rPr>
          <w:rFonts w:ascii="Times New Roman" w:hAnsi="Times New Roman" w:cs="Times New Roman"/>
          <w:sz w:val="24"/>
          <w:szCs w:val="24"/>
        </w:rPr>
      </w:pPr>
    </w:p>
    <w:p w14:paraId="12C89D76" w14:textId="77777777" w:rsidR="006A150E" w:rsidRPr="003A3045" w:rsidRDefault="006A150E">
      <w:pPr>
        <w:spacing w:after="0" w:line="480" w:lineRule="auto"/>
        <w:ind w:firstLine="720"/>
        <w:jc w:val="both"/>
        <w:rPr>
          <w:rFonts w:ascii="Times New Roman" w:hAnsi="Times New Roman" w:cs="Times New Roman"/>
          <w:sz w:val="24"/>
          <w:szCs w:val="24"/>
        </w:rPr>
      </w:pPr>
    </w:p>
    <w:p w14:paraId="354D6CEB" w14:textId="77777777" w:rsidR="006A150E" w:rsidRPr="00D811FD"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wind developer sells electricity for a price determined locally at the “node”, i.e., the location where the wind project is physically connected to the larger grid. Note, however, the payouts from the financial exchange with the hedge provider are based on the difference between the agreed-upon strike and the “hub” price (i.e. the weighted average price of electricity across the entire </w:t>
      </w:r>
      <w:r w:rsidRPr="00D811FD">
        <w:rPr>
          <w:rFonts w:ascii="Times New Roman" w:hAnsi="Times New Roman" w:cs="Times New Roman"/>
          <w:sz w:val="24"/>
          <w:szCs w:val="24"/>
        </w:rPr>
        <w:t xml:space="preserve">system) (Equations 1-2). </w:t>
      </w:r>
    </w:p>
    <w:p w14:paraId="76583DEC" w14:textId="77777777" w:rsidR="006A150E" w:rsidRPr="003A3045" w:rsidRDefault="006A150E">
      <w:pPr>
        <w:spacing w:before="240" w:after="0" w:line="240" w:lineRule="auto"/>
        <w:ind w:firstLine="720"/>
        <w:jc w:val="both"/>
        <w:rPr>
          <w:rFonts w:ascii="Times New Roman" w:hAnsi="Times New Roman" w:cs="Times New Roman"/>
          <w:sz w:val="24"/>
          <w:szCs w:val="24"/>
        </w:rPr>
      </w:pPr>
    </w:p>
    <w:p w14:paraId="324C7CAC" w14:textId="77777777" w:rsidR="006A150E" w:rsidRPr="003A3045" w:rsidRDefault="003B170F">
      <w:pPr>
        <w:spacing w:after="0" w:line="480" w:lineRule="auto"/>
        <w:ind w:firstLine="720"/>
        <w:jc w:val="both"/>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R</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 xml:space="preserve">= </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NP</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W</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+Contrac</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(1)</w:t>
      </w:r>
    </w:p>
    <w:p w14:paraId="3B57A8BA" w14:textId="77777777" w:rsidR="006A150E" w:rsidRPr="003A3045" w:rsidRDefault="001031F3">
      <w:pPr>
        <w:spacing w:after="0" w:line="480" w:lineRule="auto"/>
        <w:ind w:firstLine="720"/>
        <w:jc w:val="both"/>
        <w:rPr>
          <w:rFonts w:ascii="Times New Roman" w:hAnsi="Times New Roman" w:cs="Times New Roman"/>
          <w:sz w:val="24"/>
          <w:szCs w:val="24"/>
        </w:rPr>
      </w:pPr>
      <m:oMath>
        <m:r>
          <w:rPr>
            <w:rFonts w:ascii="Cambria Math" w:eastAsia="Cambria Math" w:hAnsi="Cambria Math" w:cs="Times New Roman"/>
            <w:sz w:val="24"/>
            <w:szCs w:val="24"/>
          </w:rPr>
          <w:lastRenderedPageBreak/>
          <m:t>Contrac</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m:t>
        </m:r>
        <m:d>
          <m:dPr>
            <m:ctrlPr>
              <w:rPr>
                <w:rFonts w:ascii="Cambria Math" w:eastAsia="Cambria Math" w:hAnsi="Cambria Math" w:cs="Times New Roman"/>
                <w:sz w:val="24"/>
                <w:szCs w:val="24"/>
              </w:rPr>
            </m:ctrlPr>
          </m:dPr>
          <m:e>
            <m:r>
              <w:rPr>
                <w:rFonts w:ascii="Cambria Math" w:eastAsia="Cambria Math" w:hAnsi="Cambria Math" w:cs="Times New Roman"/>
                <w:sz w:val="24"/>
                <w:szCs w:val="24"/>
              </w:rPr>
              <m:t>S-H</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t</m:t>
                </m:r>
              </m:sub>
            </m:sSub>
          </m:e>
        </m:d>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oMath>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t>(2)</w:t>
      </w:r>
    </w:p>
    <w:p w14:paraId="2CF0C409" w14:textId="77777777" w:rsidR="006A150E" w:rsidRPr="003A3045" w:rsidRDefault="006A150E">
      <w:pPr>
        <w:spacing w:after="0" w:line="480" w:lineRule="auto"/>
        <w:ind w:firstLine="720"/>
        <w:jc w:val="both"/>
        <w:rPr>
          <w:rFonts w:ascii="Times New Roman" w:hAnsi="Times New Roman" w:cs="Times New Roman"/>
          <w:sz w:val="24"/>
          <w:szCs w:val="24"/>
        </w:rPr>
      </w:pPr>
    </w:p>
    <w:p w14:paraId="2B9D464B" w14:textId="77777777" w:rsidR="006A150E" w:rsidRPr="003A3045"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Where, </w:t>
      </w:r>
    </w:p>
    <w:p w14:paraId="4B9E677D" w14:textId="26030F8E" w:rsidR="006A150E" w:rsidRPr="003A3045" w:rsidRDefault="003B170F">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R</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Net revenues for wind producer in hour t</w:t>
      </w:r>
    </w:p>
    <w:p w14:paraId="16F501C0" w14:textId="77777777" w:rsidR="006A150E" w:rsidRPr="003A3045" w:rsidRDefault="001031F3">
      <w:pPr>
        <w:spacing w:after="0" w:line="480" w:lineRule="auto"/>
        <w:ind w:firstLine="720"/>
        <w:rPr>
          <w:rFonts w:ascii="Times New Roman" w:hAnsi="Times New Roman" w:cs="Times New Roman"/>
          <w:sz w:val="24"/>
          <w:szCs w:val="24"/>
        </w:rPr>
      </w:pPr>
      <m:oMath>
        <m:r>
          <w:rPr>
            <w:rFonts w:ascii="Cambria Math" w:eastAsia="Cambria Math" w:hAnsi="Cambria Math" w:cs="Times New Roman"/>
            <w:sz w:val="24"/>
            <w:szCs w:val="24"/>
          </w:rPr>
          <m:t>N</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t</m:t>
            </m:r>
          </m:sub>
        </m:sSub>
      </m:oMath>
      <w:r w:rsidRPr="003A3045">
        <w:rPr>
          <w:rFonts w:ascii="Times New Roman" w:hAnsi="Times New Roman" w:cs="Times New Roman"/>
          <w:sz w:val="24"/>
          <w:szCs w:val="24"/>
        </w:rPr>
        <w:t xml:space="preserve"> = Price at the node in dollars per megawatt-hour in hour t</w:t>
      </w:r>
    </w:p>
    <w:p w14:paraId="5050E656" w14:textId="77777777" w:rsidR="006A150E" w:rsidRPr="003A3045" w:rsidRDefault="003B170F">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W</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Total wind production in megawatt-hours hour t</w:t>
      </w:r>
    </w:p>
    <w:p w14:paraId="4AA144F0" w14:textId="77777777" w:rsidR="006A150E" w:rsidRPr="003A3045" w:rsidRDefault="003B170F">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Hedged wind production in megawatt-hours hour t</w:t>
      </w:r>
    </w:p>
    <w:p w14:paraId="27DE80E8" w14:textId="77777777" w:rsidR="006A150E" w:rsidRPr="003A3045" w:rsidRDefault="003B170F">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Contract</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Financial exchange (dollars) with hedge provider in hour t</w:t>
      </w:r>
    </w:p>
    <w:p w14:paraId="1E041655" w14:textId="77777777" w:rsidR="006A150E" w:rsidRPr="003A3045" w:rsidRDefault="001031F3">
      <w:pPr>
        <w:spacing w:after="0" w:line="480" w:lineRule="auto"/>
        <w:ind w:firstLine="720"/>
        <w:rPr>
          <w:rFonts w:ascii="Times New Roman" w:hAnsi="Times New Roman" w:cs="Times New Roman"/>
          <w:sz w:val="24"/>
          <w:szCs w:val="24"/>
        </w:rPr>
      </w:pPr>
      <m:oMath>
        <m:r>
          <w:rPr>
            <w:rFonts w:ascii="Cambria Math" w:eastAsia="Cambria Math" w:hAnsi="Cambria Math" w:cs="Times New Roman"/>
            <w:sz w:val="24"/>
            <w:szCs w:val="24"/>
          </w:rPr>
          <m:t>S</m:t>
        </m:r>
      </m:oMath>
      <w:r w:rsidRPr="003A3045">
        <w:rPr>
          <w:rFonts w:ascii="Times New Roman" w:hAnsi="Times New Roman" w:cs="Times New Roman"/>
          <w:sz w:val="24"/>
          <w:szCs w:val="24"/>
        </w:rPr>
        <w:t xml:space="preserve"> = Agreed-upon strike price in dollars per megawatt-hour</w:t>
      </w:r>
    </w:p>
    <w:p w14:paraId="1DD96A63" w14:textId="77777777" w:rsidR="006A150E" w:rsidRPr="003A3045" w:rsidRDefault="001031F3">
      <w:pPr>
        <w:spacing w:after="0" w:line="480" w:lineRule="auto"/>
        <w:ind w:firstLine="720"/>
        <w:rPr>
          <w:rFonts w:ascii="Times New Roman" w:hAnsi="Times New Roman" w:cs="Times New Roman"/>
          <w:sz w:val="24"/>
          <w:szCs w:val="24"/>
        </w:rPr>
      </w:pPr>
      <m:oMath>
        <m:r>
          <w:rPr>
            <w:rFonts w:ascii="Cambria Math" w:eastAsia="Cambria Math" w:hAnsi="Cambria Math" w:cs="Times New Roman"/>
            <w:sz w:val="24"/>
            <w:szCs w:val="24"/>
          </w:rPr>
          <m:t>H</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t</m:t>
            </m:r>
          </m:sub>
        </m:sSub>
      </m:oMath>
      <w:r w:rsidRPr="003A3045">
        <w:rPr>
          <w:rFonts w:ascii="Times New Roman" w:hAnsi="Times New Roman" w:cs="Times New Roman"/>
          <w:sz w:val="24"/>
          <w:szCs w:val="24"/>
        </w:rPr>
        <w:t xml:space="preserve"> = Price at the hub in dollars per megawatt-hour in hour t</w:t>
      </w:r>
    </w:p>
    <w:p w14:paraId="38D31196" w14:textId="77777777" w:rsidR="006A150E" w:rsidRPr="003A3045" w:rsidRDefault="006A150E">
      <w:pPr>
        <w:spacing w:after="0" w:line="480" w:lineRule="auto"/>
        <w:ind w:firstLine="720"/>
        <w:rPr>
          <w:rFonts w:ascii="Times New Roman" w:hAnsi="Times New Roman" w:cs="Times New Roman"/>
          <w:sz w:val="24"/>
          <w:szCs w:val="24"/>
        </w:rPr>
      </w:pPr>
    </w:p>
    <w:p w14:paraId="1456751F" w14:textId="77777777" w:rsidR="006A150E" w:rsidRPr="003A3045"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As long as the nodal and hub prices are equal, the contract effectively fixes the price realized by the wind producer at the agreed-upon strike. However, node and hub prices frequently diverge, often the result of transmission congestion that constrains prices from equalizing across the grid, including locational oversaturation of wind power that results in temporary low prices at certain nodes. This price mismatch results in “basis risk” that, from the perspective of the wind developer, prevents the hedge contract from adequately stabilizing the “net” revenues realized. Note as well that </w:t>
      </w:r>
      <w:proofErr w:type="gramStart"/>
      <w:r w:rsidRPr="003A3045">
        <w:rPr>
          <w:rFonts w:ascii="Times New Roman" w:hAnsi="Times New Roman" w:cs="Times New Roman"/>
          <w:sz w:val="24"/>
          <w:szCs w:val="24"/>
        </w:rPr>
        <w:t xml:space="preserve">typically </w:t>
      </w:r>
      <w:proofErr w:type="gramEnd"/>
      <m:oMath>
        <m:r>
          <w:rPr>
            <w:rFonts w:ascii="Cambria Math" w:hAnsi="Cambria Math" w:cs="Times New Roman"/>
            <w:sz w:val="24"/>
            <w:szCs w:val="24"/>
          </w:rPr>
          <m:t>T&lt;W</m:t>
        </m:r>
      </m:oMath>
      <w:r w:rsidRPr="003A3045">
        <w:rPr>
          <w:rFonts w:ascii="Times New Roman" w:hAnsi="Times New Roman" w:cs="Times New Roman"/>
          <w:sz w:val="24"/>
          <w:szCs w:val="24"/>
        </w:rPr>
        <w:t xml:space="preserve">, meaning pay-outs from the hedge contract only apply to </w:t>
      </w:r>
      <w:r w:rsidRPr="003A3045">
        <w:rPr>
          <w:rFonts w:ascii="Times New Roman" w:hAnsi="Times New Roman" w:cs="Times New Roman"/>
          <w:i/>
          <w:sz w:val="24"/>
          <w:szCs w:val="24"/>
        </w:rPr>
        <w:t>a portion</w:t>
      </w:r>
      <w:r w:rsidRPr="003A3045">
        <w:rPr>
          <w:rFonts w:ascii="Times New Roman" w:hAnsi="Times New Roman" w:cs="Times New Roman"/>
          <w:sz w:val="24"/>
          <w:szCs w:val="24"/>
        </w:rPr>
        <w:t xml:space="preserve"> of the electricity produced by the wind farm. Typically, unique production targets are set for each hour of the day, in theory representing the “firm” (reliable) production capabilities of the project. If these targets are set improperly, it can result in the wind farm under-producing relative to its contracted obligations and incurring penalties, and/or a small percentage of actual project output benefiting from the hedge. This so-called “shape risk” is another way contract performance can be degraded. </w:t>
      </w:r>
    </w:p>
    <w:p w14:paraId="1BD16D70" w14:textId="3CA76AF0" w:rsidR="006A150E" w:rsidRPr="003A3045" w:rsidRDefault="001031F3" w:rsidP="002C6285">
      <w:pPr>
        <w:spacing w:after="0" w:line="480" w:lineRule="auto"/>
        <w:ind w:firstLine="720"/>
        <w:jc w:val="both"/>
        <w:rPr>
          <w:rFonts w:ascii="Times New Roman" w:hAnsi="Times New Roman" w:cs="Times New Roman"/>
          <w:sz w:val="24"/>
          <w:szCs w:val="24"/>
        </w:rPr>
      </w:pPr>
      <w:bookmarkStart w:id="5" w:name="_gjdgxs" w:colFirst="0" w:colLast="0"/>
      <w:bookmarkEnd w:id="5"/>
      <w:r w:rsidRPr="003A3045">
        <w:rPr>
          <w:rFonts w:ascii="Times New Roman" w:hAnsi="Times New Roman" w:cs="Times New Roman"/>
          <w:sz w:val="24"/>
          <w:szCs w:val="24"/>
        </w:rPr>
        <w:lastRenderedPageBreak/>
        <w:t xml:space="preserve">Given their relative simplicity and wide availability, fixed volume price swaps represent an attractive option for merchant wind producers who do not have access to traditional PPAs. But their use can prove to be deleterious for some wind developers, due to improper contract design and structural challenges found in some wholesale markets. </w:t>
      </w:r>
      <w:commentRangeStart w:id="6"/>
      <w:r w:rsidRPr="003A3045">
        <w:rPr>
          <w:rFonts w:ascii="Times New Roman" w:hAnsi="Times New Roman" w:cs="Times New Roman"/>
          <w:sz w:val="24"/>
          <w:szCs w:val="24"/>
        </w:rPr>
        <w:t>In</w:t>
      </w:r>
      <w:commentRangeEnd w:id="6"/>
      <w:r w:rsidR="00B44AA0">
        <w:rPr>
          <w:rStyle w:val="CommentReference"/>
        </w:rPr>
        <w:commentReference w:id="6"/>
      </w:r>
      <w:r w:rsidRPr="003A3045">
        <w:rPr>
          <w:rFonts w:ascii="Times New Roman" w:hAnsi="Times New Roman" w:cs="Times New Roman"/>
          <w:sz w:val="24"/>
          <w:szCs w:val="24"/>
        </w:rPr>
        <w:t xml:space="preserve"> this paper, we examine the structure of fixed volume swaps negotiated between wind developers and hedge providers, and their sensitivity to basis and shape risk. We then explore how improvements could be made to these contracts, specifically by changing hourly wind production targets that the asset owner is required to meet. The results from this study should prove valuable to wind developers seeking to make informed decisions about how to minimize revenue uncertainty, thus helping them to get new projects off the ground.  </w:t>
      </w:r>
      <w:bookmarkStart w:id="7" w:name="_9gt6xngcsxpi" w:colFirst="0" w:colLast="0"/>
      <w:bookmarkEnd w:id="7"/>
    </w:p>
    <w:p w14:paraId="4C601935" w14:textId="6C7DC261" w:rsidR="006A150E" w:rsidRPr="000A41DB" w:rsidRDefault="001031F3" w:rsidP="001E34A2">
      <w:pPr>
        <w:pStyle w:val="Heading1"/>
        <w:numPr>
          <w:ilvl w:val="0"/>
          <w:numId w:val="4"/>
        </w:numPr>
        <w:rPr>
          <w:rFonts w:ascii="Times New Roman" w:hAnsi="Times New Roman" w:cs="Times New Roman"/>
          <w:szCs w:val="24"/>
        </w:rPr>
      </w:pPr>
      <w:r w:rsidRPr="000A41DB">
        <w:rPr>
          <w:rFonts w:ascii="Times New Roman" w:hAnsi="Times New Roman" w:cs="Times New Roman"/>
          <w:szCs w:val="24"/>
        </w:rPr>
        <w:t>Methods</w:t>
      </w:r>
    </w:p>
    <w:p w14:paraId="1DB3F6F3" w14:textId="77777777" w:rsidR="006A150E" w:rsidRPr="003A3045" w:rsidRDefault="006A150E">
      <w:pPr>
        <w:rPr>
          <w:rFonts w:ascii="Times New Roman" w:hAnsi="Times New Roman" w:cs="Times New Roman"/>
          <w:sz w:val="24"/>
          <w:szCs w:val="24"/>
        </w:rPr>
      </w:pPr>
    </w:p>
    <w:p w14:paraId="1C1582F3" w14:textId="78FF196C" w:rsidR="006A150E" w:rsidRPr="003A3045" w:rsidRDefault="00CD6730">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1031F3" w:rsidRPr="003A3045">
        <w:rPr>
          <w:rFonts w:ascii="Times New Roman" w:hAnsi="Times New Roman" w:cs="Times New Roman"/>
          <w:sz w:val="24"/>
          <w:szCs w:val="24"/>
        </w:rPr>
        <w:t>Study Area and Data</w:t>
      </w:r>
    </w:p>
    <w:p w14:paraId="004D6060" w14:textId="77777777" w:rsidR="006A150E" w:rsidRPr="003A3045" w:rsidRDefault="006A150E">
      <w:pPr>
        <w:rPr>
          <w:rFonts w:ascii="Times New Roman" w:hAnsi="Times New Roman" w:cs="Times New Roman"/>
          <w:sz w:val="24"/>
          <w:szCs w:val="24"/>
        </w:rPr>
      </w:pPr>
    </w:p>
    <w:p w14:paraId="3376E9EA" w14:textId="40159260" w:rsidR="006A150E" w:rsidRPr="003A3045"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We focus our analysis on the Southwest Power Pool (SPP) market in the U.S., which has members in 14 states and a service territory of 546,000 square miles </w:t>
      </w:r>
      <w:r w:rsidRPr="00D811FD">
        <w:rPr>
          <w:rFonts w:ascii="Times New Roman" w:hAnsi="Times New Roman" w:cs="Times New Roman"/>
          <w:sz w:val="24"/>
          <w:szCs w:val="24"/>
        </w:rPr>
        <w:t>(Figure 2).</w:t>
      </w:r>
      <w:r w:rsidRPr="003A3045">
        <w:rPr>
          <w:rFonts w:ascii="Times New Roman" w:hAnsi="Times New Roman" w:cs="Times New Roman"/>
          <w:sz w:val="24"/>
          <w:szCs w:val="24"/>
        </w:rPr>
        <w:t xml:space="preserve"> The SPP market had approximately 22.5 GW of wind energy capacity as of the end of 2019, making up 24.9% of its total generating capacity [4]. In 2020, SPP became the first regional grid operator to have wind as its </w:t>
      </w:r>
      <w:r w:rsidR="00A15588">
        <w:rPr>
          <w:rFonts w:ascii="Times New Roman" w:hAnsi="Times New Roman" w:cs="Times New Roman"/>
          <w:sz w:val="24"/>
          <w:szCs w:val="24"/>
        </w:rPr>
        <w:t>primary</w:t>
      </w:r>
      <w:r w:rsidRPr="003A3045">
        <w:rPr>
          <w:rFonts w:ascii="Times New Roman" w:hAnsi="Times New Roman" w:cs="Times New Roman"/>
          <w:sz w:val="24"/>
          <w:szCs w:val="24"/>
        </w:rPr>
        <w:t xml:space="preserve"> annual fuel source, outpacing SPP’s use of coal and natural gas. To incorporate this large amount of wind and maintain reliability across the grid, SPP has approved an extensive transmission plan for 2021, and is integrating electric storage resources in compliance with FERC Order 2222, which requires grid operators to allow distributed energy resources to participate in wholesale markets [5]. This area was chosen because of its persistent high wind speeds and a history of transmission issues, which are representative of the difficulties wind developers face in finding a suitable site with high enough potential revenues to justify project development. In addition, fixed volume price swaps are particularly common in SPP. </w:t>
      </w:r>
    </w:p>
    <w:p w14:paraId="73F881D5" w14:textId="4F6D931A" w:rsidR="006A150E" w:rsidRPr="003A3045"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lastRenderedPageBreak/>
        <w:t>Despite high average wind speeds over much of the SPP footprint, wind power faces challenges there due to limited transmission capabilities and so-called “covariance risk”.  Wind speeds exhibit significant correlation across space, with these correlations declining as a function of distance.  But wind power production increases cubically with wind speeds, so wind power projects tend to cluster around the locations with the greatest wind resources. As a result, when one wind farm is experiencing a period of high wind production, it is more likely that other nearby wind farms are also delivering large amounts of electricity onto the grid simultaneously. This can overload existing transmission capacity, resulting in local saturation of wind power and forced curtailment of excess wind power. Furthermore, because wind power plants’ marginal costs are zero, congestion can cause prices at the node drop to zero (or even become negative, since some wind farms receiving PTCs can bid below zero and still experience positive revenues). To alleviate some of these issues, SPP currently is planning $545 million worth of transmission upgrades for the 20-year planning horizon that inclu</w:t>
      </w:r>
      <w:r w:rsidR="00E57ECE">
        <w:rPr>
          <w:rFonts w:ascii="Times New Roman" w:hAnsi="Times New Roman" w:cs="Times New Roman"/>
          <w:sz w:val="24"/>
          <w:szCs w:val="24"/>
        </w:rPr>
        <w:t>des 78 projects in 8 states [5]</w:t>
      </w:r>
      <w:r w:rsidRPr="003A3045">
        <w:rPr>
          <w:rFonts w:ascii="Times New Roman" w:hAnsi="Times New Roman" w:cs="Times New Roman"/>
          <w:sz w:val="24"/>
          <w:szCs w:val="24"/>
        </w:rPr>
        <w:t xml:space="preserve">. </w:t>
      </w:r>
    </w:p>
    <w:p w14:paraId="1F99D014" w14:textId="77777777" w:rsidR="006A150E" w:rsidRPr="003A3045"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Our data consists of hourly wind power production data at a hypothetical wind project location within SPP for two years (2015-2016) provided by the wind farm site. In order to extend our wind power production data to match the same five years of price data, we first obtained daily wind speed data for 2015-2019 from Gage Airport, OK, located 32 miles from the wind farm site. Daily wind speeds over the period 2018-2020 are then used to conditionally bootstrap (re-sample) hourly wind speeds from 2015 and 2016. For example, for a given day in 2018-2020, we identify the average wind speed at Gage Airport, and then select the day from the same calendar month in the 2015-2016 data that experienced the most similar average wind speed. Hourly wind power production on this day in 2018 is then assumed to be identical to the similar wind speed data identified from the 2015-2016 database. Wind farm turbines are assumed to have a rated power of either 2.3 or 2.5 MW, with a total project capacity of 198.6 MW. The two years of historical, hourly production data provided for use in this study consists of the net capacity factor for each hour as well as the net energy produced by the array for each hour in MWh. For </w:t>
      </w:r>
      <w:r w:rsidRPr="003A3045">
        <w:rPr>
          <w:rFonts w:ascii="Times New Roman" w:hAnsi="Times New Roman" w:cs="Times New Roman"/>
          <w:sz w:val="24"/>
          <w:szCs w:val="24"/>
        </w:rPr>
        <w:lastRenderedPageBreak/>
        <w:t xml:space="preserve">the years 2015-2019, the simulated net capacity factors are 49.96%, 52.05%, 55.20%, 54.41%, and 53.17%, respectively. </w:t>
      </w:r>
    </w:p>
    <w:p w14:paraId="4C188D1F" w14:textId="45866BC3" w:rsidR="002C6285" w:rsidRPr="003A3045" w:rsidRDefault="001031F3" w:rsidP="002C6285">
      <w:pPr>
        <w:spacing w:before="40" w:after="24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We also obtained five years of hourly nodal and hub price data (2015-2019) for the SPP market, from 10 nodes in close proximity to the wind farm </w:t>
      </w:r>
      <w:r w:rsidRPr="00D811FD">
        <w:rPr>
          <w:rFonts w:ascii="Times New Roman" w:hAnsi="Times New Roman" w:cs="Times New Roman"/>
          <w:sz w:val="24"/>
          <w:szCs w:val="24"/>
        </w:rPr>
        <w:t>site (Figure 2),</w:t>
      </w:r>
      <w:r w:rsidRPr="003A3045">
        <w:rPr>
          <w:rFonts w:ascii="Times New Roman" w:hAnsi="Times New Roman" w:cs="Times New Roman"/>
          <w:sz w:val="24"/>
          <w:szCs w:val="24"/>
        </w:rPr>
        <w:t xml:space="preserve"> as well as the ‘hub’. In the SPP market, locational marginal prices are determined in dollars per megawatt-hour ($/MWh) at thousands of nodes across the system. These prices are a combination of the electricity price, transmission congestion charges, and line losses. Prices at the trading hub are determined as the weighted average of prices </w:t>
      </w:r>
      <w:proofErr w:type="spellStart"/>
      <w:r w:rsidRPr="003A3045">
        <w:rPr>
          <w:rFonts w:ascii="Times New Roman" w:hAnsi="Times New Roman" w:cs="Times New Roman"/>
          <w:sz w:val="24"/>
          <w:szCs w:val="24"/>
        </w:rPr>
        <w:t>over all</w:t>
      </w:r>
      <w:proofErr w:type="spellEnd"/>
      <w:r w:rsidRPr="003A3045">
        <w:rPr>
          <w:rFonts w:ascii="Times New Roman" w:hAnsi="Times New Roman" w:cs="Times New Roman"/>
          <w:sz w:val="24"/>
          <w:szCs w:val="24"/>
        </w:rPr>
        <w:t xml:space="preserve"> system nodes. Typically, financial derivatives related to wholesale electricity markets (including fixed volume swaps for wind farms) are settled based on hub prices, because hub pricing is less volatile, less subject to market power, and easier to project based on historical data. </w:t>
      </w:r>
    </w:p>
    <w:p w14:paraId="3BDB3430" w14:textId="77777777" w:rsidR="006A150E" w:rsidRPr="002C6285" w:rsidRDefault="001031F3">
      <w:pPr>
        <w:spacing w:before="40" w:after="0" w:line="480" w:lineRule="auto"/>
        <w:jc w:val="center"/>
        <w:rPr>
          <w:rFonts w:ascii="Times New Roman" w:hAnsi="Times New Roman" w:cs="Times New Roman"/>
          <w:sz w:val="20"/>
          <w:szCs w:val="24"/>
        </w:rPr>
      </w:pPr>
      <w:r w:rsidRPr="002C6285">
        <w:rPr>
          <w:rFonts w:ascii="Times New Roman" w:hAnsi="Times New Roman" w:cs="Times New Roman"/>
          <w:b/>
          <w:sz w:val="20"/>
          <w:szCs w:val="24"/>
        </w:rPr>
        <w:t xml:space="preserve">Table 1. </w:t>
      </w:r>
      <w:r w:rsidRPr="002C6285">
        <w:rPr>
          <w:rFonts w:ascii="Times New Roman" w:hAnsi="Times New Roman" w:cs="Times New Roman"/>
          <w:sz w:val="20"/>
          <w:szCs w:val="24"/>
        </w:rPr>
        <w:t>Nearest SPP System Nodes to the hypothetical wind project.</w:t>
      </w:r>
    </w:p>
    <w:tbl>
      <w:tblPr>
        <w:tblStyle w:val="a"/>
        <w:tblW w:w="7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470"/>
        <w:gridCol w:w="3080"/>
      </w:tblGrid>
      <w:tr w:rsidR="006A150E" w:rsidRPr="002C6285" w14:paraId="686997D4" w14:textId="77777777" w:rsidTr="008D7742">
        <w:trPr>
          <w:trHeight w:val="213"/>
          <w:jc w:val="center"/>
        </w:trPr>
        <w:tc>
          <w:tcPr>
            <w:tcW w:w="4470" w:type="dxa"/>
            <w:shd w:val="clear" w:color="auto" w:fill="auto"/>
            <w:tcMar>
              <w:top w:w="100" w:type="dxa"/>
              <w:left w:w="100" w:type="dxa"/>
              <w:bottom w:w="100" w:type="dxa"/>
              <w:right w:w="100" w:type="dxa"/>
            </w:tcMar>
            <w:vAlign w:val="center"/>
          </w:tcPr>
          <w:p w14:paraId="636DE0BD" w14:textId="77777777" w:rsidR="006A150E" w:rsidRPr="002C6285" w:rsidRDefault="001031F3" w:rsidP="002C6285">
            <w:pPr>
              <w:widowControl w:val="0"/>
              <w:pBdr>
                <w:top w:val="nil"/>
                <w:left w:val="nil"/>
                <w:bottom w:val="nil"/>
                <w:right w:val="nil"/>
                <w:between w:val="nil"/>
              </w:pBdr>
              <w:spacing w:after="0" w:line="240" w:lineRule="auto"/>
              <w:jc w:val="center"/>
              <w:rPr>
                <w:rFonts w:ascii="Times New Roman" w:hAnsi="Times New Roman" w:cs="Times New Roman"/>
                <w:b/>
                <w:sz w:val="20"/>
                <w:szCs w:val="24"/>
              </w:rPr>
            </w:pPr>
            <w:r w:rsidRPr="002C6285">
              <w:rPr>
                <w:rFonts w:ascii="Times New Roman" w:hAnsi="Times New Roman" w:cs="Times New Roman"/>
                <w:b/>
                <w:sz w:val="20"/>
                <w:szCs w:val="24"/>
              </w:rPr>
              <w:t>Node</w:t>
            </w:r>
          </w:p>
        </w:tc>
        <w:tc>
          <w:tcPr>
            <w:tcW w:w="3080" w:type="dxa"/>
            <w:shd w:val="clear" w:color="auto" w:fill="auto"/>
            <w:tcMar>
              <w:top w:w="100" w:type="dxa"/>
              <w:left w:w="100" w:type="dxa"/>
              <w:bottom w:w="100" w:type="dxa"/>
              <w:right w:w="100" w:type="dxa"/>
            </w:tcMar>
          </w:tcPr>
          <w:p w14:paraId="0953A18F"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b/>
                <w:sz w:val="20"/>
                <w:szCs w:val="24"/>
              </w:rPr>
            </w:pPr>
            <w:r w:rsidRPr="002C6285">
              <w:rPr>
                <w:rFonts w:ascii="Times New Roman" w:hAnsi="Times New Roman" w:cs="Times New Roman"/>
                <w:b/>
                <w:sz w:val="20"/>
                <w:szCs w:val="24"/>
              </w:rPr>
              <w:t>Proximity to Wind Farm (km)</w:t>
            </w:r>
          </w:p>
        </w:tc>
      </w:tr>
      <w:tr w:rsidR="006A150E" w:rsidRPr="002C6285" w14:paraId="719DE9E2" w14:textId="77777777" w:rsidTr="008D7742">
        <w:trPr>
          <w:jc w:val="center"/>
        </w:trPr>
        <w:tc>
          <w:tcPr>
            <w:tcW w:w="4470" w:type="dxa"/>
            <w:shd w:val="clear" w:color="auto" w:fill="auto"/>
            <w:tcMar>
              <w:top w:w="100" w:type="dxa"/>
              <w:left w:w="100" w:type="dxa"/>
              <w:bottom w:w="100" w:type="dxa"/>
              <w:right w:w="100" w:type="dxa"/>
            </w:tcMar>
          </w:tcPr>
          <w:p w14:paraId="35F298A7"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OKGEIODINE4LD2</w:t>
            </w:r>
          </w:p>
        </w:tc>
        <w:tc>
          <w:tcPr>
            <w:tcW w:w="3080" w:type="dxa"/>
            <w:shd w:val="clear" w:color="auto" w:fill="auto"/>
            <w:tcMar>
              <w:top w:w="100" w:type="dxa"/>
              <w:left w:w="100" w:type="dxa"/>
              <w:bottom w:w="100" w:type="dxa"/>
              <w:right w:w="100" w:type="dxa"/>
            </w:tcMar>
          </w:tcPr>
          <w:p w14:paraId="36D70314"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4.94</w:t>
            </w:r>
          </w:p>
        </w:tc>
      </w:tr>
      <w:tr w:rsidR="006A150E" w:rsidRPr="002C6285" w14:paraId="0A5DE32C" w14:textId="77777777" w:rsidTr="008D7742">
        <w:trPr>
          <w:jc w:val="center"/>
        </w:trPr>
        <w:tc>
          <w:tcPr>
            <w:tcW w:w="4470" w:type="dxa"/>
            <w:shd w:val="clear" w:color="auto" w:fill="auto"/>
            <w:tcMar>
              <w:top w:w="100" w:type="dxa"/>
              <w:left w:w="100" w:type="dxa"/>
              <w:bottom w:w="100" w:type="dxa"/>
              <w:right w:w="100" w:type="dxa"/>
            </w:tcMar>
          </w:tcPr>
          <w:p w14:paraId="52227837"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WFECVICILD2</w:t>
            </w:r>
          </w:p>
        </w:tc>
        <w:tc>
          <w:tcPr>
            <w:tcW w:w="3080" w:type="dxa"/>
            <w:shd w:val="clear" w:color="auto" w:fill="auto"/>
            <w:tcMar>
              <w:top w:w="100" w:type="dxa"/>
              <w:left w:w="100" w:type="dxa"/>
              <w:bottom w:w="100" w:type="dxa"/>
              <w:right w:w="100" w:type="dxa"/>
            </w:tcMar>
          </w:tcPr>
          <w:p w14:paraId="0F6AAC3A"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4.97</w:t>
            </w:r>
          </w:p>
        </w:tc>
      </w:tr>
      <w:tr w:rsidR="006A150E" w:rsidRPr="002C6285" w14:paraId="7842F56E" w14:textId="77777777" w:rsidTr="008D7742">
        <w:trPr>
          <w:jc w:val="center"/>
        </w:trPr>
        <w:tc>
          <w:tcPr>
            <w:tcW w:w="4470" w:type="dxa"/>
            <w:shd w:val="clear" w:color="auto" w:fill="auto"/>
            <w:tcMar>
              <w:top w:w="100" w:type="dxa"/>
              <w:left w:w="100" w:type="dxa"/>
              <w:bottom w:w="100" w:type="dxa"/>
              <w:right w:w="100" w:type="dxa"/>
            </w:tcMar>
          </w:tcPr>
          <w:p w14:paraId="4EE0C801"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OKGEWDWRD1LD2</w:t>
            </w:r>
          </w:p>
        </w:tc>
        <w:tc>
          <w:tcPr>
            <w:tcW w:w="3080" w:type="dxa"/>
            <w:shd w:val="clear" w:color="auto" w:fill="auto"/>
            <w:tcMar>
              <w:top w:w="100" w:type="dxa"/>
              <w:left w:w="100" w:type="dxa"/>
              <w:bottom w:w="100" w:type="dxa"/>
              <w:right w:w="100" w:type="dxa"/>
            </w:tcMar>
          </w:tcPr>
          <w:p w14:paraId="2065B0F9"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18.99</w:t>
            </w:r>
          </w:p>
        </w:tc>
      </w:tr>
      <w:tr w:rsidR="006A150E" w:rsidRPr="002C6285" w14:paraId="0207BB12" w14:textId="77777777" w:rsidTr="008D7742">
        <w:trPr>
          <w:jc w:val="center"/>
        </w:trPr>
        <w:tc>
          <w:tcPr>
            <w:tcW w:w="4470" w:type="dxa"/>
            <w:shd w:val="clear" w:color="auto" w:fill="auto"/>
            <w:tcMar>
              <w:top w:w="100" w:type="dxa"/>
              <w:left w:w="100" w:type="dxa"/>
              <w:bottom w:w="100" w:type="dxa"/>
              <w:right w:w="100" w:type="dxa"/>
            </w:tcMar>
          </w:tcPr>
          <w:p w14:paraId="3BCE66E9"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OKGEWDWRDEHVUKEENAN_WIND</w:t>
            </w:r>
          </w:p>
        </w:tc>
        <w:tc>
          <w:tcPr>
            <w:tcW w:w="3080" w:type="dxa"/>
            <w:shd w:val="clear" w:color="auto" w:fill="auto"/>
            <w:tcMar>
              <w:top w:w="100" w:type="dxa"/>
              <w:left w:w="100" w:type="dxa"/>
              <w:bottom w:w="100" w:type="dxa"/>
              <w:right w:w="100" w:type="dxa"/>
            </w:tcMar>
          </w:tcPr>
          <w:p w14:paraId="784ECC7C"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19.15</w:t>
            </w:r>
          </w:p>
        </w:tc>
      </w:tr>
      <w:tr w:rsidR="006A150E" w:rsidRPr="002C6285" w14:paraId="0727A747" w14:textId="77777777" w:rsidTr="008D7742">
        <w:trPr>
          <w:jc w:val="center"/>
        </w:trPr>
        <w:tc>
          <w:tcPr>
            <w:tcW w:w="4470" w:type="dxa"/>
            <w:shd w:val="clear" w:color="auto" w:fill="auto"/>
            <w:tcMar>
              <w:top w:w="100" w:type="dxa"/>
              <w:left w:w="100" w:type="dxa"/>
              <w:bottom w:w="100" w:type="dxa"/>
              <w:right w:w="100" w:type="dxa"/>
            </w:tcMar>
          </w:tcPr>
          <w:p w14:paraId="7DA04520"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OKGEKEENANWIND</w:t>
            </w:r>
          </w:p>
        </w:tc>
        <w:tc>
          <w:tcPr>
            <w:tcW w:w="3080" w:type="dxa"/>
            <w:shd w:val="clear" w:color="auto" w:fill="auto"/>
            <w:tcMar>
              <w:top w:w="100" w:type="dxa"/>
              <w:left w:w="100" w:type="dxa"/>
              <w:bottom w:w="100" w:type="dxa"/>
              <w:right w:w="100" w:type="dxa"/>
            </w:tcMar>
          </w:tcPr>
          <w:p w14:paraId="0888E78C"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22.29</w:t>
            </w:r>
          </w:p>
        </w:tc>
      </w:tr>
      <w:tr w:rsidR="006A150E" w:rsidRPr="002C6285" w14:paraId="3912AFFF" w14:textId="77777777" w:rsidTr="008D7742">
        <w:trPr>
          <w:jc w:val="center"/>
        </w:trPr>
        <w:tc>
          <w:tcPr>
            <w:tcW w:w="4470" w:type="dxa"/>
            <w:shd w:val="clear" w:color="auto" w:fill="auto"/>
            <w:tcMar>
              <w:top w:w="100" w:type="dxa"/>
              <w:left w:w="100" w:type="dxa"/>
              <w:bottom w:w="100" w:type="dxa"/>
              <w:right w:w="100" w:type="dxa"/>
            </w:tcMar>
          </w:tcPr>
          <w:p w14:paraId="1748F1DD"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OKGECEDAR5LD2</w:t>
            </w:r>
          </w:p>
        </w:tc>
        <w:tc>
          <w:tcPr>
            <w:tcW w:w="3080" w:type="dxa"/>
            <w:shd w:val="clear" w:color="auto" w:fill="auto"/>
            <w:tcMar>
              <w:top w:w="100" w:type="dxa"/>
              <w:left w:w="100" w:type="dxa"/>
              <w:bottom w:w="100" w:type="dxa"/>
              <w:right w:w="100" w:type="dxa"/>
            </w:tcMar>
          </w:tcPr>
          <w:p w14:paraId="64735F0F"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25.83</w:t>
            </w:r>
          </w:p>
        </w:tc>
      </w:tr>
      <w:tr w:rsidR="006A150E" w:rsidRPr="002C6285" w14:paraId="2A087E60" w14:textId="77777777" w:rsidTr="008D7742">
        <w:trPr>
          <w:jc w:val="center"/>
        </w:trPr>
        <w:tc>
          <w:tcPr>
            <w:tcW w:w="4470" w:type="dxa"/>
            <w:shd w:val="clear" w:color="auto" w:fill="auto"/>
            <w:tcMar>
              <w:top w:w="100" w:type="dxa"/>
              <w:left w:w="100" w:type="dxa"/>
              <w:bottom w:w="100" w:type="dxa"/>
              <w:right w:w="100" w:type="dxa"/>
            </w:tcMar>
          </w:tcPr>
          <w:p w14:paraId="1CF6928B"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OKGESPIRITWIND</w:t>
            </w:r>
          </w:p>
        </w:tc>
        <w:tc>
          <w:tcPr>
            <w:tcW w:w="3080" w:type="dxa"/>
            <w:shd w:val="clear" w:color="auto" w:fill="auto"/>
            <w:tcMar>
              <w:top w:w="100" w:type="dxa"/>
              <w:left w:w="100" w:type="dxa"/>
              <w:bottom w:w="100" w:type="dxa"/>
              <w:right w:w="100" w:type="dxa"/>
            </w:tcMar>
          </w:tcPr>
          <w:p w14:paraId="3A60AE38"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26.23</w:t>
            </w:r>
          </w:p>
        </w:tc>
      </w:tr>
      <w:tr w:rsidR="006A150E" w:rsidRPr="002C6285" w14:paraId="7A63D417" w14:textId="77777777" w:rsidTr="008D7742">
        <w:trPr>
          <w:jc w:val="center"/>
        </w:trPr>
        <w:tc>
          <w:tcPr>
            <w:tcW w:w="4470" w:type="dxa"/>
            <w:shd w:val="clear" w:color="auto" w:fill="auto"/>
            <w:tcMar>
              <w:top w:w="100" w:type="dxa"/>
              <w:left w:w="100" w:type="dxa"/>
              <w:bottom w:w="100" w:type="dxa"/>
              <w:right w:w="100" w:type="dxa"/>
            </w:tcMar>
          </w:tcPr>
          <w:p w14:paraId="22E4EF29"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OKGE_SEILING</w:t>
            </w:r>
          </w:p>
        </w:tc>
        <w:tc>
          <w:tcPr>
            <w:tcW w:w="3080" w:type="dxa"/>
            <w:shd w:val="clear" w:color="auto" w:fill="auto"/>
            <w:tcMar>
              <w:top w:w="100" w:type="dxa"/>
              <w:left w:w="100" w:type="dxa"/>
              <w:bottom w:w="100" w:type="dxa"/>
              <w:right w:w="100" w:type="dxa"/>
            </w:tcMar>
          </w:tcPr>
          <w:p w14:paraId="43B7B9E8"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27.65</w:t>
            </w:r>
          </w:p>
        </w:tc>
      </w:tr>
      <w:tr w:rsidR="006A150E" w:rsidRPr="002C6285" w14:paraId="588085B6" w14:textId="77777777" w:rsidTr="008D7742">
        <w:trPr>
          <w:jc w:val="center"/>
        </w:trPr>
        <w:tc>
          <w:tcPr>
            <w:tcW w:w="4470" w:type="dxa"/>
            <w:shd w:val="clear" w:color="auto" w:fill="auto"/>
            <w:tcMar>
              <w:top w:w="100" w:type="dxa"/>
              <w:left w:w="100" w:type="dxa"/>
              <w:bottom w:w="100" w:type="dxa"/>
              <w:right w:w="100" w:type="dxa"/>
            </w:tcMar>
          </w:tcPr>
          <w:p w14:paraId="62CC7C40"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OKGECEDAVLD2</w:t>
            </w:r>
          </w:p>
        </w:tc>
        <w:tc>
          <w:tcPr>
            <w:tcW w:w="3080" w:type="dxa"/>
            <w:shd w:val="clear" w:color="auto" w:fill="auto"/>
            <w:tcMar>
              <w:top w:w="100" w:type="dxa"/>
              <w:left w:w="100" w:type="dxa"/>
              <w:bottom w:w="100" w:type="dxa"/>
              <w:right w:w="100" w:type="dxa"/>
            </w:tcMar>
          </w:tcPr>
          <w:p w14:paraId="59C793DE"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31.82</w:t>
            </w:r>
          </w:p>
        </w:tc>
      </w:tr>
      <w:tr w:rsidR="006A150E" w:rsidRPr="002C6285" w14:paraId="64E56FA6" w14:textId="77777777" w:rsidTr="008D7742">
        <w:trPr>
          <w:trHeight w:val="213"/>
          <w:jc w:val="center"/>
        </w:trPr>
        <w:tc>
          <w:tcPr>
            <w:tcW w:w="4470" w:type="dxa"/>
            <w:shd w:val="clear" w:color="auto" w:fill="auto"/>
            <w:tcMar>
              <w:top w:w="100" w:type="dxa"/>
              <w:left w:w="100" w:type="dxa"/>
              <w:bottom w:w="100" w:type="dxa"/>
              <w:right w:w="100" w:type="dxa"/>
            </w:tcMar>
          </w:tcPr>
          <w:p w14:paraId="55967DB1"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WFEC_MOORELAND_2</w:t>
            </w:r>
          </w:p>
        </w:tc>
        <w:tc>
          <w:tcPr>
            <w:tcW w:w="3080" w:type="dxa"/>
            <w:shd w:val="clear" w:color="auto" w:fill="auto"/>
            <w:tcMar>
              <w:top w:w="100" w:type="dxa"/>
              <w:left w:w="100" w:type="dxa"/>
              <w:bottom w:w="100" w:type="dxa"/>
              <w:right w:w="100" w:type="dxa"/>
            </w:tcMar>
          </w:tcPr>
          <w:p w14:paraId="0960E2B2"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32.49</w:t>
            </w:r>
          </w:p>
        </w:tc>
      </w:tr>
    </w:tbl>
    <w:p w14:paraId="5C0BE16E" w14:textId="77777777" w:rsidR="006A150E" w:rsidRPr="003A3045" w:rsidRDefault="006A150E">
      <w:pPr>
        <w:spacing w:before="40" w:after="0" w:line="480" w:lineRule="auto"/>
        <w:ind w:firstLine="720"/>
        <w:jc w:val="both"/>
        <w:rPr>
          <w:rFonts w:ascii="Times New Roman" w:hAnsi="Times New Roman" w:cs="Times New Roman"/>
          <w:sz w:val="24"/>
          <w:szCs w:val="24"/>
        </w:rPr>
      </w:pPr>
    </w:p>
    <w:p w14:paraId="4ED42023" w14:textId="77777777" w:rsidR="006A150E" w:rsidRPr="003A3045" w:rsidRDefault="001031F3">
      <w:pPr>
        <w:spacing w:before="40" w:after="0" w:line="480" w:lineRule="auto"/>
        <w:ind w:firstLine="720"/>
        <w:jc w:val="center"/>
        <w:rPr>
          <w:rFonts w:ascii="Times New Roman" w:hAnsi="Times New Roman" w:cs="Times New Roman"/>
          <w:sz w:val="24"/>
          <w:szCs w:val="24"/>
        </w:rPr>
      </w:pPr>
      <w:r w:rsidRPr="003A3045">
        <w:rPr>
          <w:rFonts w:ascii="Times New Roman" w:hAnsi="Times New Roman" w:cs="Times New Roman"/>
          <w:noProof/>
          <w:sz w:val="24"/>
          <w:szCs w:val="24"/>
        </w:rPr>
        <w:lastRenderedPageBreak/>
        <w:drawing>
          <wp:inline distT="114300" distB="114300" distL="114300" distR="114300" wp14:anchorId="2FDA7040" wp14:editId="64983FC1">
            <wp:extent cx="4930140" cy="3200400"/>
            <wp:effectExtent l="0" t="0" r="381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930564" cy="3200675"/>
                    </a:xfrm>
                    <a:prstGeom prst="rect">
                      <a:avLst/>
                    </a:prstGeom>
                    <a:ln/>
                  </pic:spPr>
                </pic:pic>
              </a:graphicData>
            </a:graphic>
          </wp:inline>
        </w:drawing>
      </w:r>
    </w:p>
    <w:p w14:paraId="3AE1BD20" w14:textId="77777777" w:rsidR="006A150E" w:rsidRPr="002C6285" w:rsidRDefault="001031F3" w:rsidP="002C6285">
      <w:pPr>
        <w:spacing w:after="0" w:line="240" w:lineRule="auto"/>
        <w:rPr>
          <w:rFonts w:ascii="Times New Roman" w:hAnsi="Times New Roman" w:cs="Times New Roman"/>
          <w:sz w:val="20"/>
          <w:szCs w:val="24"/>
        </w:rPr>
      </w:pPr>
      <w:r w:rsidRPr="002C6285">
        <w:rPr>
          <w:rFonts w:ascii="Times New Roman" w:hAnsi="Times New Roman" w:cs="Times New Roman"/>
          <w:b/>
          <w:sz w:val="20"/>
          <w:szCs w:val="24"/>
        </w:rPr>
        <w:t>Figure 2</w:t>
      </w:r>
      <w:r w:rsidRPr="002C6285">
        <w:rPr>
          <w:rFonts w:ascii="Times New Roman" w:hAnsi="Times New Roman" w:cs="Times New Roman"/>
          <w:sz w:val="20"/>
          <w:szCs w:val="24"/>
        </w:rPr>
        <w:t xml:space="preserve">. Map of Southwest Power Pool (SPP) system. Numbers shown in inset correspond to nodes listed in Table 1, and also denote ranked proximity to the hypothetical wind farm being modeled. </w:t>
      </w:r>
    </w:p>
    <w:p w14:paraId="01214960" w14:textId="77777777" w:rsidR="006A150E" w:rsidRPr="003A3045" w:rsidRDefault="006A150E">
      <w:pPr>
        <w:spacing w:before="40" w:after="0" w:line="240" w:lineRule="auto"/>
        <w:jc w:val="center"/>
        <w:rPr>
          <w:rFonts w:ascii="Times New Roman" w:hAnsi="Times New Roman" w:cs="Times New Roman"/>
          <w:color w:val="FF0000"/>
          <w:sz w:val="24"/>
          <w:szCs w:val="24"/>
        </w:rPr>
      </w:pPr>
    </w:p>
    <w:p w14:paraId="750885B2" w14:textId="77777777" w:rsidR="006A150E" w:rsidRPr="003A3045" w:rsidRDefault="006A150E">
      <w:pPr>
        <w:spacing w:before="40" w:after="0" w:line="480" w:lineRule="auto"/>
        <w:ind w:firstLine="720"/>
        <w:rPr>
          <w:rFonts w:ascii="Times New Roman" w:hAnsi="Times New Roman" w:cs="Times New Roman"/>
          <w:color w:val="4A86E8"/>
          <w:sz w:val="24"/>
          <w:szCs w:val="24"/>
        </w:rPr>
      </w:pPr>
    </w:p>
    <w:p w14:paraId="3D58E6CB" w14:textId="7ABBC1D5" w:rsidR="006A150E" w:rsidRPr="002C6285" w:rsidRDefault="001031F3" w:rsidP="002C6285">
      <w:pPr>
        <w:spacing w:before="40" w:after="0" w:line="480" w:lineRule="auto"/>
        <w:ind w:firstLine="720"/>
        <w:jc w:val="both"/>
        <w:rPr>
          <w:rFonts w:ascii="Times New Roman" w:hAnsi="Times New Roman" w:cs="Times New Roman"/>
          <w:color w:val="4A86E8"/>
          <w:sz w:val="24"/>
          <w:szCs w:val="24"/>
        </w:rPr>
      </w:pPr>
      <w:r w:rsidRPr="003A3045">
        <w:rPr>
          <w:rFonts w:ascii="Times New Roman" w:hAnsi="Times New Roman" w:cs="Times New Roman"/>
          <w:sz w:val="24"/>
          <w:szCs w:val="24"/>
        </w:rPr>
        <w:t>Formal wholesale electricity markets, such as the one run by SPP, typically consist of both “real-time” and “day-ahead” energy markets. The day-ahead market commits generators to produce electricity 24 hours in advance, based on forecasted demand. The real-time market commits projects to produce electricity anywhere from 5-minutes to 1 hour in advance, based on updated forecast information. Wind generators tend to sell into real-time markets because their production is difficult to predict 24 hours in advance, and failing to meet day-ahead obligations can result in costly penalties. Thus, in our analysis, we use real-time price information at both the node and hub.</w:t>
      </w:r>
    </w:p>
    <w:p w14:paraId="169ACD98" w14:textId="21375694" w:rsidR="006A150E" w:rsidRDefault="001031F3" w:rsidP="00DE2D91">
      <w:pPr>
        <w:spacing w:before="40"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r>
      <w:r w:rsidR="002C6285" w:rsidRPr="00D811FD">
        <w:rPr>
          <w:rFonts w:ascii="Times New Roman" w:hAnsi="Times New Roman" w:cs="Times New Roman"/>
          <w:sz w:val="24"/>
          <w:szCs w:val="24"/>
        </w:rPr>
        <w:t>Figure 3</w:t>
      </w:r>
      <w:r w:rsidR="002C6285">
        <w:rPr>
          <w:rFonts w:ascii="Times New Roman" w:hAnsi="Times New Roman" w:cs="Times New Roman"/>
          <w:sz w:val="24"/>
          <w:szCs w:val="24"/>
        </w:rPr>
        <w:t xml:space="preserve"> shows t</w:t>
      </w:r>
      <w:r w:rsidRPr="003A3045">
        <w:rPr>
          <w:rFonts w:ascii="Times New Roman" w:hAnsi="Times New Roman" w:cs="Times New Roman"/>
          <w:sz w:val="24"/>
          <w:szCs w:val="24"/>
        </w:rPr>
        <w:t xml:space="preserve">ime series of </w:t>
      </w:r>
      <w:r w:rsidR="00413307">
        <w:rPr>
          <w:rFonts w:ascii="Times New Roman" w:hAnsi="Times New Roman" w:cs="Times New Roman"/>
          <w:sz w:val="24"/>
          <w:szCs w:val="24"/>
        </w:rPr>
        <w:t xml:space="preserve">monthly </w:t>
      </w:r>
      <w:r w:rsidRPr="003A3045">
        <w:rPr>
          <w:rFonts w:ascii="Times New Roman" w:hAnsi="Times New Roman" w:cs="Times New Roman"/>
          <w:sz w:val="24"/>
          <w:szCs w:val="24"/>
        </w:rPr>
        <w:t xml:space="preserve">SPP </w:t>
      </w:r>
      <w:r w:rsidR="00413307">
        <w:rPr>
          <w:rFonts w:ascii="Times New Roman" w:hAnsi="Times New Roman" w:cs="Times New Roman"/>
          <w:sz w:val="24"/>
          <w:szCs w:val="24"/>
        </w:rPr>
        <w:t>hu</w:t>
      </w:r>
      <w:r w:rsidRPr="003A3045">
        <w:rPr>
          <w:rFonts w:ascii="Times New Roman" w:hAnsi="Times New Roman" w:cs="Times New Roman"/>
          <w:sz w:val="24"/>
          <w:szCs w:val="24"/>
        </w:rPr>
        <w:t xml:space="preserve">b </w:t>
      </w:r>
      <w:r w:rsidR="002C6285">
        <w:rPr>
          <w:rFonts w:ascii="Times New Roman" w:hAnsi="Times New Roman" w:cs="Times New Roman"/>
          <w:sz w:val="24"/>
          <w:szCs w:val="24"/>
        </w:rPr>
        <w:t>prices alongside prices at selected nodes</w:t>
      </w:r>
      <w:r w:rsidRPr="003A3045">
        <w:rPr>
          <w:rFonts w:ascii="Times New Roman" w:hAnsi="Times New Roman" w:cs="Times New Roman"/>
          <w:sz w:val="24"/>
          <w:szCs w:val="24"/>
        </w:rPr>
        <w:t xml:space="preserve">. Basis risk, as described above, is a difference between hub and nodal prices that can reduce the effectiveness of hedging contracts. Figure 3 shows </w:t>
      </w:r>
      <w:r w:rsidR="00413307">
        <w:rPr>
          <w:rFonts w:ascii="Times New Roman" w:hAnsi="Times New Roman" w:cs="Times New Roman"/>
          <w:sz w:val="24"/>
          <w:szCs w:val="24"/>
        </w:rPr>
        <w:t>significant</w:t>
      </w:r>
      <w:r w:rsidRPr="003A3045">
        <w:rPr>
          <w:rFonts w:ascii="Times New Roman" w:hAnsi="Times New Roman" w:cs="Times New Roman"/>
          <w:sz w:val="24"/>
          <w:szCs w:val="24"/>
        </w:rPr>
        <w:t xml:space="preserve"> variation in </w:t>
      </w:r>
      <w:r w:rsidR="00413307">
        <w:rPr>
          <w:rFonts w:ascii="Times New Roman" w:hAnsi="Times New Roman" w:cs="Times New Roman"/>
          <w:sz w:val="24"/>
          <w:szCs w:val="24"/>
        </w:rPr>
        <w:t>nodal prices</w:t>
      </w:r>
      <w:r w:rsidRPr="003A3045">
        <w:rPr>
          <w:rFonts w:ascii="Times New Roman" w:hAnsi="Times New Roman" w:cs="Times New Roman"/>
          <w:sz w:val="24"/>
          <w:szCs w:val="24"/>
        </w:rPr>
        <w:t xml:space="preserve"> across </w:t>
      </w:r>
      <w:r w:rsidR="00413307">
        <w:rPr>
          <w:rFonts w:ascii="Times New Roman" w:hAnsi="Times New Roman" w:cs="Times New Roman"/>
          <w:sz w:val="24"/>
          <w:szCs w:val="24"/>
        </w:rPr>
        <w:t xml:space="preserve">the nodes in </w:t>
      </w:r>
      <w:r w:rsidRPr="003A3045">
        <w:rPr>
          <w:rFonts w:ascii="Times New Roman" w:hAnsi="Times New Roman" w:cs="Times New Roman"/>
          <w:sz w:val="24"/>
          <w:szCs w:val="24"/>
        </w:rPr>
        <w:t xml:space="preserve">our </w:t>
      </w:r>
      <w:r w:rsidR="00413307">
        <w:rPr>
          <w:rFonts w:ascii="Times New Roman" w:hAnsi="Times New Roman" w:cs="Times New Roman"/>
          <w:sz w:val="24"/>
          <w:szCs w:val="24"/>
        </w:rPr>
        <w:t xml:space="preserve">fairly small </w:t>
      </w:r>
      <w:r w:rsidRPr="003A3045">
        <w:rPr>
          <w:rFonts w:ascii="Times New Roman" w:hAnsi="Times New Roman" w:cs="Times New Roman"/>
          <w:sz w:val="24"/>
          <w:szCs w:val="24"/>
        </w:rPr>
        <w:t xml:space="preserve">study </w:t>
      </w:r>
      <w:r w:rsidR="00413307">
        <w:rPr>
          <w:rFonts w:ascii="Times New Roman" w:hAnsi="Times New Roman" w:cs="Times New Roman"/>
          <w:sz w:val="24"/>
          <w:szCs w:val="24"/>
        </w:rPr>
        <w:t>area, as well as through time</w:t>
      </w:r>
      <w:r w:rsidRPr="003A3045">
        <w:rPr>
          <w:rFonts w:ascii="Times New Roman" w:hAnsi="Times New Roman" w:cs="Times New Roman"/>
          <w:sz w:val="24"/>
          <w:szCs w:val="24"/>
        </w:rPr>
        <w:t xml:space="preserve">. </w:t>
      </w:r>
      <w:r w:rsidR="00EF0663" w:rsidRPr="003A3045">
        <w:rPr>
          <w:rFonts w:ascii="Times New Roman" w:hAnsi="Times New Roman" w:cs="Times New Roman"/>
          <w:sz w:val="24"/>
          <w:szCs w:val="24"/>
        </w:rPr>
        <w:t xml:space="preserve">The wide disparity seen in nodal and hub prices during certain time intervals within our study region suggests that there is transmission congestion affecting the grid </w:t>
      </w:r>
      <w:r w:rsidR="00EF0663" w:rsidRPr="003A3045">
        <w:rPr>
          <w:rFonts w:ascii="Times New Roman" w:hAnsi="Times New Roman" w:cs="Times New Roman"/>
          <w:sz w:val="24"/>
          <w:szCs w:val="24"/>
        </w:rPr>
        <w:lastRenderedPageBreak/>
        <w:t>during these times. With no congestion, nodal prices should be uniform across space (and equal to hub prices). Thus, gradients in locational marginal prices (LMPs) can be seen as an indicator of transmission constraints, and/or as an indicator of insufficient, or excess, generating capacity at that point in space and time [</w:t>
      </w:r>
      <w:commentRangeStart w:id="8"/>
      <w:r w:rsidR="00EF0663" w:rsidRPr="003A3045">
        <w:rPr>
          <w:rFonts w:ascii="Times New Roman" w:hAnsi="Times New Roman" w:cs="Times New Roman"/>
          <w:sz w:val="24"/>
          <w:szCs w:val="24"/>
        </w:rPr>
        <w:t>16</w:t>
      </w:r>
      <w:commentRangeEnd w:id="8"/>
      <w:r w:rsidR="00EF0663">
        <w:rPr>
          <w:rStyle w:val="CommentReference"/>
        </w:rPr>
        <w:commentReference w:id="8"/>
      </w:r>
      <w:r w:rsidR="00EF0663" w:rsidRPr="003A3045">
        <w:rPr>
          <w:rFonts w:ascii="Times New Roman" w:hAnsi="Times New Roman" w:cs="Times New Roman"/>
          <w:sz w:val="24"/>
          <w:szCs w:val="24"/>
        </w:rPr>
        <w:t xml:space="preserve">]. </w:t>
      </w:r>
      <w:r w:rsidRPr="003A3045">
        <w:rPr>
          <w:rFonts w:ascii="Times New Roman" w:hAnsi="Times New Roman" w:cs="Times New Roman"/>
          <w:sz w:val="24"/>
          <w:szCs w:val="24"/>
        </w:rPr>
        <w:t>From September 2016 to May 2017, for example, wide swings in nodal prices are seen, leveling off in June 2017. April 2017 has average monthly prices ranging from -$32.40</w:t>
      </w:r>
      <w:r w:rsidR="004E255B">
        <w:rPr>
          <w:rFonts w:ascii="Times New Roman" w:hAnsi="Times New Roman" w:cs="Times New Roman"/>
          <w:sz w:val="24"/>
          <w:szCs w:val="24"/>
        </w:rPr>
        <w:t>/MWh</w:t>
      </w:r>
      <w:r w:rsidRPr="003A3045">
        <w:rPr>
          <w:rFonts w:ascii="Times New Roman" w:hAnsi="Times New Roman" w:cs="Times New Roman"/>
          <w:sz w:val="24"/>
          <w:szCs w:val="24"/>
        </w:rPr>
        <w:t xml:space="preserve"> in the OKGEWDWRD1LD2 node, to $90.30</w:t>
      </w:r>
      <w:r w:rsidR="004E255B">
        <w:rPr>
          <w:rFonts w:ascii="Times New Roman" w:hAnsi="Times New Roman" w:cs="Times New Roman"/>
          <w:sz w:val="24"/>
          <w:szCs w:val="24"/>
        </w:rPr>
        <w:t>/MWh</w:t>
      </w:r>
      <w:r w:rsidRPr="003A3045">
        <w:rPr>
          <w:rFonts w:ascii="Times New Roman" w:hAnsi="Times New Roman" w:cs="Times New Roman"/>
          <w:sz w:val="24"/>
          <w:szCs w:val="24"/>
        </w:rPr>
        <w:t xml:space="preserve"> in the WFEC_MOORELAND_2 node. This month had the highest average wind speeds in this 5-year time span at 15.4 m</w:t>
      </w:r>
      <w:r w:rsidR="005E315E">
        <w:rPr>
          <w:rFonts w:ascii="Times New Roman" w:hAnsi="Times New Roman" w:cs="Times New Roman"/>
          <w:sz w:val="24"/>
          <w:szCs w:val="24"/>
        </w:rPr>
        <w:t>eters per second</w:t>
      </w:r>
      <w:r w:rsidRPr="003A3045">
        <w:rPr>
          <w:rFonts w:ascii="Times New Roman" w:hAnsi="Times New Roman" w:cs="Times New Roman"/>
          <w:sz w:val="24"/>
          <w:szCs w:val="24"/>
        </w:rPr>
        <w:t xml:space="preserve">. Without adequate transmission, </w:t>
      </w:r>
      <w:r w:rsidR="00413307">
        <w:rPr>
          <w:rFonts w:ascii="Times New Roman" w:hAnsi="Times New Roman" w:cs="Times New Roman"/>
          <w:sz w:val="24"/>
          <w:szCs w:val="24"/>
        </w:rPr>
        <w:t>extremely high wind speeds create “pockets” of extremely high wind power penetration at certain nodes, causing prices to crash, while prices at other nodes (and the hub) remain high</w:t>
      </w:r>
      <w:r w:rsidRPr="003A3045">
        <w:rPr>
          <w:rFonts w:ascii="Times New Roman" w:hAnsi="Times New Roman" w:cs="Times New Roman"/>
          <w:sz w:val="24"/>
          <w:szCs w:val="24"/>
        </w:rPr>
        <w:t xml:space="preserve">. </w:t>
      </w:r>
      <w:r w:rsidR="00DE2D91">
        <w:rPr>
          <w:rFonts w:ascii="Times New Roman" w:hAnsi="Times New Roman" w:cs="Times New Roman"/>
          <w:sz w:val="24"/>
          <w:szCs w:val="24"/>
        </w:rPr>
        <w:t>W</w:t>
      </w:r>
      <w:r w:rsidR="00DE2D91" w:rsidRPr="003A3045">
        <w:rPr>
          <w:rFonts w:ascii="Times New Roman" w:hAnsi="Times New Roman" w:cs="Times New Roman"/>
          <w:sz w:val="24"/>
          <w:szCs w:val="24"/>
        </w:rPr>
        <w:t>ith a few exceptions, nodal prices are consistently low</w:t>
      </w:r>
      <w:r w:rsidR="00DE2D91">
        <w:rPr>
          <w:rFonts w:ascii="Times New Roman" w:hAnsi="Times New Roman" w:cs="Times New Roman"/>
          <w:sz w:val="24"/>
          <w:szCs w:val="24"/>
        </w:rPr>
        <w:t>er than hub prices across the 5-</w:t>
      </w:r>
      <w:r w:rsidR="00DE2D91" w:rsidRPr="003A3045">
        <w:rPr>
          <w:rFonts w:ascii="Times New Roman" w:hAnsi="Times New Roman" w:cs="Times New Roman"/>
          <w:sz w:val="24"/>
          <w:szCs w:val="24"/>
        </w:rPr>
        <w:t>year time frame.</w:t>
      </w:r>
      <w:r w:rsidR="00DE2D91">
        <w:rPr>
          <w:rFonts w:ascii="Times New Roman" w:hAnsi="Times New Roman" w:cs="Times New Roman"/>
          <w:sz w:val="24"/>
          <w:szCs w:val="24"/>
        </w:rPr>
        <w:t xml:space="preserve"> </w:t>
      </w:r>
      <w:r w:rsidR="00DE2D91" w:rsidRPr="003A3045">
        <w:rPr>
          <w:rFonts w:ascii="Times New Roman" w:hAnsi="Times New Roman" w:cs="Times New Roman"/>
          <w:sz w:val="24"/>
          <w:szCs w:val="24"/>
        </w:rPr>
        <w:t>Rarely do we see hub prices go negative, but nodal prices experience negative pric</w:t>
      </w:r>
      <w:r w:rsidR="00DE2D91">
        <w:rPr>
          <w:rFonts w:ascii="Times New Roman" w:hAnsi="Times New Roman" w:cs="Times New Roman"/>
          <w:sz w:val="24"/>
          <w:szCs w:val="24"/>
        </w:rPr>
        <w:t>es frequently, sometimes for extended periods of time</w:t>
      </w:r>
      <w:r w:rsidR="00DE2D91" w:rsidRPr="003A3045">
        <w:rPr>
          <w:rFonts w:ascii="Times New Roman" w:hAnsi="Times New Roman" w:cs="Times New Roman"/>
          <w:sz w:val="24"/>
          <w:szCs w:val="24"/>
        </w:rPr>
        <w:t xml:space="preserve">. </w:t>
      </w:r>
      <w:r w:rsidR="00DE2D91">
        <w:rPr>
          <w:rFonts w:ascii="Times New Roman" w:hAnsi="Times New Roman" w:cs="Times New Roman"/>
          <w:sz w:val="24"/>
          <w:szCs w:val="24"/>
        </w:rPr>
        <w:t>Wind projects located at nodes experiencing negative pricing may</w:t>
      </w:r>
      <w:r w:rsidR="00DE2D91" w:rsidRPr="003A3045">
        <w:rPr>
          <w:rFonts w:ascii="Times New Roman" w:hAnsi="Times New Roman" w:cs="Times New Roman"/>
          <w:sz w:val="24"/>
          <w:szCs w:val="24"/>
        </w:rPr>
        <w:t xml:space="preserve"> be forced to frequently curtail </w:t>
      </w:r>
      <w:r w:rsidR="00DE2D91">
        <w:rPr>
          <w:rFonts w:ascii="Times New Roman" w:hAnsi="Times New Roman" w:cs="Times New Roman"/>
          <w:sz w:val="24"/>
          <w:szCs w:val="24"/>
        </w:rPr>
        <w:t>power</w:t>
      </w:r>
      <w:r w:rsidR="00DE2D91" w:rsidRPr="003A3045">
        <w:rPr>
          <w:rFonts w:ascii="Times New Roman" w:hAnsi="Times New Roman" w:cs="Times New Roman"/>
          <w:sz w:val="24"/>
          <w:szCs w:val="24"/>
        </w:rPr>
        <w:t xml:space="preserve"> production, or else effectively pay to send electricity generate</w:t>
      </w:r>
      <w:r w:rsidR="00DE2D91">
        <w:rPr>
          <w:rFonts w:ascii="Times New Roman" w:hAnsi="Times New Roman" w:cs="Times New Roman"/>
          <w:sz w:val="24"/>
          <w:szCs w:val="24"/>
        </w:rPr>
        <w:t>d into the wholesale market, representing a significant financial liability. The severity of negative price events appears to resolve beyond 2018 (as do major disparities in prices across nodes) likely due to structural improvements to the SPP grid.</w:t>
      </w:r>
      <w:r w:rsidRPr="003A3045">
        <w:rPr>
          <w:rFonts w:ascii="Times New Roman" w:hAnsi="Times New Roman" w:cs="Times New Roman"/>
          <w:sz w:val="24"/>
          <w:szCs w:val="24"/>
        </w:rPr>
        <w:t xml:space="preserve"> </w:t>
      </w:r>
    </w:p>
    <w:p w14:paraId="07359E89" w14:textId="77777777" w:rsidR="002C6285" w:rsidRDefault="002C6285" w:rsidP="002C6285">
      <w:pPr>
        <w:spacing w:before="40" w:after="0" w:line="480" w:lineRule="auto"/>
        <w:jc w:val="both"/>
        <w:rPr>
          <w:rFonts w:ascii="Times New Roman" w:hAnsi="Times New Roman" w:cs="Times New Roman"/>
          <w:sz w:val="24"/>
          <w:szCs w:val="24"/>
        </w:rPr>
      </w:pPr>
    </w:p>
    <w:p w14:paraId="42659E4B" w14:textId="2981633C" w:rsidR="002C6285" w:rsidRPr="003A3045" w:rsidRDefault="00A657E1" w:rsidP="002C6285">
      <w:pPr>
        <w:spacing w:before="40" w:after="0" w:line="240" w:lineRule="auto"/>
        <w:jc w:val="center"/>
        <w:rPr>
          <w:rFonts w:ascii="Times New Roman" w:hAnsi="Times New Roman" w:cs="Times New Roman"/>
          <w:sz w:val="24"/>
          <w:szCs w:val="24"/>
        </w:rPr>
      </w:pPr>
      <w:r w:rsidRPr="00A657E1">
        <w:rPr>
          <w:rFonts w:ascii="Times New Roman" w:hAnsi="Times New Roman" w:cs="Times New Roman"/>
          <w:sz w:val="24"/>
          <w:szCs w:val="24"/>
        </w:rPr>
        <w:lastRenderedPageBreak/>
        <w:drawing>
          <wp:inline distT="0" distB="0" distL="0" distR="0" wp14:anchorId="63C8B861" wp14:editId="1FAEBA2F">
            <wp:extent cx="6309360" cy="4206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4206240"/>
                    </a:xfrm>
                    <a:prstGeom prst="rect">
                      <a:avLst/>
                    </a:prstGeom>
                  </pic:spPr>
                </pic:pic>
              </a:graphicData>
            </a:graphic>
          </wp:inline>
        </w:drawing>
      </w:r>
    </w:p>
    <w:p w14:paraId="4F768507" w14:textId="42A205C5" w:rsidR="002C6285" w:rsidRPr="002C6285" w:rsidRDefault="002C6285" w:rsidP="002C6285">
      <w:pPr>
        <w:spacing w:before="40" w:after="0" w:line="240" w:lineRule="auto"/>
        <w:jc w:val="center"/>
        <w:rPr>
          <w:rFonts w:ascii="Times New Roman" w:hAnsi="Times New Roman" w:cs="Times New Roman"/>
          <w:sz w:val="20"/>
          <w:szCs w:val="24"/>
        </w:rPr>
      </w:pPr>
      <w:r w:rsidRPr="002C6285">
        <w:rPr>
          <w:rFonts w:ascii="Times New Roman" w:hAnsi="Times New Roman" w:cs="Times New Roman"/>
          <w:b/>
          <w:sz w:val="20"/>
          <w:szCs w:val="24"/>
        </w:rPr>
        <w:t xml:space="preserve">Figure 3: </w:t>
      </w:r>
      <w:r w:rsidRPr="002C6285">
        <w:rPr>
          <w:rFonts w:ascii="Times New Roman" w:hAnsi="Times New Roman" w:cs="Times New Roman"/>
          <w:sz w:val="20"/>
          <w:szCs w:val="24"/>
        </w:rPr>
        <w:t>Average monthly hub and nodal prices by year</w:t>
      </w:r>
      <w:r w:rsidR="00EF0663">
        <w:rPr>
          <w:rFonts w:ascii="Times New Roman" w:hAnsi="Times New Roman" w:cs="Times New Roman"/>
          <w:sz w:val="20"/>
          <w:szCs w:val="24"/>
        </w:rPr>
        <w:t>.</w:t>
      </w:r>
    </w:p>
    <w:p w14:paraId="17B97FB9" w14:textId="77777777" w:rsidR="002C6285" w:rsidRPr="003A3045" w:rsidRDefault="002C6285" w:rsidP="002C6285">
      <w:pPr>
        <w:spacing w:before="40" w:after="0" w:line="480" w:lineRule="auto"/>
        <w:jc w:val="both"/>
        <w:rPr>
          <w:rFonts w:ascii="Times New Roman" w:hAnsi="Times New Roman" w:cs="Times New Roman"/>
          <w:sz w:val="24"/>
          <w:szCs w:val="24"/>
        </w:rPr>
      </w:pPr>
    </w:p>
    <w:p w14:paraId="4413165B" w14:textId="77777777" w:rsidR="006A150E" w:rsidRPr="003A3045" w:rsidRDefault="006A150E">
      <w:pPr>
        <w:spacing w:before="40" w:after="0" w:line="240" w:lineRule="auto"/>
        <w:jc w:val="both"/>
        <w:rPr>
          <w:rFonts w:ascii="Times New Roman" w:hAnsi="Times New Roman" w:cs="Times New Roman"/>
          <w:sz w:val="24"/>
          <w:szCs w:val="24"/>
        </w:rPr>
      </w:pPr>
    </w:p>
    <w:p w14:paraId="54CAD4A6" w14:textId="77777777" w:rsidR="00DC291F"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Figure 4a shows the cumulative density of prices ordered from least to greatest across 5 years. A significant element of this plot is the high density of instances in which prices go negative as well as the </w:t>
      </w:r>
      <w:proofErr w:type="gramStart"/>
      <w:r w:rsidRPr="003A3045">
        <w:rPr>
          <w:rFonts w:ascii="Times New Roman" w:hAnsi="Times New Roman" w:cs="Times New Roman"/>
          <w:sz w:val="24"/>
          <w:szCs w:val="24"/>
        </w:rPr>
        <w:t>number</w:t>
      </w:r>
      <w:proofErr w:type="gramEnd"/>
      <w:r w:rsidRPr="003A3045">
        <w:rPr>
          <w:rFonts w:ascii="Times New Roman" w:hAnsi="Times New Roman" w:cs="Times New Roman"/>
          <w:sz w:val="24"/>
          <w:szCs w:val="24"/>
        </w:rPr>
        <w:t xml:space="preserve"> of instances in which prices are extremely </w:t>
      </w:r>
      <w:r w:rsidR="009B0D7C">
        <w:rPr>
          <w:rFonts w:ascii="Times New Roman" w:hAnsi="Times New Roman" w:cs="Times New Roman"/>
          <w:sz w:val="24"/>
          <w:szCs w:val="24"/>
        </w:rPr>
        <w:t>high</w:t>
      </w:r>
      <w:r w:rsidRPr="003A3045">
        <w:rPr>
          <w:rFonts w:ascii="Times New Roman" w:hAnsi="Times New Roman" w:cs="Times New Roman"/>
          <w:sz w:val="24"/>
          <w:szCs w:val="24"/>
        </w:rPr>
        <w:t>. Figure 4b</w:t>
      </w:r>
      <w:r w:rsidRPr="003A3045">
        <w:rPr>
          <w:rFonts w:ascii="Times New Roman" w:hAnsi="Times New Roman" w:cs="Times New Roman"/>
          <w:color w:val="FF0000"/>
          <w:sz w:val="24"/>
          <w:szCs w:val="24"/>
        </w:rPr>
        <w:t xml:space="preserve"> </w:t>
      </w:r>
      <w:r w:rsidRPr="003A3045">
        <w:rPr>
          <w:rFonts w:ascii="Times New Roman" w:hAnsi="Times New Roman" w:cs="Times New Roman"/>
          <w:sz w:val="24"/>
          <w:szCs w:val="24"/>
        </w:rPr>
        <w:t xml:space="preserve">shows </w:t>
      </w:r>
      <w:r w:rsidR="009B0D7C">
        <w:rPr>
          <w:rFonts w:ascii="Times New Roman" w:hAnsi="Times New Roman" w:cs="Times New Roman"/>
          <w:sz w:val="24"/>
          <w:szCs w:val="24"/>
        </w:rPr>
        <w:t>Pearson R</w:t>
      </w:r>
      <w:r w:rsidRPr="003A3045">
        <w:rPr>
          <w:rFonts w:ascii="Times New Roman" w:hAnsi="Times New Roman" w:cs="Times New Roman"/>
          <w:sz w:val="24"/>
          <w:szCs w:val="24"/>
        </w:rPr>
        <w:t xml:space="preserve"> correlation</w:t>
      </w:r>
      <w:r w:rsidR="009B0D7C">
        <w:rPr>
          <w:rFonts w:ascii="Times New Roman" w:hAnsi="Times New Roman" w:cs="Times New Roman"/>
          <w:sz w:val="24"/>
          <w:szCs w:val="24"/>
        </w:rPr>
        <w:t xml:space="preserve"> coefficients</w:t>
      </w:r>
      <w:r w:rsidRPr="003A3045">
        <w:rPr>
          <w:rFonts w:ascii="Times New Roman" w:hAnsi="Times New Roman" w:cs="Times New Roman"/>
          <w:sz w:val="24"/>
          <w:szCs w:val="24"/>
        </w:rPr>
        <w:t xml:space="preserve"> among prices for the SPP hub and the 10 nodes considered (higher correlation values between each node and the hub indicate lower basis risk). The average correlation between hub and node is 0.63, and none of the correlations exceed 0.75, indicating there is a significant amount of basis risk across all nodes. Also of significance is the very low correlation between certain nodes, particularly nodes of different “families,” </w:t>
      </w:r>
      <w:r w:rsidR="009B0D7C">
        <w:rPr>
          <w:rFonts w:ascii="Times New Roman" w:hAnsi="Times New Roman" w:cs="Times New Roman"/>
          <w:sz w:val="24"/>
          <w:szCs w:val="24"/>
        </w:rPr>
        <w:t>again confirming that t</w:t>
      </w:r>
      <w:r w:rsidRPr="003A3045">
        <w:rPr>
          <w:rFonts w:ascii="Times New Roman" w:hAnsi="Times New Roman" w:cs="Times New Roman"/>
          <w:sz w:val="24"/>
          <w:szCs w:val="24"/>
        </w:rPr>
        <w:t xml:space="preserve">here are likely considerable transmission constraints preventing prices from equalizing across the </w:t>
      </w:r>
      <w:proofErr w:type="gramStart"/>
      <w:r w:rsidRPr="003A3045">
        <w:rPr>
          <w:rFonts w:ascii="Times New Roman" w:hAnsi="Times New Roman" w:cs="Times New Roman"/>
          <w:sz w:val="24"/>
          <w:szCs w:val="24"/>
        </w:rPr>
        <w:t>grid.</w:t>
      </w:r>
      <w:proofErr w:type="gramEnd"/>
      <w:r w:rsidRPr="003A3045">
        <w:rPr>
          <w:rFonts w:ascii="Times New Roman" w:hAnsi="Times New Roman" w:cs="Times New Roman"/>
          <w:sz w:val="24"/>
          <w:szCs w:val="24"/>
        </w:rPr>
        <w:t xml:space="preserve"> </w:t>
      </w:r>
    </w:p>
    <w:p w14:paraId="02FB1990" w14:textId="77777777" w:rsidR="00A657E1" w:rsidRDefault="00A657E1" w:rsidP="00DC291F">
      <w:pPr>
        <w:spacing w:before="40" w:after="0" w:line="240" w:lineRule="auto"/>
        <w:jc w:val="center"/>
        <w:rPr>
          <w:rFonts w:ascii="Times New Roman" w:hAnsi="Times New Roman" w:cs="Times New Roman"/>
          <w:noProof/>
          <w:sz w:val="24"/>
          <w:szCs w:val="24"/>
        </w:rPr>
      </w:pPr>
    </w:p>
    <w:p w14:paraId="6AF5B7E0" w14:textId="77777777" w:rsidR="00A657E1" w:rsidRDefault="00A657E1" w:rsidP="00DC291F">
      <w:pPr>
        <w:spacing w:before="40" w:after="0" w:line="240" w:lineRule="auto"/>
        <w:jc w:val="center"/>
        <w:rPr>
          <w:rFonts w:ascii="Times New Roman" w:hAnsi="Times New Roman" w:cs="Times New Roman"/>
          <w:noProof/>
          <w:sz w:val="24"/>
          <w:szCs w:val="24"/>
        </w:rPr>
      </w:pPr>
    </w:p>
    <w:p w14:paraId="524CA532" w14:textId="68A08557" w:rsidR="00DC291F" w:rsidRPr="003A3045" w:rsidRDefault="003B170F" w:rsidP="00DC291F">
      <w:pPr>
        <w:spacing w:before="40" w:after="0" w:line="240" w:lineRule="auto"/>
        <w:jc w:val="center"/>
        <w:rPr>
          <w:rFonts w:ascii="Times New Roman" w:hAnsi="Times New Roman" w:cs="Times New Roman"/>
          <w:sz w:val="24"/>
          <w:szCs w:val="24"/>
        </w:rPr>
      </w:pPr>
      <w:r w:rsidRPr="003B170F">
        <w:rPr>
          <w:rFonts w:ascii="Times New Roman" w:hAnsi="Times New Roman" w:cs="Times New Roman"/>
          <w:sz w:val="24"/>
          <w:szCs w:val="24"/>
        </w:rPr>
        <w:lastRenderedPageBreak/>
        <w:drawing>
          <wp:inline distT="0" distB="0" distL="0" distR="0" wp14:anchorId="71283F9B" wp14:editId="7064C1A3">
            <wp:extent cx="6309360" cy="4572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0"/>
                    <a:srcRect r="8024"/>
                    <a:stretch/>
                  </pic:blipFill>
                  <pic:spPr>
                    <a:xfrm>
                      <a:off x="0" y="0"/>
                      <a:ext cx="6309360" cy="4572000"/>
                    </a:xfrm>
                    <a:prstGeom prst="rect">
                      <a:avLst/>
                    </a:prstGeom>
                  </pic:spPr>
                </pic:pic>
              </a:graphicData>
            </a:graphic>
          </wp:inline>
        </w:drawing>
      </w:r>
    </w:p>
    <w:p w14:paraId="616A440E" w14:textId="77777777" w:rsidR="00DC291F" w:rsidRDefault="00DC291F" w:rsidP="00DC291F">
      <w:pPr>
        <w:spacing w:before="40" w:after="0" w:line="240" w:lineRule="auto"/>
        <w:jc w:val="both"/>
        <w:rPr>
          <w:rFonts w:ascii="Times New Roman" w:hAnsi="Times New Roman" w:cs="Times New Roman"/>
          <w:b/>
          <w:sz w:val="20"/>
          <w:szCs w:val="24"/>
        </w:rPr>
      </w:pPr>
    </w:p>
    <w:p w14:paraId="44C1C592" w14:textId="08BCFFFA" w:rsidR="00DC291F" w:rsidRPr="00EF0663" w:rsidRDefault="00DC291F" w:rsidP="00DC291F">
      <w:pPr>
        <w:spacing w:before="40" w:after="0" w:line="240" w:lineRule="auto"/>
        <w:jc w:val="both"/>
        <w:rPr>
          <w:rFonts w:ascii="Times New Roman" w:hAnsi="Times New Roman" w:cs="Times New Roman"/>
          <w:sz w:val="20"/>
          <w:szCs w:val="24"/>
        </w:rPr>
      </w:pPr>
      <w:r w:rsidRPr="00EF0663">
        <w:rPr>
          <w:rFonts w:ascii="Times New Roman" w:hAnsi="Times New Roman" w:cs="Times New Roman"/>
          <w:b/>
          <w:sz w:val="20"/>
          <w:szCs w:val="24"/>
        </w:rPr>
        <w:t>Figure 4:</w:t>
      </w:r>
      <w:r w:rsidRPr="00EF0663">
        <w:rPr>
          <w:rFonts w:ascii="Times New Roman" w:hAnsi="Times New Roman" w:cs="Times New Roman"/>
          <w:sz w:val="20"/>
          <w:szCs w:val="24"/>
        </w:rPr>
        <w:t xml:space="preserve"> a</w:t>
      </w:r>
      <w:r>
        <w:rPr>
          <w:rFonts w:ascii="Times New Roman" w:hAnsi="Times New Roman" w:cs="Times New Roman"/>
          <w:sz w:val="20"/>
          <w:szCs w:val="24"/>
        </w:rPr>
        <w:t>) C</w:t>
      </w:r>
      <w:r w:rsidRPr="00EF0663">
        <w:rPr>
          <w:rFonts w:ascii="Times New Roman" w:hAnsi="Times New Roman" w:cs="Times New Roman"/>
          <w:sz w:val="20"/>
          <w:szCs w:val="24"/>
        </w:rPr>
        <w:t>umulative density plots of hub/nodal prices</w:t>
      </w:r>
      <w:r>
        <w:rPr>
          <w:rFonts w:ascii="Times New Roman" w:hAnsi="Times New Roman" w:cs="Times New Roman"/>
          <w:sz w:val="20"/>
          <w:szCs w:val="24"/>
        </w:rPr>
        <w:t xml:space="preserve">; </w:t>
      </w:r>
      <w:r w:rsidR="00A657E1">
        <w:rPr>
          <w:rFonts w:ascii="Times New Roman" w:hAnsi="Times New Roman" w:cs="Times New Roman"/>
          <w:sz w:val="20"/>
          <w:szCs w:val="24"/>
        </w:rPr>
        <w:t>b</w:t>
      </w:r>
      <w:r>
        <w:rPr>
          <w:rFonts w:ascii="Times New Roman" w:hAnsi="Times New Roman" w:cs="Times New Roman"/>
          <w:sz w:val="20"/>
          <w:szCs w:val="24"/>
        </w:rPr>
        <w:t>)</w:t>
      </w:r>
      <w:r w:rsidRPr="00EF0663">
        <w:rPr>
          <w:rFonts w:ascii="Times New Roman" w:hAnsi="Times New Roman" w:cs="Times New Roman"/>
          <w:sz w:val="20"/>
          <w:szCs w:val="24"/>
        </w:rPr>
        <w:t xml:space="preserve"> monthly average </w:t>
      </w:r>
      <w:r>
        <w:rPr>
          <w:rFonts w:ascii="Times New Roman" w:hAnsi="Times New Roman" w:cs="Times New Roman"/>
          <w:sz w:val="20"/>
          <w:szCs w:val="24"/>
        </w:rPr>
        <w:t>prices over</w:t>
      </w:r>
      <w:r w:rsidRPr="00EF0663">
        <w:rPr>
          <w:rFonts w:ascii="Times New Roman" w:hAnsi="Times New Roman" w:cs="Times New Roman"/>
          <w:sz w:val="20"/>
          <w:szCs w:val="24"/>
        </w:rPr>
        <w:t xml:space="preserve"> the</w:t>
      </w:r>
      <w:r>
        <w:rPr>
          <w:rFonts w:ascii="Times New Roman" w:hAnsi="Times New Roman" w:cs="Times New Roman"/>
          <w:sz w:val="20"/>
          <w:szCs w:val="24"/>
        </w:rPr>
        <w:t xml:space="preserve"> 5-</w:t>
      </w:r>
      <w:r w:rsidRPr="00EF0663">
        <w:rPr>
          <w:rFonts w:ascii="Times New Roman" w:hAnsi="Times New Roman" w:cs="Times New Roman"/>
          <w:sz w:val="20"/>
          <w:szCs w:val="24"/>
        </w:rPr>
        <w:t xml:space="preserve">year </w:t>
      </w:r>
      <w:r w:rsidR="00A657E1">
        <w:rPr>
          <w:rFonts w:ascii="Times New Roman" w:hAnsi="Times New Roman" w:cs="Times New Roman"/>
          <w:sz w:val="20"/>
          <w:szCs w:val="24"/>
        </w:rPr>
        <w:t>period. c</w:t>
      </w:r>
      <w:r>
        <w:rPr>
          <w:rFonts w:ascii="Times New Roman" w:hAnsi="Times New Roman" w:cs="Times New Roman"/>
          <w:sz w:val="20"/>
          <w:szCs w:val="24"/>
        </w:rPr>
        <w:t xml:space="preserve">) </w:t>
      </w:r>
      <w:proofErr w:type="gramStart"/>
      <w:r w:rsidRPr="00EF0663">
        <w:rPr>
          <w:rFonts w:ascii="Times New Roman" w:hAnsi="Times New Roman" w:cs="Times New Roman"/>
          <w:sz w:val="20"/>
          <w:szCs w:val="24"/>
        </w:rPr>
        <w:t>disparity</w:t>
      </w:r>
      <w:proofErr w:type="gramEnd"/>
      <w:r w:rsidRPr="00EF0663">
        <w:rPr>
          <w:rFonts w:ascii="Times New Roman" w:hAnsi="Times New Roman" w:cs="Times New Roman"/>
          <w:sz w:val="20"/>
          <w:szCs w:val="24"/>
        </w:rPr>
        <w:t xml:space="preserve"> in prices between the hub and select</w:t>
      </w:r>
      <w:r>
        <w:rPr>
          <w:rFonts w:ascii="Times New Roman" w:hAnsi="Times New Roman" w:cs="Times New Roman"/>
          <w:sz w:val="20"/>
          <w:szCs w:val="24"/>
        </w:rPr>
        <w:t>ed</w:t>
      </w:r>
      <w:r w:rsidRPr="00EF0663">
        <w:rPr>
          <w:rFonts w:ascii="Times New Roman" w:hAnsi="Times New Roman" w:cs="Times New Roman"/>
          <w:sz w:val="20"/>
          <w:szCs w:val="24"/>
        </w:rPr>
        <w:t xml:space="preserve"> nodes for 10 days between 4/20/2017 and 4/30/2017.</w:t>
      </w:r>
    </w:p>
    <w:p w14:paraId="0E94C9B6" w14:textId="77777777" w:rsidR="00DC291F" w:rsidRDefault="00DC291F" w:rsidP="00DC291F">
      <w:pPr>
        <w:spacing w:before="40" w:after="0" w:line="480" w:lineRule="auto"/>
        <w:jc w:val="both"/>
        <w:rPr>
          <w:rFonts w:ascii="Times New Roman" w:hAnsi="Times New Roman" w:cs="Times New Roman"/>
          <w:sz w:val="24"/>
          <w:szCs w:val="24"/>
        </w:rPr>
      </w:pPr>
    </w:p>
    <w:p w14:paraId="5808C8DC" w14:textId="02DD0D3C" w:rsidR="006A150E"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Figure 4c shows monthly prices for the hub and each node averaged across </w:t>
      </w:r>
      <w:r w:rsidR="000C5F30">
        <w:rPr>
          <w:rFonts w:ascii="Times New Roman" w:hAnsi="Times New Roman" w:cs="Times New Roman"/>
          <w:sz w:val="24"/>
          <w:szCs w:val="24"/>
        </w:rPr>
        <w:t>the 5-year period</w:t>
      </w:r>
      <w:r w:rsidRPr="003A3045">
        <w:rPr>
          <w:rFonts w:ascii="Times New Roman" w:hAnsi="Times New Roman" w:cs="Times New Roman"/>
          <w:sz w:val="24"/>
          <w:szCs w:val="24"/>
        </w:rPr>
        <w:t xml:space="preserve">. This graph shows </w:t>
      </w:r>
      <w:r w:rsidR="00DE2D91">
        <w:rPr>
          <w:rFonts w:ascii="Times New Roman" w:hAnsi="Times New Roman" w:cs="Times New Roman"/>
          <w:sz w:val="24"/>
          <w:szCs w:val="24"/>
        </w:rPr>
        <w:t>the typical</w:t>
      </w:r>
      <w:r w:rsidR="000C5F30">
        <w:rPr>
          <w:rFonts w:ascii="Times New Roman" w:hAnsi="Times New Roman" w:cs="Times New Roman"/>
          <w:sz w:val="24"/>
          <w:szCs w:val="24"/>
        </w:rPr>
        <w:t xml:space="preserve"> seasonality in market </w:t>
      </w:r>
      <w:r w:rsidRPr="003A3045">
        <w:rPr>
          <w:rFonts w:ascii="Times New Roman" w:hAnsi="Times New Roman" w:cs="Times New Roman"/>
          <w:sz w:val="24"/>
          <w:szCs w:val="24"/>
        </w:rPr>
        <w:t>price</w:t>
      </w:r>
      <w:r w:rsidR="000C5F30">
        <w:rPr>
          <w:rFonts w:ascii="Times New Roman" w:hAnsi="Times New Roman" w:cs="Times New Roman"/>
          <w:sz w:val="24"/>
          <w:szCs w:val="24"/>
        </w:rPr>
        <w:t>s, with certain months associated with lower nodal prices (</w:t>
      </w:r>
      <w:r w:rsidRPr="003A3045">
        <w:rPr>
          <w:rFonts w:ascii="Times New Roman" w:hAnsi="Times New Roman" w:cs="Times New Roman"/>
          <w:sz w:val="24"/>
          <w:szCs w:val="24"/>
        </w:rPr>
        <w:t xml:space="preserve">April and September) and </w:t>
      </w:r>
      <w:r w:rsidR="000C5F30">
        <w:rPr>
          <w:rFonts w:ascii="Times New Roman" w:hAnsi="Times New Roman" w:cs="Times New Roman"/>
          <w:sz w:val="24"/>
          <w:szCs w:val="24"/>
        </w:rPr>
        <w:t xml:space="preserve">other </w:t>
      </w:r>
      <w:r w:rsidRPr="003A3045">
        <w:rPr>
          <w:rFonts w:ascii="Times New Roman" w:hAnsi="Times New Roman" w:cs="Times New Roman"/>
          <w:sz w:val="24"/>
          <w:szCs w:val="24"/>
        </w:rPr>
        <w:t xml:space="preserve">months </w:t>
      </w:r>
      <w:r w:rsidR="000C5F30">
        <w:rPr>
          <w:rFonts w:ascii="Times New Roman" w:hAnsi="Times New Roman" w:cs="Times New Roman"/>
          <w:sz w:val="24"/>
          <w:szCs w:val="24"/>
        </w:rPr>
        <w:t xml:space="preserve">associated with </w:t>
      </w:r>
      <w:r w:rsidRPr="003A3045">
        <w:rPr>
          <w:rFonts w:ascii="Times New Roman" w:hAnsi="Times New Roman" w:cs="Times New Roman"/>
          <w:sz w:val="24"/>
          <w:szCs w:val="24"/>
        </w:rPr>
        <w:t xml:space="preserve">elevated </w:t>
      </w:r>
      <w:r w:rsidR="000C5F30">
        <w:rPr>
          <w:rFonts w:ascii="Times New Roman" w:hAnsi="Times New Roman" w:cs="Times New Roman"/>
          <w:sz w:val="24"/>
          <w:szCs w:val="24"/>
        </w:rPr>
        <w:t xml:space="preserve">nodal </w:t>
      </w:r>
      <w:r w:rsidRPr="003A3045">
        <w:rPr>
          <w:rFonts w:ascii="Times New Roman" w:hAnsi="Times New Roman" w:cs="Times New Roman"/>
          <w:sz w:val="24"/>
          <w:szCs w:val="24"/>
        </w:rPr>
        <w:t>prices (June, July, August)</w:t>
      </w:r>
      <w:r w:rsidR="000C5F30">
        <w:rPr>
          <w:rFonts w:ascii="Times New Roman" w:hAnsi="Times New Roman" w:cs="Times New Roman"/>
          <w:sz w:val="24"/>
          <w:szCs w:val="24"/>
        </w:rPr>
        <w:t xml:space="preserve">; average </w:t>
      </w:r>
      <w:r w:rsidRPr="003A3045">
        <w:rPr>
          <w:rFonts w:ascii="Times New Roman" w:hAnsi="Times New Roman" w:cs="Times New Roman"/>
          <w:sz w:val="24"/>
          <w:szCs w:val="24"/>
        </w:rPr>
        <w:t>hub prices</w:t>
      </w:r>
      <w:r w:rsidR="000C5F30">
        <w:rPr>
          <w:rFonts w:ascii="Times New Roman" w:hAnsi="Times New Roman" w:cs="Times New Roman"/>
          <w:sz w:val="24"/>
          <w:szCs w:val="24"/>
        </w:rPr>
        <w:t xml:space="preserve"> remain remarkably stable across the year</w:t>
      </w:r>
      <w:r w:rsidRPr="003A3045">
        <w:rPr>
          <w:rFonts w:ascii="Times New Roman" w:hAnsi="Times New Roman" w:cs="Times New Roman"/>
          <w:sz w:val="24"/>
          <w:szCs w:val="24"/>
        </w:rPr>
        <w:t xml:space="preserve">. Figure 4d </w:t>
      </w:r>
      <w:r w:rsidR="000C5F30">
        <w:rPr>
          <w:rFonts w:ascii="Times New Roman" w:hAnsi="Times New Roman" w:cs="Times New Roman"/>
          <w:sz w:val="24"/>
          <w:szCs w:val="24"/>
        </w:rPr>
        <w:t>zooms-in to explore</w:t>
      </w:r>
      <w:r w:rsidRPr="003A3045">
        <w:rPr>
          <w:rFonts w:ascii="Times New Roman" w:hAnsi="Times New Roman" w:cs="Times New Roman"/>
          <w:sz w:val="24"/>
          <w:szCs w:val="24"/>
        </w:rPr>
        <w:t xml:space="preserve"> the dynamic nature of basis risk </w:t>
      </w:r>
      <w:r w:rsidR="000C5F30">
        <w:rPr>
          <w:rFonts w:ascii="Times New Roman" w:hAnsi="Times New Roman" w:cs="Times New Roman"/>
          <w:sz w:val="24"/>
          <w:szCs w:val="24"/>
        </w:rPr>
        <w:t>for a few nodes, showing that the difference between nodal and hub prices</w:t>
      </w:r>
      <w:r w:rsidRPr="003A3045">
        <w:rPr>
          <w:rFonts w:ascii="Times New Roman" w:hAnsi="Times New Roman" w:cs="Times New Roman"/>
          <w:sz w:val="24"/>
          <w:szCs w:val="24"/>
        </w:rPr>
        <w:t xml:space="preserve"> can alternate between being negligible and very large.  </w:t>
      </w:r>
    </w:p>
    <w:p w14:paraId="03EFE612" w14:textId="4A9F4248" w:rsidR="00A15588" w:rsidRDefault="00A15588" w:rsidP="007743C4">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Wind </w:t>
      </w:r>
      <w:r w:rsidR="00BA3531">
        <w:rPr>
          <w:rFonts w:ascii="Times New Roman" w:hAnsi="Times New Roman" w:cs="Times New Roman"/>
          <w:sz w:val="24"/>
          <w:szCs w:val="24"/>
        </w:rPr>
        <w:t xml:space="preserve">power </w:t>
      </w:r>
      <w:r w:rsidRPr="003A3045">
        <w:rPr>
          <w:rFonts w:ascii="Times New Roman" w:hAnsi="Times New Roman" w:cs="Times New Roman"/>
          <w:sz w:val="24"/>
          <w:szCs w:val="24"/>
        </w:rPr>
        <w:t xml:space="preserve">production, </w:t>
      </w:r>
      <w:r>
        <w:rPr>
          <w:rFonts w:ascii="Times New Roman" w:hAnsi="Times New Roman" w:cs="Times New Roman"/>
          <w:sz w:val="24"/>
          <w:szCs w:val="24"/>
        </w:rPr>
        <w:t>like</w:t>
      </w:r>
      <w:r w:rsidRPr="003A3045">
        <w:rPr>
          <w:rFonts w:ascii="Times New Roman" w:hAnsi="Times New Roman" w:cs="Times New Roman"/>
          <w:sz w:val="24"/>
          <w:szCs w:val="24"/>
        </w:rPr>
        <w:t xml:space="preserve"> nodal pricing, </w:t>
      </w:r>
      <w:r>
        <w:rPr>
          <w:rFonts w:ascii="Times New Roman" w:hAnsi="Times New Roman" w:cs="Times New Roman"/>
          <w:sz w:val="24"/>
          <w:szCs w:val="24"/>
        </w:rPr>
        <w:t>shows strong seasonal patterns (Figure 5)</w:t>
      </w:r>
      <w:r w:rsidRPr="003A3045">
        <w:rPr>
          <w:rFonts w:ascii="Times New Roman" w:hAnsi="Times New Roman" w:cs="Times New Roman"/>
          <w:sz w:val="24"/>
          <w:szCs w:val="24"/>
        </w:rPr>
        <w:t xml:space="preserve">. Average monthly wind speeds </w:t>
      </w:r>
      <w:r w:rsidR="00BA3531">
        <w:rPr>
          <w:rFonts w:ascii="Times New Roman" w:hAnsi="Times New Roman" w:cs="Times New Roman"/>
          <w:sz w:val="24"/>
          <w:szCs w:val="24"/>
        </w:rPr>
        <w:t>at Gauge Airport (</w:t>
      </w:r>
      <w:r w:rsidRPr="003A3045">
        <w:rPr>
          <w:rFonts w:ascii="Times New Roman" w:hAnsi="Times New Roman" w:cs="Times New Roman"/>
          <w:sz w:val="24"/>
          <w:szCs w:val="24"/>
        </w:rPr>
        <w:t xml:space="preserve">20 miles from our </w:t>
      </w:r>
      <w:r w:rsidR="00BA3531">
        <w:rPr>
          <w:rFonts w:ascii="Times New Roman" w:hAnsi="Times New Roman" w:cs="Times New Roman"/>
          <w:sz w:val="24"/>
          <w:szCs w:val="24"/>
        </w:rPr>
        <w:t xml:space="preserve">hypothetical wind farm </w:t>
      </w:r>
      <w:r w:rsidRPr="003A3045">
        <w:rPr>
          <w:rFonts w:ascii="Times New Roman" w:hAnsi="Times New Roman" w:cs="Times New Roman"/>
          <w:sz w:val="24"/>
          <w:szCs w:val="24"/>
        </w:rPr>
        <w:t>site</w:t>
      </w:r>
      <w:r w:rsidR="00BA3531">
        <w:rPr>
          <w:rFonts w:ascii="Times New Roman" w:hAnsi="Times New Roman" w:cs="Times New Roman"/>
          <w:sz w:val="24"/>
          <w:szCs w:val="24"/>
        </w:rPr>
        <w:t>)</w:t>
      </w:r>
      <w:r w:rsidRPr="003A3045">
        <w:rPr>
          <w:rFonts w:ascii="Times New Roman" w:hAnsi="Times New Roman" w:cs="Times New Roman"/>
          <w:sz w:val="24"/>
          <w:szCs w:val="24"/>
        </w:rPr>
        <w:t xml:space="preserve"> show peaks in the </w:t>
      </w:r>
      <w:proofErr w:type="gramStart"/>
      <w:r w:rsidR="0095067E">
        <w:rPr>
          <w:rFonts w:ascii="Times New Roman" w:hAnsi="Times New Roman" w:cs="Times New Roman"/>
          <w:sz w:val="24"/>
          <w:szCs w:val="24"/>
        </w:rPr>
        <w:t>Spring</w:t>
      </w:r>
      <w:proofErr w:type="gramEnd"/>
      <w:r w:rsidRPr="003A3045">
        <w:rPr>
          <w:rFonts w:ascii="Times New Roman" w:hAnsi="Times New Roman" w:cs="Times New Roman"/>
          <w:sz w:val="24"/>
          <w:szCs w:val="24"/>
        </w:rPr>
        <w:t xml:space="preserve"> and early </w:t>
      </w:r>
      <w:r w:rsidR="0095067E">
        <w:rPr>
          <w:rFonts w:ascii="Times New Roman" w:hAnsi="Times New Roman" w:cs="Times New Roman"/>
          <w:sz w:val="24"/>
          <w:szCs w:val="24"/>
        </w:rPr>
        <w:t>Fall</w:t>
      </w:r>
      <w:r w:rsidRPr="003A3045">
        <w:rPr>
          <w:rFonts w:ascii="Times New Roman" w:hAnsi="Times New Roman" w:cs="Times New Roman"/>
          <w:sz w:val="24"/>
          <w:szCs w:val="24"/>
        </w:rPr>
        <w:t xml:space="preserve"> and troughs in late </w:t>
      </w:r>
      <w:r w:rsidR="0095067E">
        <w:rPr>
          <w:rFonts w:ascii="Times New Roman" w:hAnsi="Times New Roman" w:cs="Times New Roman"/>
          <w:sz w:val="24"/>
          <w:szCs w:val="24"/>
        </w:rPr>
        <w:t>Summer</w:t>
      </w:r>
      <w:r w:rsidRPr="003A3045">
        <w:rPr>
          <w:rFonts w:ascii="Times New Roman" w:hAnsi="Times New Roman" w:cs="Times New Roman"/>
          <w:sz w:val="24"/>
          <w:szCs w:val="24"/>
        </w:rPr>
        <w:t xml:space="preserve"> and </w:t>
      </w:r>
      <w:r w:rsidR="0095067E">
        <w:rPr>
          <w:rFonts w:ascii="Times New Roman" w:hAnsi="Times New Roman" w:cs="Times New Roman"/>
          <w:sz w:val="24"/>
          <w:szCs w:val="24"/>
        </w:rPr>
        <w:t>Winter</w:t>
      </w:r>
      <w:r w:rsidR="00BA3531">
        <w:rPr>
          <w:rFonts w:ascii="Times New Roman" w:hAnsi="Times New Roman" w:cs="Times New Roman"/>
          <w:sz w:val="24"/>
          <w:szCs w:val="24"/>
        </w:rPr>
        <w:t>. Depending on the node</w:t>
      </w:r>
      <w:r w:rsidR="00006FA8">
        <w:rPr>
          <w:rFonts w:ascii="Times New Roman" w:hAnsi="Times New Roman" w:cs="Times New Roman"/>
          <w:sz w:val="24"/>
          <w:szCs w:val="24"/>
        </w:rPr>
        <w:t xml:space="preserve"> in question</w:t>
      </w:r>
      <w:r w:rsidR="00BA3531">
        <w:rPr>
          <w:rFonts w:ascii="Times New Roman" w:hAnsi="Times New Roman" w:cs="Times New Roman"/>
          <w:sz w:val="24"/>
          <w:szCs w:val="24"/>
        </w:rPr>
        <w:t xml:space="preserve">, </w:t>
      </w:r>
      <w:r w:rsidR="00BA3531">
        <w:rPr>
          <w:rFonts w:ascii="Times New Roman" w:hAnsi="Times New Roman" w:cs="Times New Roman"/>
          <w:sz w:val="24"/>
          <w:szCs w:val="24"/>
        </w:rPr>
        <w:lastRenderedPageBreak/>
        <w:t>these wind speed patterns are out-of-phase with locational marginal prices</w:t>
      </w:r>
      <w:r w:rsidR="00A331CF">
        <w:rPr>
          <w:rFonts w:ascii="Times New Roman" w:hAnsi="Times New Roman" w:cs="Times New Roman"/>
          <w:sz w:val="24"/>
          <w:szCs w:val="24"/>
        </w:rPr>
        <w:t xml:space="preserve">, an example of </w:t>
      </w:r>
      <w:r w:rsidRPr="003A3045">
        <w:rPr>
          <w:rFonts w:ascii="Times New Roman" w:hAnsi="Times New Roman" w:cs="Times New Roman"/>
          <w:sz w:val="24"/>
          <w:szCs w:val="24"/>
        </w:rPr>
        <w:t xml:space="preserve">“covariance risk.” </w:t>
      </w:r>
      <w:r w:rsidR="00006FA8">
        <w:rPr>
          <w:rFonts w:ascii="Times New Roman" w:hAnsi="Times New Roman" w:cs="Times New Roman"/>
          <w:sz w:val="24"/>
          <w:szCs w:val="24"/>
        </w:rPr>
        <w:t>For example, compare</w:t>
      </w:r>
      <w:r w:rsidRPr="003A3045">
        <w:rPr>
          <w:rFonts w:ascii="Times New Roman" w:hAnsi="Times New Roman" w:cs="Times New Roman"/>
          <w:sz w:val="24"/>
          <w:szCs w:val="24"/>
        </w:rPr>
        <w:t xml:space="preserve"> prices at the “OKGE” nodes in Figure 4 against average monthly wind speeds in Figure </w:t>
      </w:r>
      <w:commentRangeStart w:id="9"/>
      <w:r w:rsidRPr="003A3045">
        <w:rPr>
          <w:rFonts w:ascii="Times New Roman" w:hAnsi="Times New Roman" w:cs="Times New Roman"/>
          <w:sz w:val="24"/>
          <w:szCs w:val="24"/>
        </w:rPr>
        <w:t>5c</w:t>
      </w:r>
      <w:commentRangeEnd w:id="9"/>
      <w:r w:rsidR="00006FA8">
        <w:rPr>
          <w:rStyle w:val="CommentReference"/>
        </w:rPr>
        <w:commentReference w:id="9"/>
      </w:r>
      <w:r w:rsidRPr="003A3045">
        <w:rPr>
          <w:rFonts w:ascii="Times New Roman" w:hAnsi="Times New Roman" w:cs="Times New Roman"/>
          <w:sz w:val="24"/>
          <w:szCs w:val="24"/>
        </w:rPr>
        <w:t xml:space="preserve">. </w:t>
      </w:r>
      <w:r w:rsidR="007743C4" w:rsidRPr="003A3045">
        <w:rPr>
          <w:rFonts w:ascii="Times New Roman" w:hAnsi="Times New Roman" w:cs="Times New Roman"/>
          <w:sz w:val="24"/>
          <w:szCs w:val="24"/>
        </w:rPr>
        <w:t>Combined seasonality in wind production</w:t>
      </w:r>
      <w:r w:rsidR="007743C4">
        <w:rPr>
          <w:rFonts w:ascii="Times New Roman" w:hAnsi="Times New Roman" w:cs="Times New Roman"/>
          <w:sz w:val="24"/>
          <w:szCs w:val="24"/>
        </w:rPr>
        <w:t xml:space="preserve"> and market prices </w:t>
      </w:r>
      <w:r w:rsidR="007743C4" w:rsidRPr="003A3045">
        <w:rPr>
          <w:rFonts w:ascii="Times New Roman" w:hAnsi="Times New Roman" w:cs="Times New Roman"/>
          <w:sz w:val="24"/>
          <w:szCs w:val="24"/>
        </w:rPr>
        <w:t>may lead to the wind developer being exposed to varying levels</w:t>
      </w:r>
      <w:r w:rsidR="007743C4">
        <w:rPr>
          <w:rFonts w:ascii="Times New Roman" w:hAnsi="Times New Roman" w:cs="Times New Roman"/>
          <w:sz w:val="24"/>
          <w:szCs w:val="24"/>
        </w:rPr>
        <w:t xml:space="preserve"> of risk throughout the year, and this may need to be reflected in the </w:t>
      </w:r>
      <w:proofErr w:type="gramStart"/>
      <w:r w:rsidR="007743C4">
        <w:rPr>
          <w:rFonts w:ascii="Times New Roman" w:hAnsi="Times New Roman" w:cs="Times New Roman"/>
          <w:sz w:val="24"/>
          <w:szCs w:val="24"/>
        </w:rPr>
        <w:t>developers</w:t>
      </w:r>
      <w:proofErr w:type="gramEnd"/>
      <w:r w:rsidR="007743C4">
        <w:rPr>
          <w:rFonts w:ascii="Times New Roman" w:hAnsi="Times New Roman" w:cs="Times New Roman"/>
          <w:sz w:val="24"/>
          <w:szCs w:val="24"/>
        </w:rPr>
        <w:t xml:space="preserve"> use of financial hedging </w:t>
      </w:r>
      <w:commentRangeStart w:id="10"/>
      <w:r w:rsidR="007743C4">
        <w:rPr>
          <w:rFonts w:ascii="Times New Roman" w:hAnsi="Times New Roman" w:cs="Times New Roman"/>
          <w:sz w:val="24"/>
          <w:szCs w:val="24"/>
        </w:rPr>
        <w:t>tools</w:t>
      </w:r>
      <w:commentRangeEnd w:id="10"/>
      <w:r w:rsidR="007743C4">
        <w:rPr>
          <w:rStyle w:val="CommentReference"/>
        </w:rPr>
        <w:commentReference w:id="10"/>
      </w:r>
      <w:r w:rsidR="007743C4">
        <w:rPr>
          <w:rFonts w:ascii="Times New Roman" w:hAnsi="Times New Roman" w:cs="Times New Roman"/>
          <w:sz w:val="24"/>
          <w:szCs w:val="24"/>
        </w:rPr>
        <w:t>.</w:t>
      </w:r>
      <w:r w:rsidR="007743C4" w:rsidRPr="003A3045">
        <w:rPr>
          <w:rFonts w:ascii="Times New Roman" w:hAnsi="Times New Roman" w:cs="Times New Roman"/>
          <w:sz w:val="24"/>
          <w:szCs w:val="24"/>
        </w:rPr>
        <w:t xml:space="preserve"> </w:t>
      </w:r>
    </w:p>
    <w:p w14:paraId="1E9ACEE3" w14:textId="77777777" w:rsidR="006A150E" w:rsidRPr="003A3045" w:rsidRDefault="006A150E">
      <w:pPr>
        <w:spacing w:before="40" w:after="0" w:line="480" w:lineRule="auto"/>
        <w:jc w:val="center"/>
        <w:rPr>
          <w:rFonts w:ascii="Times New Roman" w:hAnsi="Times New Roman" w:cs="Times New Roman"/>
          <w:sz w:val="24"/>
          <w:szCs w:val="24"/>
        </w:rPr>
      </w:pPr>
    </w:p>
    <w:p w14:paraId="33FFA4DF" w14:textId="661861F2" w:rsidR="006A150E" w:rsidRPr="003A3045" w:rsidRDefault="003B170F">
      <w:pPr>
        <w:spacing w:before="40" w:after="0" w:line="240" w:lineRule="auto"/>
        <w:jc w:val="center"/>
        <w:rPr>
          <w:rFonts w:ascii="Times New Roman" w:hAnsi="Times New Roman" w:cs="Times New Roman"/>
          <w:sz w:val="24"/>
          <w:szCs w:val="24"/>
        </w:rPr>
      </w:pPr>
      <w:r w:rsidRPr="003B170F">
        <w:rPr>
          <w:rFonts w:ascii="Times New Roman" w:hAnsi="Times New Roman" w:cs="Times New Roman"/>
          <w:sz w:val="24"/>
          <w:szCs w:val="24"/>
        </w:rPr>
        <w:drawing>
          <wp:inline distT="0" distB="0" distL="0" distR="0" wp14:anchorId="50727128" wp14:editId="5EAF9898">
            <wp:extent cx="6309360" cy="4206240"/>
            <wp:effectExtent l="0" t="0" r="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6309360" cy="4206240"/>
                    </a:xfrm>
                    <a:prstGeom prst="rect">
                      <a:avLst/>
                    </a:prstGeom>
                  </pic:spPr>
                </pic:pic>
              </a:graphicData>
            </a:graphic>
          </wp:inline>
        </w:drawing>
      </w:r>
    </w:p>
    <w:p w14:paraId="5A2F2F94" w14:textId="77777777" w:rsidR="00006FA8" w:rsidRDefault="00006FA8">
      <w:pPr>
        <w:spacing w:before="40" w:after="0" w:line="240" w:lineRule="auto"/>
        <w:rPr>
          <w:rFonts w:ascii="Times New Roman" w:hAnsi="Times New Roman" w:cs="Times New Roman"/>
          <w:sz w:val="24"/>
          <w:szCs w:val="24"/>
        </w:rPr>
      </w:pPr>
    </w:p>
    <w:p w14:paraId="413F7EA4" w14:textId="40AFF782" w:rsidR="006A150E" w:rsidRDefault="001031F3" w:rsidP="00006FA8">
      <w:pPr>
        <w:spacing w:before="40" w:after="0" w:line="240" w:lineRule="auto"/>
        <w:rPr>
          <w:rFonts w:ascii="Times New Roman" w:hAnsi="Times New Roman" w:cs="Times New Roman"/>
          <w:sz w:val="20"/>
          <w:szCs w:val="24"/>
        </w:rPr>
      </w:pPr>
      <w:r w:rsidRPr="00006FA8">
        <w:rPr>
          <w:rFonts w:ascii="Times New Roman" w:hAnsi="Times New Roman" w:cs="Times New Roman"/>
          <w:b/>
          <w:sz w:val="20"/>
          <w:szCs w:val="24"/>
        </w:rPr>
        <w:t xml:space="preserve">Figure 5: </w:t>
      </w:r>
      <w:r w:rsidR="00006FA8">
        <w:rPr>
          <w:rFonts w:ascii="Times New Roman" w:hAnsi="Times New Roman" w:cs="Times New Roman"/>
          <w:sz w:val="20"/>
          <w:szCs w:val="24"/>
        </w:rPr>
        <w:t xml:space="preserve">a) </w:t>
      </w:r>
      <w:r w:rsidR="00006FA8" w:rsidRPr="00006FA8">
        <w:rPr>
          <w:rFonts w:ascii="Times New Roman" w:hAnsi="Times New Roman" w:cs="Times New Roman"/>
          <w:sz w:val="20"/>
          <w:szCs w:val="24"/>
        </w:rPr>
        <w:t>wind speeds for e</w:t>
      </w:r>
      <w:r w:rsidR="00006FA8">
        <w:rPr>
          <w:rFonts w:ascii="Times New Roman" w:hAnsi="Times New Roman" w:cs="Times New Roman"/>
          <w:sz w:val="20"/>
          <w:szCs w:val="24"/>
        </w:rPr>
        <w:t xml:space="preserve">ach month averaged over 5 years; b) within day </w:t>
      </w:r>
      <w:r w:rsidRPr="00006FA8">
        <w:rPr>
          <w:rFonts w:ascii="Times New Roman" w:hAnsi="Times New Roman" w:cs="Times New Roman"/>
          <w:sz w:val="20"/>
          <w:szCs w:val="24"/>
        </w:rPr>
        <w:t>wind</w:t>
      </w:r>
      <w:r w:rsidR="00006FA8">
        <w:rPr>
          <w:rFonts w:ascii="Times New Roman" w:hAnsi="Times New Roman" w:cs="Times New Roman"/>
          <w:sz w:val="20"/>
          <w:szCs w:val="24"/>
        </w:rPr>
        <w:t xml:space="preserve"> power production patterns and the hypothetical wind farm.</w:t>
      </w:r>
    </w:p>
    <w:p w14:paraId="39B703EE" w14:textId="77777777" w:rsidR="00006FA8" w:rsidRPr="003A3045" w:rsidRDefault="00006FA8" w:rsidP="00006FA8">
      <w:pPr>
        <w:spacing w:before="40" w:after="0" w:line="240" w:lineRule="auto"/>
        <w:rPr>
          <w:rFonts w:ascii="Times New Roman" w:hAnsi="Times New Roman" w:cs="Times New Roman"/>
          <w:sz w:val="24"/>
          <w:szCs w:val="24"/>
        </w:rPr>
      </w:pPr>
    </w:p>
    <w:p w14:paraId="20F7763D" w14:textId="3ADBBDCD" w:rsidR="006A150E" w:rsidRDefault="006A150E">
      <w:pPr>
        <w:rPr>
          <w:rFonts w:ascii="Times New Roman" w:hAnsi="Times New Roman" w:cs="Times New Roman"/>
          <w:color w:val="2E75B5"/>
          <w:sz w:val="24"/>
          <w:szCs w:val="24"/>
        </w:rPr>
      </w:pPr>
    </w:p>
    <w:p w14:paraId="1B0D31A6" w14:textId="43F26469" w:rsidR="003B170F" w:rsidRDefault="003B170F">
      <w:pPr>
        <w:rPr>
          <w:rFonts w:ascii="Times New Roman" w:hAnsi="Times New Roman" w:cs="Times New Roman"/>
          <w:color w:val="2E75B5"/>
          <w:sz w:val="24"/>
          <w:szCs w:val="24"/>
        </w:rPr>
      </w:pPr>
    </w:p>
    <w:p w14:paraId="4502E723" w14:textId="1B69FF23" w:rsidR="003B170F" w:rsidRDefault="003B170F">
      <w:pPr>
        <w:rPr>
          <w:rFonts w:ascii="Times New Roman" w:hAnsi="Times New Roman" w:cs="Times New Roman"/>
          <w:color w:val="2E75B5"/>
          <w:sz w:val="24"/>
          <w:szCs w:val="24"/>
        </w:rPr>
      </w:pPr>
    </w:p>
    <w:p w14:paraId="4C6D97E3" w14:textId="2368C5D2" w:rsidR="003B170F" w:rsidRDefault="003B170F">
      <w:pPr>
        <w:rPr>
          <w:rFonts w:ascii="Times New Roman" w:hAnsi="Times New Roman" w:cs="Times New Roman"/>
          <w:color w:val="2E75B5"/>
          <w:sz w:val="24"/>
          <w:szCs w:val="24"/>
        </w:rPr>
      </w:pPr>
    </w:p>
    <w:p w14:paraId="0579C16A" w14:textId="77777777" w:rsidR="003B170F" w:rsidRPr="003A3045" w:rsidRDefault="003B170F">
      <w:pPr>
        <w:rPr>
          <w:rFonts w:ascii="Times New Roman" w:hAnsi="Times New Roman" w:cs="Times New Roman"/>
          <w:color w:val="2E75B5"/>
          <w:sz w:val="24"/>
          <w:szCs w:val="24"/>
        </w:rPr>
      </w:pPr>
    </w:p>
    <w:p w14:paraId="26D6EF53" w14:textId="50DA4F53" w:rsidR="007743C4" w:rsidRDefault="00CD6730" w:rsidP="007743C4">
      <w:pPr>
        <w:spacing w:line="480" w:lineRule="auto"/>
        <w:rPr>
          <w:rFonts w:ascii="Times New Roman" w:hAnsi="Times New Roman" w:cs="Times New Roman"/>
          <w:sz w:val="24"/>
          <w:szCs w:val="24"/>
        </w:rPr>
      </w:pPr>
      <w:r>
        <w:rPr>
          <w:rFonts w:ascii="Times New Roman" w:hAnsi="Times New Roman" w:cs="Times New Roman"/>
          <w:color w:val="2E75B5"/>
          <w:sz w:val="24"/>
          <w:szCs w:val="24"/>
        </w:rPr>
        <w:lastRenderedPageBreak/>
        <w:t xml:space="preserve">2.2. </w:t>
      </w:r>
      <w:r w:rsidR="001031F3" w:rsidRPr="003A3045">
        <w:rPr>
          <w:rFonts w:ascii="Times New Roman" w:hAnsi="Times New Roman" w:cs="Times New Roman"/>
          <w:color w:val="2E75B5"/>
          <w:sz w:val="24"/>
          <w:szCs w:val="24"/>
        </w:rPr>
        <w:t>Proposed Interventions</w:t>
      </w:r>
    </w:p>
    <w:p w14:paraId="5D17E4FB" w14:textId="421EACA6" w:rsidR="006A150E" w:rsidRPr="003A3045" w:rsidRDefault="001031F3">
      <w:pPr>
        <w:spacing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Our study </w:t>
      </w:r>
      <w:r w:rsidR="00CD6730">
        <w:rPr>
          <w:rFonts w:ascii="Times New Roman" w:hAnsi="Times New Roman" w:cs="Times New Roman"/>
          <w:sz w:val="24"/>
          <w:szCs w:val="24"/>
        </w:rPr>
        <w:t>explores</w:t>
      </w:r>
      <w:r w:rsidRPr="003A3045">
        <w:rPr>
          <w:rFonts w:ascii="Times New Roman" w:hAnsi="Times New Roman" w:cs="Times New Roman"/>
          <w:sz w:val="24"/>
          <w:szCs w:val="24"/>
        </w:rPr>
        <w:t xml:space="preserve"> </w:t>
      </w:r>
      <w:r w:rsidR="007D51A3">
        <w:rPr>
          <w:rFonts w:ascii="Times New Roman" w:hAnsi="Times New Roman" w:cs="Times New Roman"/>
          <w:sz w:val="24"/>
          <w:szCs w:val="24"/>
        </w:rPr>
        <w:t>two</w:t>
      </w:r>
      <w:r w:rsidRPr="003A3045">
        <w:rPr>
          <w:rFonts w:ascii="Times New Roman" w:hAnsi="Times New Roman" w:cs="Times New Roman"/>
          <w:sz w:val="24"/>
          <w:szCs w:val="24"/>
        </w:rPr>
        <w:t xml:space="preserve"> </w:t>
      </w:r>
      <w:r w:rsidR="00CD6730">
        <w:rPr>
          <w:rFonts w:ascii="Times New Roman" w:hAnsi="Times New Roman" w:cs="Times New Roman"/>
          <w:sz w:val="24"/>
          <w:szCs w:val="24"/>
        </w:rPr>
        <w:t xml:space="preserve">possible </w:t>
      </w:r>
      <w:r w:rsidRPr="003A3045">
        <w:rPr>
          <w:rFonts w:ascii="Times New Roman" w:hAnsi="Times New Roman" w:cs="Times New Roman"/>
          <w:sz w:val="24"/>
          <w:szCs w:val="24"/>
        </w:rPr>
        <w:t xml:space="preserve">interventions to alleviate </w:t>
      </w:r>
      <w:r w:rsidR="007D51A3">
        <w:rPr>
          <w:rFonts w:ascii="Times New Roman" w:hAnsi="Times New Roman" w:cs="Times New Roman"/>
          <w:sz w:val="24"/>
          <w:szCs w:val="24"/>
        </w:rPr>
        <w:t>challenges</w:t>
      </w:r>
      <w:r w:rsidRPr="003A3045">
        <w:rPr>
          <w:rFonts w:ascii="Times New Roman" w:hAnsi="Times New Roman" w:cs="Times New Roman"/>
          <w:sz w:val="24"/>
          <w:szCs w:val="24"/>
        </w:rPr>
        <w:t xml:space="preserve"> for developers participating in fixed volume swaps</w:t>
      </w:r>
      <w:r w:rsidR="00CD6730">
        <w:rPr>
          <w:rFonts w:ascii="Times New Roman" w:hAnsi="Times New Roman" w:cs="Times New Roman"/>
          <w:sz w:val="24"/>
          <w:szCs w:val="24"/>
        </w:rPr>
        <w:t xml:space="preserve"> and improve</w:t>
      </w:r>
      <w:r w:rsidRPr="003A3045">
        <w:rPr>
          <w:rFonts w:ascii="Times New Roman" w:hAnsi="Times New Roman" w:cs="Times New Roman"/>
          <w:sz w:val="24"/>
          <w:szCs w:val="24"/>
        </w:rPr>
        <w:t xml:space="preserve"> solvency for </w:t>
      </w:r>
      <w:r w:rsidR="00CD6730">
        <w:rPr>
          <w:rFonts w:ascii="Times New Roman" w:hAnsi="Times New Roman" w:cs="Times New Roman"/>
          <w:sz w:val="24"/>
          <w:szCs w:val="24"/>
        </w:rPr>
        <w:t>potential wind pro</w:t>
      </w:r>
      <w:r w:rsidRPr="003A3045">
        <w:rPr>
          <w:rFonts w:ascii="Times New Roman" w:hAnsi="Times New Roman" w:cs="Times New Roman"/>
          <w:sz w:val="24"/>
          <w:szCs w:val="24"/>
        </w:rPr>
        <w:t>ject</w:t>
      </w:r>
      <w:r w:rsidR="00CD6730">
        <w:rPr>
          <w:rFonts w:ascii="Times New Roman" w:hAnsi="Times New Roman" w:cs="Times New Roman"/>
          <w:sz w:val="24"/>
          <w:szCs w:val="24"/>
        </w:rPr>
        <w:t xml:space="preserve">s: 1) improved contract design; </w:t>
      </w:r>
      <w:r w:rsidR="007D51A3">
        <w:rPr>
          <w:rFonts w:ascii="Times New Roman" w:hAnsi="Times New Roman" w:cs="Times New Roman"/>
          <w:sz w:val="24"/>
          <w:szCs w:val="24"/>
        </w:rPr>
        <w:t xml:space="preserve">and </w:t>
      </w:r>
      <w:r w:rsidR="00CD6730">
        <w:rPr>
          <w:rFonts w:ascii="Times New Roman" w:hAnsi="Times New Roman" w:cs="Times New Roman"/>
          <w:sz w:val="24"/>
          <w:szCs w:val="24"/>
        </w:rPr>
        <w:t>2) reducing basis risk</w:t>
      </w:r>
      <w:r w:rsidR="007D51A3">
        <w:rPr>
          <w:rFonts w:ascii="Times New Roman" w:hAnsi="Times New Roman" w:cs="Times New Roman"/>
          <w:sz w:val="24"/>
          <w:szCs w:val="24"/>
        </w:rPr>
        <w:t xml:space="preserve"> (here represented as a proxy for </w:t>
      </w:r>
      <w:r w:rsidR="00CD6730">
        <w:rPr>
          <w:rFonts w:ascii="Times New Roman" w:hAnsi="Times New Roman" w:cs="Times New Roman"/>
          <w:sz w:val="24"/>
          <w:szCs w:val="24"/>
        </w:rPr>
        <w:t>investment in transmission infrastructure</w:t>
      </w:r>
      <w:r w:rsidR="007D51A3">
        <w:rPr>
          <w:rFonts w:ascii="Times New Roman" w:hAnsi="Times New Roman" w:cs="Times New Roman"/>
          <w:sz w:val="24"/>
          <w:szCs w:val="24"/>
        </w:rPr>
        <w:t>).</w:t>
      </w:r>
    </w:p>
    <w:p w14:paraId="43901E73" w14:textId="01697EE1" w:rsidR="006A150E" w:rsidRPr="003A3045" w:rsidRDefault="00CD6730">
      <w:pPr>
        <w:spacing w:line="480" w:lineRule="auto"/>
        <w:jc w:val="both"/>
        <w:rPr>
          <w:rFonts w:ascii="Times New Roman" w:hAnsi="Times New Roman" w:cs="Times New Roman"/>
          <w:color w:val="2E75B5"/>
          <w:sz w:val="24"/>
          <w:szCs w:val="24"/>
        </w:rPr>
      </w:pPr>
      <w:r>
        <w:rPr>
          <w:rFonts w:ascii="Times New Roman" w:hAnsi="Times New Roman" w:cs="Times New Roman"/>
          <w:color w:val="2E75B5"/>
          <w:sz w:val="24"/>
          <w:szCs w:val="24"/>
        </w:rPr>
        <w:t xml:space="preserve">2.2.1. </w:t>
      </w:r>
      <w:r w:rsidR="001031F3" w:rsidRPr="003A3045">
        <w:rPr>
          <w:rFonts w:ascii="Times New Roman" w:hAnsi="Times New Roman" w:cs="Times New Roman"/>
          <w:color w:val="2E75B5"/>
          <w:sz w:val="24"/>
          <w:szCs w:val="24"/>
        </w:rPr>
        <w:t>Improved Contract Design</w:t>
      </w:r>
    </w:p>
    <w:p w14:paraId="0AECEAD6" w14:textId="1825BBE4" w:rsidR="006A150E" w:rsidRPr="003A3045"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First, we explore ways to modify </w:t>
      </w:r>
      <w:r w:rsidR="002D0A97">
        <w:rPr>
          <w:rFonts w:ascii="Times New Roman" w:hAnsi="Times New Roman" w:cs="Times New Roman"/>
          <w:sz w:val="24"/>
          <w:szCs w:val="24"/>
        </w:rPr>
        <w:t>the hourly hedge targets (i.e. the shape) of</w:t>
      </w:r>
      <w:r w:rsidRPr="003A3045">
        <w:rPr>
          <w:rFonts w:ascii="Times New Roman" w:hAnsi="Times New Roman" w:cs="Times New Roman"/>
          <w:sz w:val="24"/>
          <w:szCs w:val="24"/>
        </w:rPr>
        <w:t xml:space="preserve"> fixed volume price swaps to reduce shape risk for wind power producers</w:t>
      </w:r>
      <w:r w:rsidR="002D0A97">
        <w:rPr>
          <w:rFonts w:ascii="Times New Roman" w:hAnsi="Times New Roman" w:cs="Times New Roman"/>
          <w:sz w:val="24"/>
          <w:szCs w:val="24"/>
        </w:rPr>
        <w:t>,</w:t>
      </w:r>
      <w:r w:rsidRPr="003A3045">
        <w:rPr>
          <w:rFonts w:ascii="Times New Roman" w:hAnsi="Times New Roman" w:cs="Times New Roman"/>
          <w:sz w:val="24"/>
          <w:szCs w:val="24"/>
        </w:rPr>
        <w:t xml:space="preserve"> while also maintaining targets that are</w:t>
      </w:r>
      <w:r w:rsidR="002D0A97">
        <w:rPr>
          <w:rFonts w:ascii="Times New Roman" w:hAnsi="Times New Roman" w:cs="Times New Roman"/>
          <w:sz w:val="24"/>
          <w:szCs w:val="24"/>
        </w:rPr>
        <w:t xml:space="preserve"> satisfying to hedge providers. Hedge providers p</w:t>
      </w:r>
      <w:r w:rsidRPr="003A3045">
        <w:rPr>
          <w:rFonts w:ascii="Times New Roman" w:hAnsi="Times New Roman" w:cs="Times New Roman"/>
          <w:sz w:val="24"/>
          <w:szCs w:val="24"/>
        </w:rPr>
        <w:t xml:space="preserve">refer to trade electricity prices in “blocks” of energy, with minimal hour-to-hour differences in hedged electricity production. Typically, a fixed volume swap only applies to a portion of the electricity produced by a wind farm (see Equations 1-2). This amount is often determined somewhat heuristically, but the goal is to hedge only the “firm” (reliable) output of a wind farm. For example, from a wind farm’s distribution of annual power production estimated from historical wind speed data, a hedge provider may estimate the median (P50) year, and multiply this number by 80% as an approximation of the 1st percentile (P99) year – in other words, an amount of generation that will be exceeded roughly 99 out of 100 years. This annual amount is allocated over 8760 hours based on historical averages for each month. Hourly targets for each month are calculated by taking the average value for off-peak and peak hours, resulting in blocks of energy that are eligible for a fixed volume swap </w:t>
      </w:r>
      <w:r w:rsidRPr="00D811FD">
        <w:rPr>
          <w:rFonts w:ascii="Times New Roman" w:hAnsi="Times New Roman" w:cs="Times New Roman"/>
          <w:sz w:val="24"/>
          <w:szCs w:val="24"/>
        </w:rPr>
        <w:t xml:space="preserve">(Figure </w:t>
      </w:r>
      <w:r w:rsidR="002D0A97" w:rsidRPr="00D811FD">
        <w:rPr>
          <w:rFonts w:ascii="Times New Roman" w:hAnsi="Times New Roman" w:cs="Times New Roman"/>
          <w:sz w:val="24"/>
          <w:szCs w:val="24"/>
        </w:rPr>
        <w:t>6</w:t>
      </w:r>
      <w:r w:rsidRPr="00D811FD">
        <w:rPr>
          <w:rFonts w:ascii="Times New Roman" w:hAnsi="Times New Roman" w:cs="Times New Roman"/>
          <w:sz w:val="24"/>
          <w:szCs w:val="24"/>
        </w:rPr>
        <w:t>).</w:t>
      </w:r>
      <w:r w:rsidRPr="003A3045">
        <w:rPr>
          <w:rFonts w:ascii="Times New Roman" w:hAnsi="Times New Roman" w:cs="Times New Roman"/>
          <w:sz w:val="24"/>
          <w:szCs w:val="24"/>
        </w:rPr>
        <w:t xml:space="preserve"> </w:t>
      </w:r>
      <w:r w:rsidR="000E24C6">
        <w:rPr>
          <w:rFonts w:ascii="Times New Roman" w:hAnsi="Times New Roman" w:cs="Times New Roman"/>
          <w:sz w:val="24"/>
          <w:szCs w:val="24"/>
        </w:rPr>
        <w:t>Table 2</w:t>
      </w:r>
      <w:r w:rsidR="00CA4E61">
        <w:rPr>
          <w:rFonts w:ascii="Times New Roman" w:hAnsi="Times New Roman" w:cs="Times New Roman"/>
          <w:sz w:val="24"/>
          <w:szCs w:val="24"/>
        </w:rPr>
        <w:t xml:space="preserve"> shows P99 peak and off-peak wind power production targets calculated from 5-years of wind power production data for the hypothetical wind farm. </w:t>
      </w:r>
    </w:p>
    <w:p w14:paraId="3DF9CB0A" w14:textId="51F906CA" w:rsidR="006A150E" w:rsidRPr="003A3045" w:rsidRDefault="003B170F">
      <w:pPr>
        <w:spacing w:before="240" w:after="0" w:line="480" w:lineRule="auto"/>
        <w:jc w:val="center"/>
        <w:rPr>
          <w:rFonts w:ascii="Times New Roman" w:hAnsi="Times New Roman" w:cs="Times New Roman"/>
          <w:sz w:val="24"/>
          <w:szCs w:val="24"/>
        </w:rPr>
      </w:pPr>
      <w:r w:rsidRPr="003B170F">
        <w:rPr>
          <w:rFonts w:ascii="Times New Roman" w:hAnsi="Times New Roman" w:cs="Times New Roman"/>
          <w:sz w:val="24"/>
          <w:szCs w:val="24"/>
        </w:rPr>
        <w:lastRenderedPageBreak/>
        <w:drawing>
          <wp:inline distT="0" distB="0" distL="0" distR="0" wp14:anchorId="59866306" wp14:editId="4ABD4810">
            <wp:extent cx="5135880" cy="3761648"/>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srcRect t="12413" b="3906"/>
                    <a:stretch/>
                  </pic:blipFill>
                  <pic:spPr bwMode="auto">
                    <a:xfrm>
                      <a:off x="0" y="0"/>
                      <a:ext cx="5140351" cy="3764922"/>
                    </a:xfrm>
                    <a:prstGeom prst="rect">
                      <a:avLst/>
                    </a:prstGeom>
                    <a:ln>
                      <a:noFill/>
                    </a:ln>
                    <a:extLst>
                      <a:ext uri="{53640926-AAD7-44D8-BBD7-CCE9431645EC}">
                        <a14:shadowObscured xmlns:a14="http://schemas.microsoft.com/office/drawing/2010/main"/>
                      </a:ext>
                    </a:extLst>
                  </pic:spPr>
                </pic:pic>
              </a:graphicData>
            </a:graphic>
          </wp:inline>
        </w:drawing>
      </w:r>
      <w:r w:rsidR="001031F3" w:rsidRPr="003A3045">
        <w:rPr>
          <w:rFonts w:ascii="Times New Roman" w:hAnsi="Times New Roman" w:cs="Times New Roman"/>
          <w:sz w:val="24"/>
          <w:szCs w:val="24"/>
        </w:rPr>
        <w:t xml:space="preserve"> </w:t>
      </w:r>
    </w:p>
    <w:p w14:paraId="32EF1A6C" w14:textId="7D50C261" w:rsidR="006A150E" w:rsidRDefault="001031F3">
      <w:pPr>
        <w:spacing w:before="240" w:after="0" w:line="480" w:lineRule="auto"/>
        <w:jc w:val="center"/>
        <w:rPr>
          <w:rFonts w:ascii="Times New Roman" w:hAnsi="Times New Roman" w:cs="Times New Roman"/>
          <w:sz w:val="20"/>
          <w:szCs w:val="24"/>
        </w:rPr>
      </w:pPr>
      <w:r w:rsidRPr="002D0A97">
        <w:rPr>
          <w:rFonts w:ascii="Times New Roman" w:hAnsi="Times New Roman" w:cs="Times New Roman"/>
          <w:b/>
          <w:sz w:val="20"/>
          <w:szCs w:val="24"/>
        </w:rPr>
        <w:t>Figure 6:</w:t>
      </w:r>
      <w:r w:rsidR="002D0A97" w:rsidRPr="002D0A97">
        <w:rPr>
          <w:rFonts w:ascii="Times New Roman" w:hAnsi="Times New Roman" w:cs="Times New Roman"/>
          <w:sz w:val="20"/>
          <w:szCs w:val="24"/>
        </w:rPr>
        <w:t xml:space="preserve"> </w:t>
      </w:r>
      <w:r w:rsidRPr="002D0A97">
        <w:rPr>
          <w:rFonts w:ascii="Times New Roman" w:hAnsi="Times New Roman" w:cs="Times New Roman"/>
          <w:sz w:val="20"/>
          <w:szCs w:val="24"/>
        </w:rPr>
        <w:t>Average hourly wind power production vs. “P99” hedge targets for January for the hypothetical wind farm.</w:t>
      </w:r>
    </w:p>
    <w:p w14:paraId="1E3E029E" w14:textId="77777777" w:rsidR="008D7742" w:rsidRPr="002D0A97" w:rsidRDefault="008D7742">
      <w:pPr>
        <w:spacing w:before="240" w:after="0" w:line="480" w:lineRule="auto"/>
        <w:jc w:val="center"/>
        <w:rPr>
          <w:rFonts w:ascii="Times New Roman" w:hAnsi="Times New Roman" w:cs="Times New Roman"/>
          <w:sz w:val="20"/>
          <w:szCs w:val="24"/>
        </w:rPr>
      </w:pPr>
    </w:p>
    <w:p w14:paraId="19D56845" w14:textId="6F6B81A8" w:rsidR="006A150E"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These blocks generally track (but are often below) averag</w:t>
      </w:r>
      <w:r w:rsidR="00B44AA0">
        <w:rPr>
          <w:rFonts w:ascii="Times New Roman" w:hAnsi="Times New Roman" w:cs="Times New Roman"/>
          <w:sz w:val="24"/>
          <w:szCs w:val="24"/>
        </w:rPr>
        <w:t>e wind power production</w:t>
      </w:r>
      <w:r w:rsidRPr="003A3045">
        <w:rPr>
          <w:rFonts w:ascii="Times New Roman" w:hAnsi="Times New Roman" w:cs="Times New Roman"/>
          <w:sz w:val="24"/>
          <w:szCs w:val="24"/>
        </w:rPr>
        <w:t xml:space="preserve"> experienced at the farm. An important feature of</w:t>
      </w:r>
      <w:r w:rsidR="005A3B4E">
        <w:rPr>
          <w:rFonts w:ascii="Times New Roman" w:hAnsi="Times New Roman" w:cs="Times New Roman"/>
          <w:sz w:val="24"/>
          <w:szCs w:val="24"/>
        </w:rPr>
        <w:t xml:space="preserve"> the fixed volume swaps </w:t>
      </w:r>
      <w:r w:rsidRPr="003A3045">
        <w:rPr>
          <w:rFonts w:ascii="Times New Roman" w:hAnsi="Times New Roman" w:cs="Times New Roman"/>
          <w:sz w:val="24"/>
          <w:szCs w:val="24"/>
        </w:rPr>
        <w:t xml:space="preserve">is that if actual wind power production </w:t>
      </w:r>
      <w:r w:rsidR="0095067E">
        <w:rPr>
          <w:rFonts w:ascii="Times New Roman" w:hAnsi="Times New Roman" w:cs="Times New Roman"/>
          <w:sz w:val="24"/>
          <w:szCs w:val="24"/>
        </w:rPr>
        <w:t>fall</w:t>
      </w:r>
      <w:r w:rsidRPr="003A3045">
        <w:rPr>
          <w:rFonts w:ascii="Times New Roman" w:hAnsi="Times New Roman" w:cs="Times New Roman"/>
          <w:sz w:val="24"/>
          <w:szCs w:val="24"/>
        </w:rPr>
        <w:t>s below the hedge target in any given hour, the wind power producer is obligated to buy “make-up” power on the real-time market (typically at a higher than average price). In addition, any electricity production that exceeds the hourly target is not subject to the hedge, and is simply sold as usual in the real-time market</w:t>
      </w:r>
      <w:r w:rsidR="005A3B4E">
        <w:rPr>
          <w:rFonts w:ascii="Times New Roman" w:hAnsi="Times New Roman" w:cs="Times New Roman"/>
          <w:sz w:val="24"/>
          <w:szCs w:val="24"/>
        </w:rPr>
        <w:t>, potentially at much lower prices</w:t>
      </w:r>
      <w:r w:rsidRPr="003A3045">
        <w:rPr>
          <w:rFonts w:ascii="Times New Roman" w:hAnsi="Times New Roman" w:cs="Times New Roman"/>
          <w:sz w:val="24"/>
          <w:szCs w:val="24"/>
        </w:rPr>
        <w:t xml:space="preserve">. Previous analyses have shown that this mismatch between actual wind power production and hourly targets (also known as “shape” risk) can significantly degrade the efficacy of fixed volume swap contracts for wind developers [3]. An initial research question </w:t>
      </w:r>
      <w:r w:rsidR="005A3B4E">
        <w:rPr>
          <w:rFonts w:ascii="Times New Roman" w:hAnsi="Times New Roman" w:cs="Times New Roman"/>
          <w:sz w:val="24"/>
          <w:szCs w:val="24"/>
        </w:rPr>
        <w:t xml:space="preserve">here </w:t>
      </w:r>
      <w:r w:rsidRPr="003A3045">
        <w:rPr>
          <w:rFonts w:ascii="Times New Roman" w:hAnsi="Times New Roman" w:cs="Times New Roman"/>
          <w:sz w:val="24"/>
          <w:szCs w:val="24"/>
        </w:rPr>
        <w:t xml:space="preserve">is whether “compromise” hedge targets can be identified that improve financial performance for the wind producer, while also satisfying financial performance requirements for the hedge provider. For the wind </w:t>
      </w:r>
      <w:r w:rsidRPr="003A3045">
        <w:rPr>
          <w:rFonts w:ascii="Times New Roman" w:hAnsi="Times New Roman" w:cs="Times New Roman"/>
          <w:sz w:val="24"/>
          <w:szCs w:val="24"/>
        </w:rPr>
        <w:lastRenderedPageBreak/>
        <w:t xml:space="preserve">producer in particular, there is likely to be a tradeoff between maximizing profits and reducing exposure to periods of extremely low revenues. </w:t>
      </w:r>
    </w:p>
    <w:p w14:paraId="3574B008" w14:textId="77777777" w:rsidR="005823D8" w:rsidRDefault="005823D8">
      <w:pPr>
        <w:spacing w:before="240" w:after="0" w:line="480" w:lineRule="auto"/>
        <w:ind w:firstLine="720"/>
        <w:jc w:val="both"/>
        <w:rPr>
          <w:rFonts w:ascii="Times New Roman" w:hAnsi="Times New Roman" w:cs="Times New Roman"/>
          <w:sz w:val="24"/>
          <w:szCs w:val="24"/>
        </w:rPr>
      </w:pPr>
    </w:p>
    <w:p w14:paraId="659C895D" w14:textId="5820C44D" w:rsidR="005823D8" w:rsidRDefault="005823D8" w:rsidP="005823D8">
      <w:pPr>
        <w:pStyle w:val="Caption"/>
        <w:keepNext/>
        <w:jc w:val="center"/>
        <w:rPr>
          <w:rFonts w:ascii="Times New Roman" w:hAnsi="Times New Roman" w:cs="Times New Roman"/>
          <w:i w:val="0"/>
          <w:color w:val="auto"/>
          <w:sz w:val="20"/>
        </w:rPr>
      </w:pPr>
      <w:r w:rsidRPr="005823D8">
        <w:rPr>
          <w:rFonts w:ascii="Times New Roman" w:hAnsi="Times New Roman" w:cs="Times New Roman"/>
          <w:b/>
          <w:i w:val="0"/>
          <w:color w:val="auto"/>
          <w:sz w:val="20"/>
        </w:rPr>
        <w:t xml:space="preserve">Table </w:t>
      </w:r>
      <w:r w:rsidR="000E24C6">
        <w:rPr>
          <w:rFonts w:ascii="Times New Roman" w:hAnsi="Times New Roman" w:cs="Times New Roman"/>
          <w:b/>
          <w:i w:val="0"/>
          <w:color w:val="auto"/>
          <w:sz w:val="20"/>
        </w:rPr>
        <w:t>2</w:t>
      </w:r>
      <w:r>
        <w:rPr>
          <w:rFonts w:ascii="Times New Roman" w:hAnsi="Times New Roman" w:cs="Times New Roman"/>
          <w:b/>
          <w:i w:val="0"/>
          <w:color w:val="auto"/>
          <w:sz w:val="20"/>
        </w:rPr>
        <w:t xml:space="preserve">. </w:t>
      </w:r>
      <w:r>
        <w:rPr>
          <w:rFonts w:ascii="Times New Roman" w:hAnsi="Times New Roman" w:cs="Times New Roman"/>
          <w:i w:val="0"/>
          <w:color w:val="auto"/>
          <w:sz w:val="20"/>
        </w:rPr>
        <w:t xml:space="preserve">Peak and off-peak </w:t>
      </w:r>
      <w:r w:rsidR="004041EA">
        <w:rPr>
          <w:rFonts w:ascii="Times New Roman" w:hAnsi="Times New Roman" w:cs="Times New Roman"/>
          <w:i w:val="0"/>
          <w:color w:val="auto"/>
          <w:sz w:val="20"/>
        </w:rPr>
        <w:t xml:space="preserve">hourly </w:t>
      </w:r>
      <w:r>
        <w:rPr>
          <w:rFonts w:ascii="Times New Roman" w:hAnsi="Times New Roman" w:cs="Times New Roman"/>
          <w:i w:val="0"/>
          <w:color w:val="auto"/>
          <w:sz w:val="20"/>
        </w:rPr>
        <w:t>wind production volumes (in MWh) for each calendar month.</w:t>
      </w:r>
    </w:p>
    <w:tbl>
      <w:tblPr>
        <w:tblStyle w:val="GridTable1Light"/>
        <w:tblpPr w:leftFromText="180" w:rightFromText="180" w:vertAnchor="page" w:horzAnchor="page" w:tblpX="4069" w:tblpY="3757"/>
        <w:tblW w:w="3908" w:type="dxa"/>
        <w:tblLook w:val="04A0" w:firstRow="1" w:lastRow="0" w:firstColumn="1" w:lastColumn="0" w:noHBand="0" w:noVBand="1"/>
      </w:tblPr>
      <w:tblGrid>
        <w:gridCol w:w="1197"/>
        <w:gridCol w:w="1343"/>
        <w:gridCol w:w="1368"/>
      </w:tblGrid>
      <w:tr w:rsidR="003B170F" w:rsidRPr="005823D8" w14:paraId="07233ACD" w14:textId="77777777" w:rsidTr="003B170F">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751ED215" w14:textId="77777777" w:rsidR="003B170F" w:rsidRPr="005823D8" w:rsidRDefault="003B170F" w:rsidP="003B170F">
            <w:pPr>
              <w:jc w:val="center"/>
              <w:rPr>
                <w:rFonts w:ascii="Times New Roman" w:eastAsia="Times New Roman" w:hAnsi="Times New Roman" w:cs="Times New Roman"/>
              </w:rPr>
            </w:pPr>
            <w:r w:rsidRPr="005823D8">
              <w:rPr>
                <w:rFonts w:ascii="Times New Roman" w:eastAsia="Times New Roman" w:hAnsi="Times New Roman" w:cs="Times New Roman"/>
              </w:rPr>
              <w:t>Month</w:t>
            </w:r>
          </w:p>
        </w:tc>
        <w:tc>
          <w:tcPr>
            <w:tcW w:w="1343" w:type="dxa"/>
            <w:noWrap/>
            <w:vAlign w:val="center"/>
            <w:hideMark/>
          </w:tcPr>
          <w:p w14:paraId="3A6E7620" w14:textId="77777777" w:rsidR="003B170F" w:rsidRPr="005823D8" w:rsidRDefault="003B170F" w:rsidP="003B17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823D8">
              <w:rPr>
                <w:rFonts w:ascii="Times New Roman" w:eastAsia="Times New Roman" w:hAnsi="Times New Roman" w:cs="Times New Roman"/>
              </w:rPr>
              <w:t>Peak</w:t>
            </w:r>
          </w:p>
        </w:tc>
        <w:tc>
          <w:tcPr>
            <w:tcW w:w="1368" w:type="dxa"/>
            <w:noWrap/>
            <w:vAlign w:val="center"/>
            <w:hideMark/>
          </w:tcPr>
          <w:p w14:paraId="3AB68543" w14:textId="77777777" w:rsidR="003B170F" w:rsidRPr="005823D8" w:rsidRDefault="003B170F" w:rsidP="003B17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823D8">
              <w:rPr>
                <w:rFonts w:ascii="Times New Roman" w:eastAsia="Times New Roman" w:hAnsi="Times New Roman" w:cs="Times New Roman"/>
              </w:rPr>
              <w:t>Off</w:t>
            </w:r>
            <w:r w:rsidRPr="004041EA">
              <w:rPr>
                <w:rFonts w:ascii="Times New Roman" w:eastAsia="Times New Roman" w:hAnsi="Times New Roman" w:cs="Times New Roman"/>
              </w:rPr>
              <w:t>-</w:t>
            </w:r>
            <w:r w:rsidRPr="005823D8">
              <w:rPr>
                <w:rFonts w:ascii="Times New Roman" w:eastAsia="Times New Roman" w:hAnsi="Times New Roman" w:cs="Times New Roman"/>
              </w:rPr>
              <w:t>peak</w:t>
            </w:r>
          </w:p>
        </w:tc>
      </w:tr>
      <w:tr w:rsidR="003B170F" w:rsidRPr="005823D8" w14:paraId="1C5753EE"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6D938DAE"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Jan</w:t>
            </w:r>
          </w:p>
        </w:tc>
        <w:tc>
          <w:tcPr>
            <w:tcW w:w="1343" w:type="dxa"/>
            <w:noWrap/>
            <w:vAlign w:val="center"/>
            <w:hideMark/>
          </w:tcPr>
          <w:p w14:paraId="50AF49CA"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58.03</w:t>
            </w:r>
          </w:p>
        </w:tc>
        <w:tc>
          <w:tcPr>
            <w:tcW w:w="1368" w:type="dxa"/>
            <w:noWrap/>
            <w:vAlign w:val="center"/>
            <w:hideMark/>
          </w:tcPr>
          <w:p w14:paraId="6FAEB4B4"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104.74</w:t>
            </w:r>
          </w:p>
        </w:tc>
      </w:tr>
      <w:tr w:rsidR="003B170F" w:rsidRPr="005823D8" w14:paraId="58DBF998"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5D3B92B9"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Feb</w:t>
            </w:r>
          </w:p>
        </w:tc>
        <w:tc>
          <w:tcPr>
            <w:tcW w:w="1343" w:type="dxa"/>
            <w:noWrap/>
            <w:vAlign w:val="center"/>
            <w:hideMark/>
          </w:tcPr>
          <w:p w14:paraId="5178A510"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76.47</w:t>
            </w:r>
          </w:p>
        </w:tc>
        <w:tc>
          <w:tcPr>
            <w:tcW w:w="1368" w:type="dxa"/>
            <w:noWrap/>
            <w:vAlign w:val="center"/>
            <w:hideMark/>
          </w:tcPr>
          <w:p w14:paraId="1C613932"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123.88</w:t>
            </w:r>
          </w:p>
        </w:tc>
      </w:tr>
      <w:tr w:rsidR="003B170F" w:rsidRPr="005823D8" w14:paraId="391C6EF2"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0A033289"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Mar</w:t>
            </w:r>
          </w:p>
        </w:tc>
        <w:tc>
          <w:tcPr>
            <w:tcW w:w="1343" w:type="dxa"/>
            <w:noWrap/>
            <w:vAlign w:val="center"/>
            <w:hideMark/>
          </w:tcPr>
          <w:p w14:paraId="37B65DFA"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82.69</w:t>
            </w:r>
          </w:p>
        </w:tc>
        <w:tc>
          <w:tcPr>
            <w:tcW w:w="1368" w:type="dxa"/>
            <w:noWrap/>
            <w:vAlign w:val="center"/>
            <w:hideMark/>
          </w:tcPr>
          <w:p w14:paraId="6A40201A"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130.79</w:t>
            </w:r>
          </w:p>
        </w:tc>
      </w:tr>
      <w:tr w:rsidR="003B170F" w:rsidRPr="005823D8" w14:paraId="79C44C6A"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12D90A2A"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Apr</w:t>
            </w:r>
          </w:p>
        </w:tc>
        <w:tc>
          <w:tcPr>
            <w:tcW w:w="1343" w:type="dxa"/>
            <w:noWrap/>
            <w:vAlign w:val="center"/>
            <w:hideMark/>
          </w:tcPr>
          <w:p w14:paraId="2B67B557"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98.55</w:t>
            </w:r>
          </w:p>
        </w:tc>
        <w:tc>
          <w:tcPr>
            <w:tcW w:w="1368" w:type="dxa"/>
            <w:noWrap/>
            <w:vAlign w:val="center"/>
            <w:hideMark/>
          </w:tcPr>
          <w:p w14:paraId="44A49A67"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139.63</w:t>
            </w:r>
          </w:p>
        </w:tc>
      </w:tr>
      <w:tr w:rsidR="003B170F" w:rsidRPr="005823D8" w14:paraId="12CA2EEC"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7AB46708"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May</w:t>
            </w:r>
          </w:p>
        </w:tc>
        <w:tc>
          <w:tcPr>
            <w:tcW w:w="1343" w:type="dxa"/>
            <w:noWrap/>
            <w:vAlign w:val="center"/>
            <w:hideMark/>
          </w:tcPr>
          <w:p w14:paraId="75E186BA"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77.00</w:t>
            </w:r>
          </w:p>
        </w:tc>
        <w:tc>
          <w:tcPr>
            <w:tcW w:w="1368" w:type="dxa"/>
            <w:noWrap/>
            <w:vAlign w:val="center"/>
            <w:hideMark/>
          </w:tcPr>
          <w:p w14:paraId="67FA9244"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123.22</w:t>
            </w:r>
          </w:p>
        </w:tc>
      </w:tr>
      <w:tr w:rsidR="003B170F" w:rsidRPr="005823D8" w14:paraId="419E0303"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7176BCA4"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Jun</w:t>
            </w:r>
          </w:p>
        </w:tc>
        <w:tc>
          <w:tcPr>
            <w:tcW w:w="1343" w:type="dxa"/>
            <w:noWrap/>
            <w:vAlign w:val="center"/>
            <w:hideMark/>
          </w:tcPr>
          <w:p w14:paraId="732FE685"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79.78</w:t>
            </w:r>
          </w:p>
        </w:tc>
        <w:tc>
          <w:tcPr>
            <w:tcW w:w="1368" w:type="dxa"/>
            <w:noWrap/>
            <w:vAlign w:val="center"/>
            <w:hideMark/>
          </w:tcPr>
          <w:p w14:paraId="0FAB81C4"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122.94</w:t>
            </w:r>
          </w:p>
        </w:tc>
      </w:tr>
      <w:tr w:rsidR="003B170F" w:rsidRPr="005823D8" w14:paraId="088D0AF5"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65E65684"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Jul</w:t>
            </w:r>
          </w:p>
        </w:tc>
        <w:tc>
          <w:tcPr>
            <w:tcW w:w="1343" w:type="dxa"/>
            <w:noWrap/>
            <w:vAlign w:val="center"/>
            <w:hideMark/>
          </w:tcPr>
          <w:p w14:paraId="5091EA48"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57.75</w:t>
            </w:r>
          </w:p>
        </w:tc>
        <w:tc>
          <w:tcPr>
            <w:tcW w:w="1368" w:type="dxa"/>
            <w:noWrap/>
            <w:vAlign w:val="center"/>
            <w:hideMark/>
          </w:tcPr>
          <w:p w14:paraId="08D5AE51"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114.36</w:t>
            </w:r>
          </w:p>
        </w:tc>
      </w:tr>
      <w:tr w:rsidR="003B170F" w:rsidRPr="005823D8" w14:paraId="67B6E8B1"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25EA0EF4"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Aug</w:t>
            </w:r>
          </w:p>
        </w:tc>
        <w:tc>
          <w:tcPr>
            <w:tcW w:w="1343" w:type="dxa"/>
            <w:noWrap/>
            <w:vAlign w:val="center"/>
            <w:hideMark/>
          </w:tcPr>
          <w:p w14:paraId="1F4C7817"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44.35</w:t>
            </w:r>
          </w:p>
        </w:tc>
        <w:tc>
          <w:tcPr>
            <w:tcW w:w="1368" w:type="dxa"/>
            <w:noWrap/>
            <w:vAlign w:val="center"/>
            <w:hideMark/>
          </w:tcPr>
          <w:p w14:paraId="53A7CED7"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88.43</w:t>
            </w:r>
          </w:p>
        </w:tc>
      </w:tr>
      <w:tr w:rsidR="003B170F" w:rsidRPr="005823D8" w14:paraId="4D8552D4"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6F09BF4A"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Sep</w:t>
            </w:r>
          </w:p>
        </w:tc>
        <w:tc>
          <w:tcPr>
            <w:tcW w:w="1343" w:type="dxa"/>
            <w:noWrap/>
            <w:vAlign w:val="center"/>
            <w:hideMark/>
          </w:tcPr>
          <w:p w14:paraId="63FC76C9"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78.12</w:t>
            </w:r>
          </w:p>
        </w:tc>
        <w:tc>
          <w:tcPr>
            <w:tcW w:w="1368" w:type="dxa"/>
            <w:noWrap/>
            <w:vAlign w:val="center"/>
            <w:hideMark/>
          </w:tcPr>
          <w:p w14:paraId="6765F56D"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125.61</w:t>
            </w:r>
          </w:p>
        </w:tc>
      </w:tr>
      <w:tr w:rsidR="003B170F" w:rsidRPr="005823D8" w14:paraId="28F01082"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0EC76F01"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Oct</w:t>
            </w:r>
          </w:p>
        </w:tc>
        <w:tc>
          <w:tcPr>
            <w:tcW w:w="1343" w:type="dxa"/>
            <w:noWrap/>
            <w:vAlign w:val="center"/>
            <w:hideMark/>
          </w:tcPr>
          <w:p w14:paraId="13FA20A1"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79.26</w:t>
            </w:r>
          </w:p>
        </w:tc>
        <w:tc>
          <w:tcPr>
            <w:tcW w:w="1368" w:type="dxa"/>
            <w:noWrap/>
            <w:vAlign w:val="center"/>
            <w:hideMark/>
          </w:tcPr>
          <w:p w14:paraId="7DC27ADB"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124.89</w:t>
            </w:r>
          </w:p>
        </w:tc>
      </w:tr>
      <w:tr w:rsidR="003B170F" w:rsidRPr="005823D8" w14:paraId="2BC56079"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1CB602E7"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Nov</w:t>
            </w:r>
          </w:p>
        </w:tc>
        <w:tc>
          <w:tcPr>
            <w:tcW w:w="1343" w:type="dxa"/>
            <w:noWrap/>
            <w:vAlign w:val="center"/>
            <w:hideMark/>
          </w:tcPr>
          <w:p w14:paraId="0D9A09D3"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76.34</w:t>
            </w:r>
          </w:p>
        </w:tc>
        <w:tc>
          <w:tcPr>
            <w:tcW w:w="1368" w:type="dxa"/>
            <w:noWrap/>
            <w:vAlign w:val="center"/>
            <w:hideMark/>
          </w:tcPr>
          <w:p w14:paraId="69779614"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124.21</w:t>
            </w:r>
          </w:p>
        </w:tc>
      </w:tr>
      <w:tr w:rsidR="003B170F" w:rsidRPr="005823D8" w14:paraId="77E571DD"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4E12C850"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Dec</w:t>
            </w:r>
          </w:p>
        </w:tc>
        <w:tc>
          <w:tcPr>
            <w:tcW w:w="1343" w:type="dxa"/>
            <w:noWrap/>
            <w:vAlign w:val="center"/>
            <w:hideMark/>
          </w:tcPr>
          <w:p w14:paraId="419B9468"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67.59</w:t>
            </w:r>
          </w:p>
        </w:tc>
        <w:tc>
          <w:tcPr>
            <w:tcW w:w="1368" w:type="dxa"/>
            <w:noWrap/>
            <w:vAlign w:val="center"/>
            <w:hideMark/>
          </w:tcPr>
          <w:p w14:paraId="0899307A"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114.02</w:t>
            </w:r>
          </w:p>
        </w:tc>
      </w:tr>
    </w:tbl>
    <w:p w14:paraId="73E1E675" w14:textId="77777777" w:rsidR="004041EA" w:rsidRPr="004041EA" w:rsidRDefault="004041EA" w:rsidP="004041EA"/>
    <w:p w14:paraId="422D2162" w14:textId="77777777" w:rsidR="00CA4E61" w:rsidRPr="003A3045" w:rsidRDefault="00CA4E61" w:rsidP="00CA4E61">
      <w:pPr>
        <w:spacing w:before="240" w:after="0" w:line="480" w:lineRule="auto"/>
        <w:jc w:val="both"/>
        <w:rPr>
          <w:rFonts w:ascii="Times New Roman" w:hAnsi="Times New Roman" w:cs="Times New Roman"/>
          <w:sz w:val="24"/>
          <w:szCs w:val="24"/>
        </w:rPr>
      </w:pPr>
    </w:p>
    <w:p w14:paraId="1BEB174C" w14:textId="77777777" w:rsidR="005823D8" w:rsidRDefault="005823D8" w:rsidP="00C15721">
      <w:pPr>
        <w:spacing w:after="0" w:line="480" w:lineRule="auto"/>
        <w:ind w:firstLine="720"/>
        <w:jc w:val="both"/>
        <w:rPr>
          <w:rFonts w:ascii="Times New Roman" w:hAnsi="Times New Roman" w:cs="Times New Roman"/>
          <w:sz w:val="24"/>
          <w:szCs w:val="24"/>
        </w:rPr>
      </w:pPr>
    </w:p>
    <w:p w14:paraId="2EB89A67" w14:textId="77777777" w:rsidR="005823D8" w:rsidRDefault="005823D8" w:rsidP="00C15721">
      <w:pPr>
        <w:spacing w:after="0" w:line="480" w:lineRule="auto"/>
        <w:ind w:firstLine="720"/>
        <w:jc w:val="both"/>
        <w:rPr>
          <w:rFonts w:ascii="Times New Roman" w:hAnsi="Times New Roman" w:cs="Times New Roman"/>
          <w:sz w:val="24"/>
          <w:szCs w:val="24"/>
        </w:rPr>
      </w:pPr>
    </w:p>
    <w:p w14:paraId="02554D01" w14:textId="77777777" w:rsidR="005823D8" w:rsidRDefault="005823D8" w:rsidP="00C15721">
      <w:pPr>
        <w:spacing w:after="0" w:line="480" w:lineRule="auto"/>
        <w:ind w:firstLine="720"/>
        <w:jc w:val="both"/>
        <w:rPr>
          <w:rFonts w:ascii="Times New Roman" w:hAnsi="Times New Roman" w:cs="Times New Roman"/>
          <w:sz w:val="24"/>
          <w:szCs w:val="24"/>
        </w:rPr>
      </w:pPr>
    </w:p>
    <w:p w14:paraId="160BF45F" w14:textId="77777777" w:rsidR="005823D8" w:rsidRDefault="005823D8" w:rsidP="00C15721">
      <w:pPr>
        <w:spacing w:after="0" w:line="480" w:lineRule="auto"/>
        <w:ind w:firstLine="720"/>
        <w:jc w:val="both"/>
        <w:rPr>
          <w:rFonts w:ascii="Times New Roman" w:hAnsi="Times New Roman" w:cs="Times New Roman"/>
          <w:sz w:val="24"/>
          <w:szCs w:val="24"/>
        </w:rPr>
      </w:pPr>
    </w:p>
    <w:p w14:paraId="25C4D700" w14:textId="77777777" w:rsidR="005823D8" w:rsidRDefault="005823D8" w:rsidP="00C15721">
      <w:pPr>
        <w:spacing w:after="0" w:line="480" w:lineRule="auto"/>
        <w:ind w:firstLine="720"/>
        <w:jc w:val="both"/>
        <w:rPr>
          <w:rFonts w:ascii="Times New Roman" w:hAnsi="Times New Roman" w:cs="Times New Roman"/>
          <w:sz w:val="24"/>
          <w:szCs w:val="24"/>
        </w:rPr>
      </w:pPr>
    </w:p>
    <w:p w14:paraId="391C5BE0" w14:textId="77777777" w:rsidR="005823D8" w:rsidRDefault="005823D8" w:rsidP="00C15721">
      <w:pPr>
        <w:spacing w:after="0" w:line="480" w:lineRule="auto"/>
        <w:ind w:firstLine="720"/>
        <w:jc w:val="both"/>
        <w:rPr>
          <w:rFonts w:ascii="Times New Roman" w:hAnsi="Times New Roman" w:cs="Times New Roman"/>
          <w:sz w:val="24"/>
          <w:szCs w:val="24"/>
        </w:rPr>
      </w:pPr>
    </w:p>
    <w:p w14:paraId="7DBC073E" w14:textId="3C531B5A" w:rsidR="005823D8" w:rsidRDefault="005823D8" w:rsidP="00C15721">
      <w:pPr>
        <w:spacing w:after="0" w:line="480" w:lineRule="auto"/>
        <w:ind w:firstLine="720"/>
        <w:jc w:val="both"/>
        <w:rPr>
          <w:rFonts w:ascii="Times New Roman" w:hAnsi="Times New Roman" w:cs="Times New Roman"/>
          <w:sz w:val="24"/>
          <w:szCs w:val="24"/>
        </w:rPr>
      </w:pPr>
    </w:p>
    <w:p w14:paraId="5E2BF6E1" w14:textId="77777777" w:rsidR="003B170F"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 </w:t>
      </w:r>
    </w:p>
    <w:p w14:paraId="5203D09F" w14:textId="27074D44" w:rsidR="00C15721"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To simulate (and optimize) the financial performance of a hypothetical wind farm, we embed a simple simulation model of the wind farm’s operations (including use of fixed volume swaps) within a many-objective evolutionary algorithm (MOEA) to identify optimal peak and off-peak hedge targets for each calendar month. We make use of a widely used MOEA known as the Non-Dominated Sorting Genetic Algorithm II (NSGA-II) [</w:t>
      </w:r>
      <w:commentRangeStart w:id="11"/>
      <w:r w:rsidRPr="003A3045">
        <w:rPr>
          <w:rFonts w:ascii="Times New Roman" w:hAnsi="Times New Roman" w:cs="Times New Roman"/>
          <w:sz w:val="24"/>
          <w:szCs w:val="24"/>
        </w:rPr>
        <w:t>25</w:t>
      </w:r>
      <w:commentRangeEnd w:id="11"/>
      <w:r w:rsidR="005A3B4E">
        <w:rPr>
          <w:rStyle w:val="CommentReference"/>
        </w:rPr>
        <w:commentReference w:id="11"/>
      </w:r>
      <w:r w:rsidRPr="003A3045">
        <w:rPr>
          <w:rFonts w:ascii="Times New Roman" w:hAnsi="Times New Roman" w:cs="Times New Roman"/>
          <w:sz w:val="24"/>
          <w:szCs w:val="24"/>
        </w:rPr>
        <w:t>]. NSGA-II has been used widely in the past to help solve problems dealing with conflicting dual objectives (when one objective increases, the other decreases), which is likely the case in our problem.</w:t>
      </w:r>
      <w:r w:rsidR="006D0592">
        <w:rPr>
          <w:rFonts w:ascii="Times New Roman" w:hAnsi="Times New Roman" w:cs="Times New Roman"/>
          <w:sz w:val="24"/>
          <w:szCs w:val="24"/>
        </w:rPr>
        <w:t xml:space="preserve"> </w:t>
      </w:r>
      <w:r w:rsidR="006D0592" w:rsidRPr="003A3045">
        <w:rPr>
          <w:rFonts w:ascii="Times New Roman" w:hAnsi="Times New Roman" w:cs="Times New Roman"/>
          <w:sz w:val="24"/>
          <w:szCs w:val="24"/>
        </w:rPr>
        <w:t>MOEAs, such as the NSGA-II, can be used to help developers of renewable energy projects and grid operators optimize the construction and operations of new plants by taking into consideration cost and reliability [18].</w:t>
      </w:r>
      <w:r w:rsidRPr="003A3045">
        <w:rPr>
          <w:rFonts w:ascii="Times New Roman" w:hAnsi="Times New Roman" w:cs="Times New Roman"/>
          <w:sz w:val="24"/>
          <w:szCs w:val="24"/>
        </w:rPr>
        <w:t xml:space="preserve"> In our use of the NSGA-II algorithm, we used default parameters for population size and mutation rate. </w:t>
      </w:r>
    </w:p>
    <w:p w14:paraId="4D72633C" w14:textId="6917D2EE" w:rsidR="006A150E"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lastRenderedPageBreak/>
        <w:t xml:space="preserve">The </w:t>
      </w:r>
      <w:r w:rsidR="006D0592">
        <w:rPr>
          <w:rFonts w:ascii="Times New Roman" w:hAnsi="Times New Roman" w:cs="Times New Roman"/>
          <w:sz w:val="24"/>
          <w:szCs w:val="24"/>
        </w:rPr>
        <w:t>function evaluated by NSGA-II is a simulation model of wind power revenues for the hypothetical project, which</w:t>
      </w:r>
      <w:r w:rsidRPr="003A3045">
        <w:rPr>
          <w:rFonts w:ascii="Times New Roman" w:hAnsi="Times New Roman" w:cs="Times New Roman"/>
          <w:sz w:val="24"/>
          <w:szCs w:val="24"/>
        </w:rPr>
        <w:t xml:space="preserve"> employs an hourly time step and calculates </w:t>
      </w:r>
      <w:r w:rsidR="006D0592">
        <w:rPr>
          <w:rFonts w:ascii="Times New Roman" w:hAnsi="Times New Roman" w:cs="Times New Roman"/>
          <w:sz w:val="24"/>
          <w:szCs w:val="24"/>
        </w:rPr>
        <w:t>revenues</w:t>
      </w:r>
      <w:r w:rsidRPr="003A3045">
        <w:rPr>
          <w:rFonts w:ascii="Times New Roman" w:hAnsi="Times New Roman" w:cs="Times New Roman"/>
          <w:sz w:val="24"/>
          <w:szCs w:val="24"/>
        </w:rPr>
        <w:t xml:space="preserve"> as follows:</w:t>
      </w:r>
    </w:p>
    <w:p w14:paraId="79E9A565" w14:textId="77777777" w:rsidR="006D0592" w:rsidRPr="003A3045" w:rsidRDefault="006D0592">
      <w:pPr>
        <w:spacing w:before="240" w:after="0" w:line="480" w:lineRule="auto"/>
        <w:ind w:firstLine="720"/>
        <w:jc w:val="both"/>
        <w:rPr>
          <w:rFonts w:ascii="Times New Roman" w:hAnsi="Times New Roman" w:cs="Times New Roman"/>
          <w:sz w:val="24"/>
          <w:szCs w:val="24"/>
        </w:rPr>
      </w:pPr>
    </w:p>
    <w:p w14:paraId="3855D814" w14:textId="77777777" w:rsidR="006A150E" w:rsidRPr="003A3045" w:rsidRDefault="001031F3">
      <w:pPr>
        <w:spacing w:before="240" w:after="0" w:line="480" w:lineRule="auto"/>
        <w:ind w:firstLine="720"/>
        <w:jc w:val="both"/>
        <w:rPr>
          <w:rFonts w:ascii="Times New Roman" w:hAnsi="Times New Roman" w:cs="Times New Roman"/>
          <w:sz w:val="24"/>
          <w:szCs w:val="24"/>
        </w:rPr>
      </w:pPr>
      <m:oMath>
        <m:r>
          <w:rPr>
            <w:rFonts w:ascii="Cambria Math" w:hAnsi="Cambria Math" w:cs="Times New Roman"/>
            <w:sz w:val="24"/>
            <w:szCs w:val="24"/>
          </w:rPr>
          <m:t>R(t) = W(t)*max(0,NP(t)) -max(T(t) -W(t),0)*NP(t) +(S - HP(t))*T(t)</m:t>
        </m:r>
      </m:oMath>
      <w:r w:rsidRPr="003A3045">
        <w:rPr>
          <w:rFonts w:ascii="Times New Roman" w:hAnsi="Times New Roman" w:cs="Times New Roman"/>
          <w:sz w:val="24"/>
          <w:szCs w:val="24"/>
        </w:rPr>
        <w:t xml:space="preserve"> </w:t>
      </w:r>
      <w:r w:rsidRPr="003A3045">
        <w:rPr>
          <w:rFonts w:ascii="Times New Roman" w:hAnsi="Times New Roman" w:cs="Times New Roman"/>
          <w:sz w:val="24"/>
          <w:szCs w:val="24"/>
        </w:rPr>
        <w:tab/>
        <w:t>(Equation 3)</w:t>
      </w:r>
    </w:p>
    <w:p w14:paraId="504F4497" w14:textId="77777777" w:rsidR="006A150E" w:rsidRPr="003A3045" w:rsidRDefault="001031F3">
      <w:pPr>
        <w:spacing w:before="240"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r>
      <m:oMath>
        <m:r>
          <w:rPr>
            <w:rFonts w:ascii="Cambria Math" w:hAnsi="Cambria Math" w:cs="Times New Roman"/>
            <w:sz w:val="24"/>
            <w:szCs w:val="24"/>
          </w:rPr>
          <m:t>where,</m:t>
        </m:r>
      </m:oMath>
    </w:p>
    <w:p w14:paraId="0C074015" w14:textId="137B17A5"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R(t) =wind developer revenues in hour t</m:t>
          </m:r>
        </m:oMath>
      </m:oMathPara>
    </w:p>
    <w:p w14:paraId="0D321656"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W(t) =wind power produced in hour t</m:t>
          </m:r>
        </m:oMath>
      </m:oMathPara>
    </w:p>
    <w:p w14:paraId="558F9744"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NP(t) =electricity price at node in hour t</m:t>
          </m:r>
        </m:oMath>
      </m:oMathPara>
    </w:p>
    <w:p w14:paraId="00AAE41F"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T(t) =hedge target for given hour type and calendar month</m:t>
          </m:r>
        </m:oMath>
      </m:oMathPara>
    </w:p>
    <w:p w14:paraId="36FE39A0"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S =contract strike price</m:t>
          </m:r>
        </m:oMath>
      </m:oMathPara>
    </w:p>
    <w:p w14:paraId="51F58A17"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HP(t) =electricity price at hub in hour t</m:t>
          </m:r>
        </m:oMath>
      </m:oMathPara>
    </w:p>
    <w:p w14:paraId="53BF66ED" w14:textId="77777777" w:rsidR="006A150E" w:rsidRPr="003A3045" w:rsidRDefault="001031F3">
      <w:pPr>
        <w:spacing w:before="240"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r>
    </w:p>
    <w:p w14:paraId="2F1503B8" w14:textId="053DACB4" w:rsidR="00B30709"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first part of the equation </w:t>
      </w:r>
      <m:oMath>
        <m:r>
          <w:rPr>
            <w:rFonts w:ascii="Cambria Math" w:hAnsi="Cambria Math" w:cs="Times New Roman"/>
            <w:sz w:val="24"/>
            <w:szCs w:val="24"/>
          </w:rPr>
          <m:t>W(t)*max(0,NP(t))</m:t>
        </m:r>
      </m:oMath>
      <w:r w:rsidR="00E466F6">
        <w:rPr>
          <w:rFonts w:ascii="Times New Roman" w:hAnsi="Times New Roman" w:cs="Times New Roman"/>
          <w:sz w:val="24"/>
          <w:szCs w:val="24"/>
        </w:rPr>
        <w:t xml:space="preserve"> </w:t>
      </w:r>
      <w:r w:rsidRPr="003A3045">
        <w:rPr>
          <w:rFonts w:ascii="Times New Roman" w:hAnsi="Times New Roman" w:cs="Times New Roman"/>
          <w:sz w:val="24"/>
          <w:szCs w:val="24"/>
        </w:rPr>
        <w:t xml:space="preserve">calculates revenues from selling all wind farm output directly into the wholesale market at the nodal price, with the </w:t>
      </w:r>
      <m:oMath>
        <m:r>
          <w:rPr>
            <w:rFonts w:ascii="Cambria Math" w:hAnsi="Cambria Math" w:cs="Times New Roman"/>
            <w:sz w:val="24"/>
            <w:szCs w:val="24"/>
          </w:rPr>
          <m:t>max</m:t>
        </m:r>
      </m:oMath>
      <w:r w:rsidR="00E466F6">
        <w:rPr>
          <w:rFonts w:ascii="Times New Roman" w:hAnsi="Times New Roman" w:cs="Times New Roman"/>
          <w:sz w:val="24"/>
          <w:szCs w:val="24"/>
        </w:rPr>
        <w:t xml:space="preserve"> </w:t>
      </w:r>
      <w:r w:rsidRPr="003A3045">
        <w:rPr>
          <w:rFonts w:ascii="Times New Roman" w:hAnsi="Times New Roman" w:cs="Times New Roman"/>
          <w:sz w:val="24"/>
          <w:szCs w:val="24"/>
        </w:rPr>
        <w:t>function preventing these revenues from going negative during periods of local oversupply (i.e. wind power production is curtailed rather than sold at a negative price). The second part of the equation</w:t>
      </w:r>
      <w:r w:rsidR="00E466F6">
        <w:rPr>
          <w:rFonts w:ascii="Times New Roman" w:hAnsi="Times New Roman" w:cs="Times New Roman"/>
          <w:sz w:val="24"/>
          <w:szCs w:val="24"/>
        </w:rPr>
        <w:t>,</w:t>
      </w:r>
      <w:r w:rsidRPr="003A3045">
        <w:rPr>
          <w:rFonts w:ascii="Times New Roman" w:hAnsi="Times New Roman" w:cs="Times New Roman"/>
          <w:sz w:val="24"/>
          <w:szCs w:val="24"/>
        </w:rPr>
        <w:t xml:space="preserve"> </w:t>
      </w:r>
      <m:oMath>
        <m:r>
          <w:rPr>
            <w:rFonts w:ascii="Cambria Math" w:hAnsi="Cambria Math" w:cs="Times New Roman"/>
            <w:sz w:val="24"/>
            <w:szCs w:val="24"/>
          </w:rPr>
          <m:t>max(T(t) -W(t),0)*NP(t)</m:t>
        </m:r>
      </m:oMath>
      <w:r w:rsidR="00E466F6">
        <w:rPr>
          <w:rFonts w:ascii="Times New Roman" w:hAnsi="Times New Roman" w:cs="Times New Roman"/>
          <w:sz w:val="24"/>
          <w:szCs w:val="24"/>
        </w:rPr>
        <w:t xml:space="preserve">, </w:t>
      </w:r>
      <w:r w:rsidRPr="003A3045">
        <w:rPr>
          <w:rFonts w:ascii="Times New Roman" w:hAnsi="Times New Roman" w:cs="Times New Roman"/>
          <w:sz w:val="24"/>
          <w:szCs w:val="24"/>
        </w:rPr>
        <w:t xml:space="preserve">accounts for any “makeup” power the wind power producer must purchase at the node if it </w:t>
      </w:r>
      <w:proofErr w:type="spellStart"/>
      <w:r w:rsidRPr="003A3045">
        <w:rPr>
          <w:rFonts w:ascii="Times New Roman" w:hAnsi="Times New Roman" w:cs="Times New Roman"/>
          <w:sz w:val="24"/>
          <w:szCs w:val="24"/>
        </w:rPr>
        <w:t>underproduces</w:t>
      </w:r>
      <w:proofErr w:type="spellEnd"/>
      <w:r w:rsidRPr="003A3045">
        <w:rPr>
          <w:rFonts w:ascii="Times New Roman" w:hAnsi="Times New Roman" w:cs="Times New Roman"/>
          <w:sz w:val="24"/>
          <w:szCs w:val="24"/>
        </w:rPr>
        <w:t xml:space="preserve"> relative to a pre-specified </w:t>
      </w:r>
      <w:r w:rsidR="005823D8">
        <w:rPr>
          <w:rFonts w:ascii="Times New Roman" w:hAnsi="Times New Roman" w:cs="Times New Roman"/>
          <w:sz w:val="24"/>
          <w:szCs w:val="24"/>
        </w:rPr>
        <w:t>wind production volume</w:t>
      </w:r>
      <w:r w:rsidRPr="003A3045">
        <w:rPr>
          <w:rFonts w:ascii="Times New Roman" w:hAnsi="Times New Roman" w:cs="Times New Roman"/>
          <w:sz w:val="24"/>
          <w:szCs w:val="24"/>
        </w:rPr>
        <w:t xml:space="preserve"> </w:t>
      </w:r>
      <m:oMath>
        <m:r>
          <w:rPr>
            <w:rFonts w:ascii="Cambria Math" w:hAnsi="Cambria Math" w:cs="Times New Roman"/>
            <w:sz w:val="24"/>
            <w:szCs w:val="24"/>
          </w:rPr>
          <m:t>T(t)</m:t>
        </m:r>
      </m:oMath>
      <w:r w:rsidRPr="003A3045">
        <w:rPr>
          <w:rFonts w:ascii="Times New Roman" w:hAnsi="Times New Roman" w:cs="Times New Roman"/>
          <w:sz w:val="24"/>
          <w:szCs w:val="24"/>
        </w:rPr>
        <w:t xml:space="preserve">. </w:t>
      </w:r>
    </w:p>
    <w:p w14:paraId="70DC7261" w14:textId="0960D2E4" w:rsidR="006A150E" w:rsidRPr="003A3045"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fixed volume swap contract is made up of 24 unique values </w:t>
      </w:r>
      <w:proofErr w:type="gramStart"/>
      <w:r w:rsidRPr="003A3045">
        <w:rPr>
          <w:rFonts w:ascii="Times New Roman" w:hAnsi="Times New Roman" w:cs="Times New Roman"/>
          <w:sz w:val="24"/>
          <w:szCs w:val="24"/>
        </w:rPr>
        <w:t xml:space="preserve">of </w:t>
      </w:r>
      <w:proofErr w:type="gramEnd"/>
      <m:oMath>
        <m:r>
          <w:rPr>
            <w:rFonts w:ascii="Cambria Math" w:hAnsi="Cambria Math" w:cs="Times New Roman"/>
            <w:sz w:val="24"/>
            <w:szCs w:val="24"/>
          </w:rPr>
          <m:t>T(t)</m:t>
        </m:r>
      </m:oMath>
      <w:r w:rsidR="00B30709">
        <w:rPr>
          <w:rFonts w:ascii="Times New Roman" w:hAnsi="Times New Roman" w:cs="Times New Roman"/>
          <w:sz w:val="24"/>
          <w:szCs w:val="24"/>
        </w:rPr>
        <w:t>, an off-peak and peak value for each calendar month. These targets represent the volume of wind energy whose v</w:t>
      </w:r>
      <w:proofErr w:type="spellStart"/>
      <w:r w:rsidR="00A6092D">
        <w:rPr>
          <w:rFonts w:ascii="Times New Roman" w:hAnsi="Times New Roman" w:cs="Times New Roman"/>
          <w:sz w:val="24"/>
          <w:szCs w:val="24"/>
        </w:rPr>
        <w:t>alue</w:t>
      </w:r>
      <w:proofErr w:type="spellEnd"/>
      <w:r w:rsidR="00A6092D">
        <w:rPr>
          <w:rFonts w:ascii="Times New Roman" w:hAnsi="Times New Roman" w:cs="Times New Roman"/>
          <w:sz w:val="24"/>
          <w:szCs w:val="24"/>
        </w:rPr>
        <w:t xml:space="preserve"> (price) would be covered </w:t>
      </w:r>
      <w:r w:rsidR="00B30709">
        <w:rPr>
          <w:rFonts w:ascii="Times New Roman" w:hAnsi="Times New Roman" w:cs="Times New Roman"/>
          <w:sz w:val="24"/>
          <w:szCs w:val="24"/>
        </w:rPr>
        <w:t>by the hedge</w:t>
      </w:r>
      <w:r w:rsidR="00A6092D">
        <w:rPr>
          <w:rFonts w:ascii="Times New Roman" w:hAnsi="Times New Roman" w:cs="Times New Roman"/>
          <w:sz w:val="24"/>
          <w:szCs w:val="24"/>
        </w:rPr>
        <w:t xml:space="preserve"> contract. </w:t>
      </w:r>
      <w:r w:rsidR="005823D8">
        <w:rPr>
          <w:rFonts w:ascii="Times New Roman" w:hAnsi="Times New Roman" w:cs="Times New Roman"/>
          <w:sz w:val="24"/>
          <w:szCs w:val="24"/>
        </w:rPr>
        <w:t xml:space="preserve">The values shown in Table 1 represent values of </w:t>
      </w:r>
      <m:oMath>
        <m:r>
          <w:rPr>
            <w:rFonts w:ascii="Cambria Math" w:hAnsi="Cambria Math" w:cs="Times New Roman"/>
            <w:sz w:val="24"/>
            <w:szCs w:val="24"/>
          </w:rPr>
          <m:t>T(t)</m:t>
        </m:r>
      </m:oMath>
      <w:r w:rsidR="005823D8">
        <w:rPr>
          <w:rFonts w:ascii="Times New Roman" w:hAnsi="Times New Roman" w:cs="Times New Roman"/>
          <w:sz w:val="24"/>
          <w:szCs w:val="24"/>
        </w:rPr>
        <w:t xml:space="preserve"> for a conventional P99 contract. In our experiment, however, t</w:t>
      </w:r>
      <w:proofErr w:type="spellStart"/>
      <w:r w:rsidR="00B30709">
        <w:rPr>
          <w:rFonts w:ascii="Times New Roman" w:hAnsi="Times New Roman" w:cs="Times New Roman"/>
          <w:sz w:val="24"/>
          <w:szCs w:val="24"/>
        </w:rPr>
        <w:t>hese</w:t>
      </w:r>
      <w:proofErr w:type="spellEnd"/>
      <w:r w:rsidR="00A6092D">
        <w:rPr>
          <w:rFonts w:ascii="Times New Roman" w:hAnsi="Times New Roman" w:cs="Times New Roman"/>
          <w:sz w:val="24"/>
          <w:szCs w:val="24"/>
        </w:rPr>
        <w:t xml:space="preserve"> 24 hourly hedge targets are the primary </w:t>
      </w:r>
      <w:r w:rsidR="00A6092D">
        <w:rPr>
          <w:rFonts w:ascii="Times New Roman" w:hAnsi="Times New Roman" w:cs="Times New Roman"/>
          <w:sz w:val="24"/>
          <w:szCs w:val="24"/>
        </w:rPr>
        <w:lastRenderedPageBreak/>
        <w:t>decision variables (unknowns to be optimized). Here, p</w:t>
      </w:r>
      <w:r w:rsidRPr="003A3045">
        <w:rPr>
          <w:rFonts w:ascii="Times New Roman" w:hAnsi="Times New Roman" w:cs="Times New Roman"/>
          <w:sz w:val="24"/>
          <w:szCs w:val="24"/>
        </w:rPr>
        <w:t xml:space="preserve">eak hours </w:t>
      </w:r>
      <w:r w:rsidR="00A6092D">
        <w:rPr>
          <w:rFonts w:ascii="Times New Roman" w:hAnsi="Times New Roman" w:cs="Times New Roman"/>
          <w:sz w:val="24"/>
          <w:szCs w:val="24"/>
        </w:rPr>
        <w:t>a</w:t>
      </w:r>
      <w:r w:rsidRPr="003A3045">
        <w:rPr>
          <w:rFonts w:ascii="Times New Roman" w:hAnsi="Times New Roman" w:cs="Times New Roman"/>
          <w:sz w:val="24"/>
          <w:szCs w:val="24"/>
        </w:rPr>
        <w:t xml:space="preserve">re defined as any hour of the day between 0600 and 2100, with the remaining hours defined as off-peak. The final part of the equation </w:t>
      </w:r>
      <m:oMath>
        <m:r>
          <w:rPr>
            <w:rFonts w:ascii="Cambria Math" w:hAnsi="Cambria Math" w:cs="Times New Roman"/>
            <w:sz w:val="24"/>
            <w:szCs w:val="24"/>
          </w:rPr>
          <m:t>(S - HP(t))*T(t)</m:t>
        </m:r>
      </m:oMath>
      <w:r w:rsidRPr="003A3045">
        <w:rPr>
          <w:rFonts w:ascii="Times New Roman" w:hAnsi="Times New Roman" w:cs="Times New Roman"/>
          <w:sz w:val="24"/>
          <w:szCs w:val="24"/>
        </w:rPr>
        <w:t xml:space="preserve"> represents the financial exchange between the wind power producer and the contract counterparty</w:t>
      </w:r>
      <w:r w:rsidR="00CB5027">
        <w:rPr>
          <w:rFonts w:ascii="Times New Roman" w:hAnsi="Times New Roman" w:cs="Times New Roman"/>
          <w:sz w:val="24"/>
          <w:szCs w:val="24"/>
        </w:rPr>
        <w:t>, the hedge provider</w:t>
      </w:r>
      <w:r w:rsidRPr="003A3045">
        <w:rPr>
          <w:rFonts w:ascii="Times New Roman" w:hAnsi="Times New Roman" w:cs="Times New Roman"/>
          <w:sz w:val="24"/>
          <w:szCs w:val="24"/>
        </w:rPr>
        <w:t xml:space="preserve">. Note that </w:t>
      </w:r>
      <w:proofErr w:type="gramStart"/>
      <w:r w:rsidRPr="003A3045">
        <w:rPr>
          <w:rFonts w:ascii="Times New Roman" w:hAnsi="Times New Roman" w:cs="Times New Roman"/>
          <w:sz w:val="24"/>
          <w:szCs w:val="24"/>
        </w:rPr>
        <w:t xml:space="preserve">when </w:t>
      </w:r>
      <w:proofErr w:type="gramEnd"/>
      <m:oMath>
        <m:r>
          <w:rPr>
            <w:rFonts w:ascii="Cambria Math" w:hAnsi="Cambria Math" w:cs="Times New Roman"/>
            <w:sz w:val="24"/>
            <w:szCs w:val="24"/>
          </w:rPr>
          <m:t>S &lt; HP(t)</m:t>
        </m:r>
      </m:oMath>
      <w:r w:rsidRPr="003A3045">
        <w:rPr>
          <w:rFonts w:ascii="Times New Roman" w:hAnsi="Times New Roman" w:cs="Times New Roman"/>
          <w:sz w:val="24"/>
          <w:szCs w:val="24"/>
        </w:rPr>
        <w:t xml:space="preserve">, the financial exchange is negative, with the wind power producer paying the </w:t>
      </w:r>
      <w:r w:rsidR="00CB5027">
        <w:rPr>
          <w:rFonts w:ascii="Times New Roman" w:hAnsi="Times New Roman" w:cs="Times New Roman"/>
          <w:sz w:val="24"/>
          <w:szCs w:val="24"/>
        </w:rPr>
        <w:t>hedge provider</w:t>
      </w:r>
      <w:r w:rsidRPr="003A3045">
        <w:rPr>
          <w:rFonts w:ascii="Times New Roman" w:hAnsi="Times New Roman" w:cs="Times New Roman"/>
          <w:sz w:val="24"/>
          <w:szCs w:val="24"/>
        </w:rPr>
        <w:t>.</w:t>
      </w:r>
    </w:p>
    <w:p w14:paraId="541CDCBD" w14:textId="1D76755E" w:rsidR="006A150E" w:rsidRPr="003A3045"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MOEA evaluates the function shown in Equation 3 over a predefined number of iterations known as ‘generations’, along the way identifying combinations of decision variables (here, the hedge </w:t>
      </w:r>
      <w:proofErr w:type="gramStart"/>
      <w:r w:rsidRPr="003A3045">
        <w:rPr>
          <w:rFonts w:ascii="Times New Roman" w:hAnsi="Times New Roman" w:cs="Times New Roman"/>
          <w:sz w:val="24"/>
          <w:szCs w:val="24"/>
        </w:rPr>
        <w:t xml:space="preserve">targets </w:t>
      </w:r>
      <w:proofErr w:type="gramEnd"/>
      <m:oMath>
        <m:r>
          <w:rPr>
            <w:rFonts w:ascii="Cambria Math" w:hAnsi="Cambria Math" w:cs="Times New Roman"/>
            <w:sz w:val="24"/>
            <w:szCs w:val="24"/>
          </w:rPr>
          <m:t>T(t))</m:t>
        </m:r>
      </m:oMath>
      <w:r w:rsidR="00170933">
        <w:rPr>
          <w:rFonts w:ascii="Times New Roman" w:hAnsi="Times New Roman" w:cs="Times New Roman"/>
          <w:sz w:val="24"/>
          <w:szCs w:val="24"/>
        </w:rPr>
        <w:t>,</w:t>
      </w:r>
      <w:r w:rsidR="00CB5027">
        <w:rPr>
          <w:rFonts w:ascii="Times New Roman" w:hAnsi="Times New Roman" w:cs="Times New Roman"/>
          <w:sz w:val="24"/>
          <w:szCs w:val="24"/>
        </w:rPr>
        <w:t xml:space="preserve"> </w:t>
      </w:r>
      <w:r w:rsidRPr="003A3045">
        <w:rPr>
          <w:rFonts w:ascii="Times New Roman" w:hAnsi="Times New Roman" w:cs="Times New Roman"/>
          <w:sz w:val="24"/>
          <w:szCs w:val="24"/>
        </w:rPr>
        <w:t xml:space="preserve">that yield ‘non-dominated’ solutions in terms of two objectives: 1) maximize profits of the wind power producer; and 2) maximize “floor improvement,” or the increase in revenues over the worst performing 10 months during a 5-year period (2015-2019). A non-dominated solution is a set of hedge targets for which no other solution exists with higher values in both objectives. Over many generations, the MOEA gradually builds a population of non-dominated solutions that spans the possible range of both objectives, showing a tradeoff between the two objectives that approximates a Pareto frontier. In this experiment, the function in Equation 3 was evaluated over 75,000 generations for each scenario tested. </w:t>
      </w:r>
    </w:p>
    <w:p w14:paraId="75C60186" w14:textId="407F2352" w:rsidR="00C15721" w:rsidRDefault="001031F3" w:rsidP="00A6092D">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We define the two objectives relative to a scenario in which no hedging occurs. In theory, </w:t>
      </w:r>
      <w:r w:rsidR="00CB5027">
        <w:rPr>
          <w:rFonts w:ascii="Times New Roman" w:hAnsi="Times New Roman" w:cs="Times New Roman"/>
          <w:sz w:val="24"/>
          <w:szCs w:val="24"/>
        </w:rPr>
        <w:t xml:space="preserve">effective </w:t>
      </w:r>
      <w:r w:rsidRPr="003A3045">
        <w:rPr>
          <w:rFonts w:ascii="Times New Roman" w:hAnsi="Times New Roman" w:cs="Times New Roman"/>
          <w:sz w:val="24"/>
          <w:szCs w:val="24"/>
        </w:rPr>
        <w:t xml:space="preserve">hedging via a fixed volume swap should </w:t>
      </w:r>
      <w:r w:rsidR="00CB5027">
        <w:rPr>
          <w:rFonts w:ascii="Times New Roman" w:hAnsi="Times New Roman" w:cs="Times New Roman"/>
          <w:sz w:val="24"/>
          <w:szCs w:val="24"/>
        </w:rPr>
        <w:t>have</w:t>
      </w:r>
      <w:r w:rsidRPr="003A3045">
        <w:rPr>
          <w:rFonts w:ascii="Times New Roman" w:hAnsi="Times New Roman" w:cs="Times New Roman"/>
          <w:sz w:val="24"/>
          <w:szCs w:val="24"/>
        </w:rPr>
        <w:t xml:space="preserve"> </w:t>
      </w:r>
      <w:r w:rsidR="00CB5027">
        <w:rPr>
          <w:rFonts w:ascii="Times New Roman" w:hAnsi="Times New Roman" w:cs="Times New Roman"/>
          <w:sz w:val="24"/>
          <w:szCs w:val="24"/>
        </w:rPr>
        <w:t xml:space="preserve">two main effects for the wind power producer: 1) </w:t>
      </w:r>
      <w:r w:rsidRPr="003A3045">
        <w:rPr>
          <w:rFonts w:ascii="Times New Roman" w:hAnsi="Times New Roman" w:cs="Times New Roman"/>
          <w:sz w:val="24"/>
          <w:szCs w:val="24"/>
        </w:rPr>
        <w:t>reduce total profits (the net exchange with the hedge provider will be negative</w:t>
      </w:r>
      <w:r w:rsidR="00CB5027">
        <w:rPr>
          <w:rFonts w:ascii="Times New Roman" w:hAnsi="Times New Roman" w:cs="Times New Roman"/>
          <w:sz w:val="24"/>
          <w:szCs w:val="24"/>
        </w:rPr>
        <w:t xml:space="preserve">, representing a “premium” paid by the wind developer to incentivize the hedge provider to participate); and 2) </w:t>
      </w:r>
      <w:r w:rsidRPr="003A3045">
        <w:rPr>
          <w:rFonts w:ascii="Times New Roman" w:hAnsi="Times New Roman" w:cs="Times New Roman"/>
          <w:sz w:val="24"/>
          <w:szCs w:val="24"/>
        </w:rPr>
        <w:t>increased revenues during the worst performing months, with the latter benefiting the wind power producer by stabilizing its financial flows. The “strike price” (</w:t>
      </w:r>
      <m:oMath>
        <m:r>
          <w:rPr>
            <w:rFonts w:ascii="Cambria Math" w:hAnsi="Cambria Math" w:cs="Times New Roman"/>
            <w:sz w:val="24"/>
            <w:szCs w:val="24"/>
          </w:rPr>
          <m:t>S</m:t>
        </m:r>
      </m:oMath>
      <w:r w:rsidRPr="003A3045">
        <w:rPr>
          <w:rFonts w:ascii="Times New Roman" w:hAnsi="Times New Roman" w:cs="Times New Roman"/>
          <w:sz w:val="24"/>
          <w:szCs w:val="24"/>
        </w:rPr>
        <w:t xml:space="preserve"> in Equation 3) is kept constant across every scenario tested, and c</w:t>
      </w:r>
      <w:proofErr w:type="spellStart"/>
      <w:r w:rsidRPr="003A3045">
        <w:rPr>
          <w:rFonts w:ascii="Times New Roman" w:hAnsi="Times New Roman" w:cs="Times New Roman"/>
          <w:sz w:val="24"/>
          <w:szCs w:val="24"/>
        </w:rPr>
        <w:t>alculated</w:t>
      </w:r>
      <w:proofErr w:type="spellEnd"/>
      <w:r w:rsidRPr="003A3045">
        <w:rPr>
          <w:rFonts w:ascii="Times New Roman" w:hAnsi="Times New Roman" w:cs="Times New Roman"/>
          <w:sz w:val="24"/>
          <w:szCs w:val="24"/>
        </w:rPr>
        <w:t xml:space="preserve"> assuming a ‘P99’ hedging structure. We assume </w:t>
      </w:r>
      <m:oMath>
        <m:r>
          <w:rPr>
            <w:rFonts w:ascii="Cambria Math" w:hAnsi="Cambria Math" w:cs="Times New Roman"/>
            <w:sz w:val="24"/>
            <w:szCs w:val="24"/>
          </w:rPr>
          <m:t>S</m:t>
        </m:r>
      </m:oMath>
      <w:r w:rsidRPr="003A3045">
        <w:rPr>
          <w:rFonts w:ascii="Times New Roman" w:hAnsi="Times New Roman" w:cs="Times New Roman"/>
          <w:sz w:val="24"/>
          <w:szCs w:val="24"/>
        </w:rPr>
        <w:t xml:space="preserve"> to be the $-per-megawatt ($/MWh) price that results in the contract counterparty making a profit of 10% in its exchange</w:t>
      </w:r>
      <w:r w:rsidR="00CB5027">
        <w:rPr>
          <w:rFonts w:ascii="Times New Roman" w:hAnsi="Times New Roman" w:cs="Times New Roman"/>
          <w:sz w:val="24"/>
          <w:szCs w:val="24"/>
        </w:rPr>
        <w:t xml:space="preserve"> with the wind power producer</w:t>
      </w:r>
      <w:r w:rsidR="00B30709">
        <w:rPr>
          <w:rFonts w:ascii="Times New Roman" w:hAnsi="Times New Roman" w:cs="Times New Roman"/>
          <w:sz w:val="24"/>
          <w:szCs w:val="24"/>
        </w:rPr>
        <w:t xml:space="preserve"> ($22.64/MWh)</w:t>
      </w:r>
      <w:r w:rsidR="00CB5027">
        <w:rPr>
          <w:rFonts w:ascii="Times New Roman" w:hAnsi="Times New Roman" w:cs="Times New Roman"/>
          <w:sz w:val="24"/>
          <w:szCs w:val="24"/>
        </w:rPr>
        <w:t xml:space="preserve">. </w:t>
      </w:r>
      <w:r w:rsidRPr="003A3045">
        <w:rPr>
          <w:rFonts w:ascii="Times New Roman" w:hAnsi="Times New Roman" w:cs="Times New Roman"/>
          <w:sz w:val="24"/>
          <w:szCs w:val="24"/>
        </w:rPr>
        <w:t xml:space="preserve">In order to maintain hedge provider profits at 10%, the simulation </w:t>
      </w:r>
      <w:r w:rsidRPr="003A3045">
        <w:rPr>
          <w:rFonts w:ascii="Times New Roman" w:hAnsi="Times New Roman" w:cs="Times New Roman"/>
          <w:sz w:val="24"/>
          <w:szCs w:val="24"/>
        </w:rPr>
        <w:lastRenderedPageBreak/>
        <w:t xml:space="preserve">model calculates the ratio of hedge provider revenues divided by developer revenues for the 5-year period. We include as a constraint on this value within the MOEA such that it is between 9% and 11%, meaning any solution considered must result in acceptable profits for the hedge provider. Given these two objectives and a constraint guaranteeing profitability for the hedge provider, the MOEA then allows us to analyze a frontier of solutions over which profits for the wind power producer (expressed as % of maximum theoretical profits with no contract in place), as well as “floor improvement” (increase in revenues over the 10 worst performing months) are </w:t>
      </w:r>
      <w:r w:rsidR="00CB5027">
        <w:rPr>
          <w:rFonts w:ascii="Times New Roman" w:hAnsi="Times New Roman" w:cs="Times New Roman"/>
          <w:sz w:val="24"/>
          <w:szCs w:val="24"/>
        </w:rPr>
        <w:t xml:space="preserve">balanced to varying </w:t>
      </w:r>
      <w:r w:rsidRPr="003A3045">
        <w:rPr>
          <w:rFonts w:ascii="Times New Roman" w:hAnsi="Times New Roman" w:cs="Times New Roman"/>
          <w:sz w:val="24"/>
          <w:szCs w:val="24"/>
        </w:rPr>
        <w:t xml:space="preserve">degrees. Accompanying each solution are corresponding values of decision variables (peak and off-peak hedge targets) for each month of the year.  </w:t>
      </w:r>
    </w:p>
    <w:p w14:paraId="41A74795" w14:textId="77777777" w:rsidR="00C15721" w:rsidRPr="003A3045" w:rsidRDefault="00C15721" w:rsidP="00C15721">
      <w:pPr>
        <w:spacing w:after="0" w:line="480" w:lineRule="auto"/>
        <w:ind w:firstLine="720"/>
        <w:jc w:val="both"/>
        <w:rPr>
          <w:rFonts w:ascii="Times New Roman" w:hAnsi="Times New Roman" w:cs="Times New Roman"/>
          <w:sz w:val="24"/>
          <w:szCs w:val="24"/>
        </w:rPr>
      </w:pPr>
    </w:p>
    <w:p w14:paraId="5241F3BF" w14:textId="285925C4" w:rsidR="006A150E" w:rsidRPr="003A3045" w:rsidRDefault="00CB5027" w:rsidP="00CB5027">
      <w:pPr>
        <w:spacing w:before="240" w:after="120" w:line="480" w:lineRule="auto"/>
        <w:jc w:val="both"/>
        <w:rPr>
          <w:rFonts w:ascii="Times New Roman" w:hAnsi="Times New Roman" w:cs="Times New Roman"/>
          <w:color w:val="2E75B5"/>
          <w:sz w:val="24"/>
          <w:szCs w:val="24"/>
        </w:rPr>
      </w:pPr>
      <w:r>
        <w:rPr>
          <w:rFonts w:ascii="Times New Roman" w:hAnsi="Times New Roman" w:cs="Times New Roman"/>
          <w:color w:val="2E75B5"/>
          <w:sz w:val="24"/>
          <w:szCs w:val="24"/>
        </w:rPr>
        <w:t xml:space="preserve">2.2.2. </w:t>
      </w:r>
      <w:r w:rsidR="001031F3" w:rsidRPr="003A3045">
        <w:rPr>
          <w:rFonts w:ascii="Times New Roman" w:hAnsi="Times New Roman" w:cs="Times New Roman"/>
          <w:color w:val="2E75B5"/>
          <w:sz w:val="24"/>
          <w:szCs w:val="24"/>
        </w:rPr>
        <w:t>Reduced Basis Risk (Adding Transmission Capacity)</w:t>
      </w:r>
    </w:p>
    <w:p w14:paraId="4730CFE3" w14:textId="57AAF306" w:rsidR="006A150E" w:rsidRDefault="001031F3">
      <w:pPr>
        <w:spacing w:line="480" w:lineRule="auto"/>
        <w:ind w:firstLine="720"/>
        <w:jc w:val="both"/>
        <w:rPr>
          <w:rFonts w:ascii="Times New Roman" w:hAnsi="Times New Roman" w:cs="Times New Roman"/>
          <w:b/>
          <w:sz w:val="24"/>
          <w:szCs w:val="24"/>
        </w:rPr>
      </w:pPr>
      <w:r w:rsidRPr="003A3045">
        <w:rPr>
          <w:rFonts w:ascii="Times New Roman" w:hAnsi="Times New Roman" w:cs="Times New Roman"/>
          <w:sz w:val="24"/>
          <w:szCs w:val="24"/>
        </w:rPr>
        <w:t xml:space="preserve">We also explore the potential for </w:t>
      </w:r>
      <w:r w:rsidR="00170933">
        <w:rPr>
          <w:rFonts w:ascii="Times New Roman" w:hAnsi="Times New Roman" w:cs="Times New Roman"/>
          <w:sz w:val="24"/>
          <w:szCs w:val="24"/>
        </w:rPr>
        <w:t>reducing</w:t>
      </w:r>
      <w:r w:rsidRPr="003A3045">
        <w:rPr>
          <w:rFonts w:ascii="Times New Roman" w:hAnsi="Times New Roman" w:cs="Times New Roman"/>
          <w:sz w:val="24"/>
          <w:szCs w:val="24"/>
        </w:rPr>
        <w:t xml:space="preserve"> frequency and magnitude of divergence</w:t>
      </w:r>
      <w:r w:rsidR="00170933">
        <w:rPr>
          <w:rFonts w:ascii="Times New Roman" w:hAnsi="Times New Roman" w:cs="Times New Roman"/>
          <w:sz w:val="24"/>
          <w:szCs w:val="24"/>
        </w:rPr>
        <w:t xml:space="preserve">s between nodal and hub prices (i.e. lower “basis risk”) </w:t>
      </w:r>
      <w:r w:rsidRPr="003A3045">
        <w:rPr>
          <w:rFonts w:ascii="Times New Roman" w:hAnsi="Times New Roman" w:cs="Times New Roman"/>
          <w:sz w:val="24"/>
          <w:szCs w:val="24"/>
        </w:rPr>
        <w:t xml:space="preserve">to improve the performance of fixed volume swaps. </w:t>
      </w:r>
      <w:r w:rsidR="00170933">
        <w:rPr>
          <w:rFonts w:ascii="Times New Roman" w:hAnsi="Times New Roman" w:cs="Times New Roman"/>
          <w:sz w:val="24"/>
          <w:szCs w:val="24"/>
        </w:rPr>
        <w:t xml:space="preserve">In the context of our modeling analysis, reducing basis risk can be thought of as a proxy for a real-world decision to add or improve transmission infrastructure. </w:t>
      </w:r>
      <w:r w:rsidRPr="003A3045">
        <w:rPr>
          <w:rFonts w:ascii="Times New Roman" w:hAnsi="Times New Roman" w:cs="Times New Roman"/>
          <w:sz w:val="24"/>
          <w:szCs w:val="24"/>
        </w:rPr>
        <w:t xml:space="preserve">While wind power developers likely have limited control over whether or not new transmission capacity is added at specific locations, a better understanding of the relationship between basis risk and contract performance may aid significantly in the future selection of wind project sites. In order to explore the sensitivity of fixed volume swaps to basis risk, we experimentally control basis risk by gradually altering the bias and standard deviation of errors between nodal and hub prices across several testable </w:t>
      </w:r>
      <w:r w:rsidRPr="00D811FD">
        <w:rPr>
          <w:rFonts w:ascii="Times New Roman" w:hAnsi="Times New Roman" w:cs="Times New Roman"/>
          <w:sz w:val="24"/>
          <w:szCs w:val="24"/>
        </w:rPr>
        <w:t>s</w:t>
      </w:r>
      <w:r w:rsidR="000E24C6">
        <w:rPr>
          <w:rFonts w:ascii="Times New Roman" w:hAnsi="Times New Roman" w:cs="Times New Roman"/>
          <w:sz w:val="24"/>
          <w:szCs w:val="24"/>
        </w:rPr>
        <w:t>cenarios (Table 3</w:t>
      </w:r>
      <w:r w:rsidRPr="00D811FD">
        <w:rPr>
          <w:rFonts w:ascii="Times New Roman" w:hAnsi="Times New Roman" w:cs="Times New Roman"/>
          <w:sz w:val="24"/>
          <w:szCs w:val="24"/>
        </w:rPr>
        <w:t>).</w:t>
      </w:r>
      <w:r w:rsidRPr="003A3045">
        <w:rPr>
          <w:rFonts w:ascii="Times New Roman" w:hAnsi="Times New Roman" w:cs="Times New Roman"/>
          <w:b/>
          <w:sz w:val="24"/>
          <w:szCs w:val="24"/>
        </w:rPr>
        <w:tab/>
      </w:r>
      <w:r w:rsidRPr="003A3045">
        <w:rPr>
          <w:rFonts w:ascii="Times New Roman" w:hAnsi="Times New Roman" w:cs="Times New Roman"/>
          <w:b/>
          <w:sz w:val="24"/>
          <w:szCs w:val="24"/>
        </w:rPr>
        <w:tab/>
      </w:r>
      <w:r w:rsidRPr="003A3045">
        <w:rPr>
          <w:rFonts w:ascii="Times New Roman" w:hAnsi="Times New Roman" w:cs="Times New Roman"/>
          <w:b/>
          <w:sz w:val="24"/>
          <w:szCs w:val="24"/>
        </w:rPr>
        <w:tab/>
      </w:r>
      <w:r w:rsidRPr="003A3045">
        <w:rPr>
          <w:rFonts w:ascii="Times New Roman" w:hAnsi="Times New Roman" w:cs="Times New Roman"/>
          <w:b/>
          <w:sz w:val="24"/>
          <w:szCs w:val="24"/>
        </w:rPr>
        <w:tab/>
      </w:r>
    </w:p>
    <w:p w14:paraId="543A0C7D" w14:textId="51FDF30C" w:rsidR="003B170F" w:rsidRDefault="003B170F">
      <w:pPr>
        <w:spacing w:line="480" w:lineRule="auto"/>
        <w:ind w:firstLine="720"/>
        <w:jc w:val="both"/>
        <w:rPr>
          <w:rFonts w:ascii="Times New Roman" w:hAnsi="Times New Roman" w:cs="Times New Roman"/>
          <w:b/>
          <w:sz w:val="24"/>
          <w:szCs w:val="24"/>
        </w:rPr>
      </w:pPr>
    </w:p>
    <w:p w14:paraId="1661F2D2" w14:textId="77777777" w:rsidR="003B170F" w:rsidRPr="003A3045" w:rsidRDefault="003B170F">
      <w:pPr>
        <w:spacing w:line="480" w:lineRule="auto"/>
        <w:ind w:firstLine="720"/>
        <w:jc w:val="both"/>
        <w:rPr>
          <w:rFonts w:ascii="Times New Roman" w:hAnsi="Times New Roman" w:cs="Times New Roman"/>
          <w:b/>
          <w:sz w:val="24"/>
          <w:szCs w:val="24"/>
        </w:rPr>
      </w:pPr>
    </w:p>
    <w:p w14:paraId="36A407B7" w14:textId="51DFBCBD" w:rsidR="006A150E" w:rsidRPr="00BD2BD9" w:rsidRDefault="001031F3">
      <w:pPr>
        <w:spacing w:line="480" w:lineRule="auto"/>
        <w:ind w:left="3600"/>
        <w:jc w:val="both"/>
        <w:rPr>
          <w:rFonts w:ascii="Times New Roman" w:hAnsi="Times New Roman" w:cs="Times New Roman"/>
          <w:sz w:val="20"/>
          <w:szCs w:val="24"/>
        </w:rPr>
      </w:pPr>
      <w:r w:rsidRPr="00BD2BD9">
        <w:rPr>
          <w:rFonts w:ascii="Times New Roman" w:hAnsi="Times New Roman" w:cs="Times New Roman"/>
          <w:b/>
          <w:sz w:val="20"/>
          <w:szCs w:val="24"/>
        </w:rPr>
        <w:lastRenderedPageBreak/>
        <w:t xml:space="preserve">Table </w:t>
      </w:r>
      <w:r w:rsidR="000E24C6">
        <w:rPr>
          <w:rFonts w:ascii="Times New Roman" w:hAnsi="Times New Roman" w:cs="Times New Roman"/>
          <w:b/>
          <w:sz w:val="20"/>
          <w:szCs w:val="24"/>
        </w:rPr>
        <w:t>3</w:t>
      </w:r>
      <w:r w:rsidRPr="00BD2BD9">
        <w:rPr>
          <w:rFonts w:ascii="Times New Roman" w:hAnsi="Times New Roman" w:cs="Times New Roman"/>
          <w:b/>
          <w:sz w:val="20"/>
          <w:szCs w:val="24"/>
        </w:rPr>
        <w:t xml:space="preserve">: </w:t>
      </w:r>
      <w:r w:rsidR="00BD2BD9">
        <w:rPr>
          <w:rFonts w:ascii="Times New Roman" w:hAnsi="Times New Roman" w:cs="Times New Roman"/>
          <w:sz w:val="20"/>
          <w:szCs w:val="24"/>
        </w:rPr>
        <w:t>Basis risk scenarios explored.</w:t>
      </w:r>
    </w:p>
    <w:tbl>
      <w:tblPr>
        <w:tblStyle w:val="a0"/>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185"/>
        <w:gridCol w:w="4575"/>
      </w:tblGrid>
      <w:tr w:rsidR="006A150E" w:rsidRPr="00170933" w14:paraId="5A08682B" w14:textId="77777777" w:rsidTr="00170933">
        <w:trPr>
          <w:jc w:val="center"/>
        </w:trPr>
        <w:tc>
          <w:tcPr>
            <w:tcW w:w="4185" w:type="dxa"/>
            <w:shd w:val="clear" w:color="auto" w:fill="auto"/>
            <w:tcMar>
              <w:top w:w="100" w:type="dxa"/>
              <w:left w:w="100" w:type="dxa"/>
              <w:bottom w:w="100" w:type="dxa"/>
              <w:right w:w="100" w:type="dxa"/>
            </w:tcMar>
          </w:tcPr>
          <w:p w14:paraId="4DC8BF90" w14:textId="14FFFACB" w:rsidR="006A150E" w:rsidRPr="00170933" w:rsidRDefault="001E34A2">
            <w:pPr>
              <w:widowControl w:val="0"/>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Scenario Name</w:t>
            </w:r>
          </w:p>
        </w:tc>
        <w:tc>
          <w:tcPr>
            <w:tcW w:w="4575" w:type="dxa"/>
            <w:shd w:val="clear" w:color="auto" w:fill="auto"/>
            <w:tcMar>
              <w:top w:w="100" w:type="dxa"/>
              <w:left w:w="100" w:type="dxa"/>
              <w:bottom w:w="100" w:type="dxa"/>
              <w:right w:w="100" w:type="dxa"/>
            </w:tcMar>
          </w:tcPr>
          <w:p w14:paraId="2969C71D" w14:textId="69EC3350" w:rsidR="006A150E" w:rsidRPr="00170933" w:rsidRDefault="001E34A2">
            <w:pPr>
              <w:widowControl w:val="0"/>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Altered Basis Risk</w:t>
            </w:r>
          </w:p>
        </w:tc>
      </w:tr>
      <w:tr w:rsidR="006A150E" w:rsidRPr="00170933" w14:paraId="6B0E0517" w14:textId="77777777" w:rsidTr="00170933">
        <w:trPr>
          <w:jc w:val="center"/>
        </w:trPr>
        <w:tc>
          <w:tcPr>
            <w:tcW w:w="4185" w:type="dxa"/>
            <w:shd w:val="clear" w:color="auto" w:fill="auto"/>
            <w:tcMar>
              <w:top w:w="100" w:type="dxa"/>
              <w:left w:w="100" w:type="dxa"/>
              <w:bottom w:w="100" w:type="dxa"/>
              <w:right w:w="100" w:type="dxa"/>
            </w:tcMar>
          </w:tcPr>
          <w:p w14:paraId="0F912226"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No Basis Risk</w:t>
            </w:r>
          </w:p>
        </w:tc>
        <w:tc>
          <w:tcPr>
            <w:tcW w:w="4575" w:type="dxa"/>
            <w:shd w:val="clear" w:color="auto" w:fill="auto"/>
            <w:tcMar>
              <w:top w:w="100" w:type="dxa"/>
              <w:left w:w="100" w:type="dxa"/>
              <w:bottom w:w="100" w:type="dxa"/>
              <w:right w:w="100" w:type="dxa"/>
            </w:tcMar>
          </w:tcPr>
          <w:p w14:paraId="4DD7CE31" w14:textId="2D9CF936"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rPr>
              <w:t>0</w:t>
            </w:r>
          </w:p>
        </w:tc>
      </w:tr>
      <w:tr w:rsidR="006A150E" w:rsidRPr="00170933" w14:paraId="6F74DAE8" w14:textId="77777777" w:rsidTr="00170933">
        <w:trPr>
          <w:jc w:val="center"/>
        </w:trPr>
        <w:tc>
          <w:tcPr>
            <w:tcW w:w="4185" w:type="dxa"/>
            <w:shd w:val="clear" w:color="auto" w:fill="auto"/>
            <w:tcMar>
              <w:top w:w="100" w:type="dxa"/>
              <w:left w:w="100" w:type="dxa"/>
              <w:bottom w:w="100" w:type="dxa"/>
              <w:right w:w="100" w:type="dxa"/>
            </w:tcMar>
          </w:tcPr>
          <w:p w14:paraId="13E634A6"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10</w:t>
            </w:r>
          </w:p>
        </w:tc>
        <w:tc>
          <w:tcPr>
            <w:tcW w:w="4575" w:type="dxa"/>
            <w:shd w:val="clear" w:color="auto" w:fill="auto"/>
            <w:tcMar>
              <w:top w:w="100" w:type="dxa"/>
              <w:left w:w="100" w:type="dxa"/>
              <w:bottom w:w="100" w:type="dxa"/>
              <w:right w:w="100" w:type="dxa"/>
            </w:tcMar>
          </w:tcPr>
          <w:p w14:paraId="017E905C" w14:textId="15916629" w:rsidR="006A150E" w:rsidRPr="00170933" w:rsidRDefault="00C269E6" w:rsidP="00C269E6">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001031F3"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001031F3"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sidR="001031F3" w:rsidRPr="00170933">
              <w:rPr>
                <w:rFonts w:ascii="Times New Roman" w:hAnsi="Times New Roman" w:cs="Times New Roman"/>
                <w:sz w:val="20"/>
                <w:szCs w:val="24"/>
                <w:highlight w:val="white"/>
              </w:rPr>
              <w:t>*(1-.10))</w:t>
            </w:r>
          </w:p>
        </w:tc>
      </w:tr>
      <w:tr w:rsidR="006A150E" w:rsidRPr="00170933" w14:paraId="57970E0A" w14:textId="77777777" w:rsidTr="00170933">
        <w:trPr>
          <w:jc w:val="center"/>
        </w:trPr>
        <w:tc>
          <w:tcPr>
            <w:tcW w:w="4185" w:type="dxa"/>
            <w:shd w:val="clear" w:color="auto" w:fill="auto"/>
            <w:tcMar>
              <w:top w:w="100" w:type="dxa"/>
              <w:left w:w="100" w:type="dxa"/>
              <w:bottom w:w="100" w:type="dxa"/>
              <w:right w:w="100" w:type="dxa"/>
            </w:tcMar>
          </w:tcPr>
          <w:p w14:paraId="70FEED0B"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20</w:t>
            </w:r>
          </w:p>
        </w:tc>
        <w:tc>
          <w:tcPr>
            <w:tcW w:w="4575" w:type="dxa"/>
            <w:shd w:val="clear" w:color="auto" w:fill="auto"/>
            <w:tcMar>
              <w:top w:w="100" w:type="dxa"/>
              <w:left w:w="100" w:type="dxa"/>
              <w:bottom w:w="100" w:type="dxa"/>
              <w:right w:w="100" w:type="dxa"/>
            </w:tcMar>
          </w:tcPr>
          <w:p w14:paraId="7ED8A0A0" w14:textId="238AD4E3"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*(1-.2</w:t>
            </w:r>
            <w:r w:rsidRPr="00170933">
              <w:rPr>
                <w:rFonts w:ascii="Times New Roman" w:hAnsi="Times New Roman" w:cs="Times New Roman"/>
                <w:sz w:val="20"/>
                <w:szCs w:val="24"/>
                <w:highlight w:val="white"/>
              </w:rPr>
              <w:t>0))</w:t>
            </w:r>
          </w:p>
        </w:tc>
      </w:tr>
      <w:tr w:rsidR="006A150E" w:rsidRPr="00170933" w14:paraId="0D5167E2" w14:textId="77777777" w:rsidTr="00170933">
        <w:trPr>
          <w:jc w:val="center"/>
        </w:trPr>
        <w:tc>
          <w:tcPr>
            <w:tcW w:w="4185" w:type="dxa"/>
            <w:shd w:val="clear" w:color="auto" w:fill="auto"/>
            <w:tcMar>
              <w:top w:w="100" w:type="dxa"/>
              <w:left w:w="100" w:type="dxa"/>
              <w:bottom w:w="100" w:type="dxa"/>
              <w:right w:w="100" w:type="dxa"/>
            </w:tcMar>
          </w:tcPr>
          <w:p w14:paraId="59026F78"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30</w:t>
            </w:r>
          </w:p>
        </w:tc>
        <w:tc>
          <w:tcPr>
            <w:tcW w:w="4575" w:type="dxa"/>
            <w:shd w:val="clear" w:color="auto" w:fill="auto"/>
            <w:tcMar>
              <w:top w:w="100" w:type="dxa"/>
              <w:left w:w="100" w:type="dxa"/>
              <w:bottom w:w="100" w:type="dxa"/>
              <w:right w:w="100" w:type="dxa"/>
            </w:tcMar>
          </w:tcPr>
          <w:p w14:paraId="4D7B46A1" w14:textId="5E8B6A9F"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*(1-.3</w:t>
            </w:r>
            <w:r w:rsidRPr="00170933">
              <w:rPr>
                <w:rFonts w:ascii="Times New Roman" w:hAnsi="Times New Roman" w:cs="Times New Roman"/>
                <w:sz w:val="20"/>
                <w:szCs w:val="24"/>
                <w:highlight w:val="white"/>
              </w:rPr>
              <w:t>0))</w:t>
            </w:r>
          </w:p>
        </w:tc>
      </w:tr>
      <w:tr w:rsidR="006A150E" w:rsidRPr="00170933" w14:paraId="0BB80407" w14:textId="77777777" w:rsidTr="00170933">
        <w:trPr>
          <w:jc w:val="center"/>
        </w:trPr>
        <w:tc>
          <w:tcPr>
            <w:tcW w:w="4185" w:type="dxa"/>
            <w:shd w:val="clear" w:color="auto" w:fill="auto"/>
            <w:tcMar>
              <w:top w:w="100" w:type="dxa"/>
              <w:left w:w="100" w:type="dxa"/>
              <w:bottom w:w="100" w:type="dxa"/>
              <w:right w:w="100" w:type="dxa"/>
            </w:tcMar>
          </w:tcPr>
          <w:p w14:paraId="070AF0F8"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40</w:t>
            </w:r>
          </w:p>
        </w:tc>
        <w:tc>
          <w:tcPr>
            <w:tcW w:w="4575" w:type="dxa"/>
            <w:shd w:val="clear" w:color="auto" w:fill="auto"/>
            <w:tcMar>
              <w:top w:w="100" w:type="dxa"/>
              <w:left w:w="100" w:type="dxa"/>
              <w:bottom w:w="100" w:type="dxa"/>
              <w:right w:w="100" w:type="dxa"/>
            </w:tcMar>
          </w:tcPr>
          <w:p w14:paraId="49CAFF7C" w14:textId="37EDA81A"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*(1-.4</w:t>
            </w:r>
            <w:r w:rsidRPr="00170933">
              <w:rPr>
                <w:rFonts w:ascii="Times New Roman" w:hAnsi="Times New Roman" w:cs="Times New Roman"/>
                <w:sz w:val="20"/>
                <w:szCs w:val="24"/>
                <w:highlight w:val="white"/>
              </w:rPr>
              <w:t>0))</w:t>
            </w:r>
          </w:p>
        </w:tc>
      </w:tr>
      <w:tr w:rsidR="006A150E" w:rsidRPr="00170933" w14:paraId="5EB1F785" w14:textId="77777777" w:rsidTr="00170933">
        <w:trPr>
          <w:jc w:val="center"/>
        </w:trPr>
        <w:tc>
          <w:tcPr>
            <w:tcW w:w="4185" w:type="dxa"/>
            <w:shd w:val="clear" w:color="auto" w:fill="auto"/>
            <w:tcMar>
              <w:top w:w="100" w:type="dxa"/>
              <w:left w:w="100" w:type="dxa"/>
              <w:bottom w:w="100" w:type="dxa"/>
              <w:right w:w="100" w:type="dxa"/>
            </w:tcMar>
          </w:tcPr>
          <w:p w14:paraId="2D7F3B10"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50</w:t>
            </w:r>
          </w:p>
        </w:tc>
        <w:tc>
          <w:tcPr>
            <w:tcW w:w="4575" w:type="dxa"/>
            <w:shd w:val="clear" w:color="auto" w:fill="auto"/>
            <w:tcMar>
              <w:top w:w="100" w:type="dxa"/>
              <w:left w:w="100" w:type="dxa"/>
              <w:bottom w:w="100" w:type="dxa"/>
              <w:right w:w="100" w:type="dxa"/>
            </w:tcMar>
          </w:tcPr>
          <w:p w14:paraId="0509A956" w14:textId="356BFBB3"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*(1-.5</w:t>
            </w:r>
            <w:r w:rsidRPr="00170933">
              <w:rPr>
                <w:rFonts w:ascii="Times New Roman" w:hAnsi="Times New Roman" w:cs="Times New Roman"/>
                <w:sz w:val="20"/>
                <w:szCs w:val="24"/>
                <w:highlight w:val="white"/>
              </w:rPr>
              <w:t>0))</w:t>
            </w:r>
          </w:p>
        </w:tc>
      </w:tr>
      <w:tr w:rsidR="006A150E" w:rsidRPr="00170933" w14:paraId="1C455AEB" w14:textId="77777777" w:rsidTr="00170933">
        <w:trPr>
          <w:jc w:val="center"/>
        </w:trPr>
        <w:tc>
          <w:tcPr>
            <w:tcW w:w="4185" w:type="dxa"/>
            <w:shd w:val="clear" w:color="auto" w:fill="auto"/>
            <w:tcMar>
              <w:top w:w="100" w:type="dxa"/>
              <w:left w:w="100" w:type="dxa"/>
              <w:bottom w:w="100" w:type="dxa"/>
              <w:right w:w="100" w:type="dxa"/>
            </w:tcMar>
          </w:tcPr>
          <w:p w14:paraId="6C719AC1"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60</w:t>
            </w:r>
          </w:p>
        </w:tc>
        <w:tc>
          <w:tcPr>
            <w:tcW w:w="4575" w:type="dxa"/>
            <w:shd w:val="clear" w:color="auto" w:fill="auto"/>
            <w:tcMar>
              <w:top w:w="100" w:type="dxa"/>
              <w:left w:w="100" w:type="dxa"/>
              <w:bottom w:w="100" w:type="dxa"/>
              <w:right w:w="100" w:type="dxa"/>
            </w:tcMar>
          </w:tcPr>
          <w:p w14:paraId="5D4ADE77" w14:textId="4DC7DEB4"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*(1-.6</w:t>
            </w:r>
            <w:r w:rsidRPr="00170933">
              <w:rPr>
                <w:rFonts w:ascii="Times New Roman" w:hAnsi="Times New Roman" w:cs="Times New Roman"/>
                <w:sz w:val="20"/>
                <w:szCs w:val="24"/>
                <w:highlight w:val="white"/>
              </w:rPr>
              <w:t>0))</w:t>
            </w:r>
          </w:p>
        </w:tc>
      </w:tr>
      <w:tr w:rsidR="006A150E" w:rsidRPr="00170933" w14:paraId="051464C5" w14:textId="77777777" w:rsidTr="00170933">
        <w:trPr>
          <w:jc w:val="center"/>
        </w:trPr>
        <w:tc>
          <w:tcPr>
            <w:tcW w:w="4185" w:type="dxa"/>
            <w:shd w:val="clear" w:color="auto" w:fill="auto"/>
            <w:tcMar>
              <w:top w:w="100" w:type="dxa"/>
              <w:left w:w="100" w:type="dxa"/>
              <w:bottom w:w="100" w:type="dxa"/>
              <w:right w:w="100" w:type="dxa"/>
            </w:tcMar>
          </w:tcPr>
          <w:p w14:paraId="2BBD9B20"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70</w:t>
            </w:r>
          </w:p>
        </w:tc>
        <w:tc>
          <w:tcPr>
            <w:tcW w:w="4575" w:type="dxa"/>
            <w:shd w:val="clear" w:color="auto" w:fill="auto"/>
            <w:tcMar>
              <w:top w:w="100" w:type="dxa"/>
              <w:left w:w="100" w:type="dxa"/>
              <w:bottom w:w="100" w:type="dxa"/>
              <w:right w:w="100" w:type="dxa"/>
            </w:tcMar>
          </w:tcPr>
          <w:p w14:paraId="23F4E57B" w14:textId="191FB2CE"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*(1-.7</w:t>
            </w:r>
            <w:r w:rsidRPr="00170933">
              <w:rPr>
                <w:rFonts w:ascii="Times New Roman" w:hAnsi="Times New Roman" w:cs="Times New Roman"/>
                <w:sz w:val="20"/>
                <w:szCs w:val="24"/>
                <w:highlight w:val="white"/>
              </w:rPr>
              <w:t>0))</w:t>
            </w:r>
          </w:p>
        </w:tc>
      </w:tr>
      <w:tr w:rsidR="006A150E" w:rsidRPr="00170933" w14:paraId="4E63830D" w14:textId="77777777" w:rsidTr="00170933">
        <w:trPr>
          <w:jc w:val="center"/>
        </w:trPr>
        <w:tc>
          <w:tcPr>
            <w:tcW w:w="4185" w:type="dxa"/>
            <w:shd w:val="clear" w:color="auto" w:fill="auto"/>
            <w:tcMar>
              <w:top w:w="100" w:type="dxa"/>
              <w:left w:w="100" w:type="dxa"/>
              <w:bottom w:w="100" w:type="dxa"/>
              <w:right w:w="100" w:type="dxa"/>
            </w:tcMar>
          </w:tcPr>
          <w:p w14:paraId="7A6A9F2C"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80</w:t>
            </w:r>
          </w:p>
        </w:tc>
        <w:tc>
          <w:tcPr>
            <w:tcW w:w="4575" w:type="dxa"/>
            <w:shd w:val="clear" w:color="auto" w:fill="auto"/>
            <w:tcMar>
              <w:top w:w="100" w:type="dxa"/>
              <w:left w:w="100" w:type="dxa"/>
              <w:bottom w:w="100" w:type="dxa"/>
              <w:right w:w="100" w:type="dxa"/>
            </w:tcMar>
          </w:tcPr>
          <w:p w14:paraId="6769515E" w14:textId="180870D7"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*(1-.8</w:t>
            </w:r>
            <w:r w:rsidRPr="00170933">
              <w:rPr>
                <w:rFonts w:ascii="Times New Roman" w:hAnsi="Times New Roman" w:cs="Times New Roman"/>
                <w:sz w:val="20"/>
                <w:szCs w:val="24"/>
                <w:highlight w:val="white"/>
              </w:rPr>
              <w:t>0))</w:t>
            </w:r>
          </w:p>
        </w:tc>
      </w:tr>
      <w:tr w:rsidR="006A150E" w:rsidRPr="00170933" w14:paraId="0AB9DB8D" w14:textId="77777777" w:rsidTr="00170933">
        <w:trPr>
          <w:jc w:val="center"/>
        </w:trPr>
        <w:tc>
          <w:tcPr>
            <w:tcW w:w="4185" w:type="dxa"/>
            <w:shd w:val="clear" w:color="auto" w:fill="auto"/>
            <w:tcMar>
              <w:top w:w="100" w:type="dxa"/>
              <w:left w:w="100" w:type="dxa"/>
              <w:bottom w:w="100" w:type="dxa"/>
              <w:right w:w="100" w:type="dxa"/>
            </w:tcMar>
          </w:tcPr>
          <w:p w14:paraId="5AA765E2"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90</w:t>
            </w:r>
          </w:p>
        </w:tc>
        <w:tc>
          <w:tcPr>
            <w:tcW w:w="4575" w:type="dxa"/>
            <w:shd w:val="clear" w:color="auto" w:fill="auto"/>
            <w:tcMar>
              <w:top w:w="100" w:type="dxa"/>
              <w:left w:w="100" w:type="dxa"/>
              <w:bottom w:w="100" w:type="dxa"/>
              <w:right w:w="100" w:type="dxa"/>
            </w:tcMar>
          </w:tcPr>
          <w:p w14:paraId="62FC78F9" w14:textId="1566E57D"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*(1-.9</w:t>
            </w:r>
            <w:r w:rsidRPr="00170933">
              <w:rPr>
                <w:rFonts w:ascii="Times New Roman" w:hAnsi="Times New Roman" w:cs="Times New Roman"/>
                <w:sz w:val="20"/>
                <w:szCs w:val="24"/>
                <w:highlight w:val="white"/>
              </w:rPr>
              <w:t>0))</w:t>
            </w:r>
          </w:p>
        </w:tc>
      </w:tr>
      <w:tr w:rsidR="006A150E" w:rsidRPr="00170933" w14:paraId="37B2FB6B" w14:textId="77777777" w:rsidTr="00170933">
        <w:trPr>
          <w:jc w:val="center"/>
        </w:trPr>
        <w:tc>
          <w:tcPr>
            <w:tcW w:w="4185" w:type="dxa"/>
            <w:shd w:val="clear" w:color="auto" w:fill="auto"/>
            <w:tcMar>
              <w:top w:w="100" w:type="dxa"/>
              <w:left w:w="100" w:type="dxa"/>
              <w:bottom w:w="100" w:type="dxa"/>
              <w:right w:w="100" w:type="dxa"/>
            </w:tcMar>
          </w:tcPr>
          <w:p w14:paraId="172863B4"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w:t>
            </w:r>
          </w:p>
        </w:tc>
        <w:tc>
          <w:tcPr>
            <w:tcW w:w="4575" w:type="dxa"/>
            <w:shd w:val="clear" w:color="auto" w:fill="auto"/>
            <w:tcMar>
              <w:top w:w="100" w:type="dxa"/>
              <w:left w:w="100" w:type="dxa"/>
              <w:bottom w:w="100" w:type="dxa"/>
              <w:right w:w="100" w:type="dxa"/>
            </w:tcMar>
          </w:tcPr>
          <w:p w14:paraId="03859BB4" w14:textId="06F9E53B" w:rsidR="006A150E" w:rsidRPr="00170933" w:rsidRDefault="001E34A2" w:rsidP="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p>
        </w:tc>
      </w:tr>
      <w:tr w:rsidR="006A150E" w:rsidRPr="00170933" w14:paraId="2DA1B5B9" w14:textId="77777777" w:rsidTr="00170933">
        <w:trPr>
          <w:jc w:val="center"/>
        </w:trPr>
        <w:tc>
          <w:tcPr>
            <w:tcW w:w="4185" w:type="dxa"/>
            <w:shd w:val="clear" w:color="auto" w:fill="auto"/>
            <w:tcMar>
              <w:top w:w="100" w:type="dxa"/>
              <w:left w:w="100" w:type="dxa"/>
              <w:bottom w:w="100" w:type="dxa"/>
              <w:right w:w="100" w:type="dxa"/>
            </w:tcMar>
          </w:tcPr>
          <w:p w14:paraId="68640618"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Standard Normal</w:t>
            </w:r>
          </w:p>
        </w:tc>
        <w:tc>
          <w:tcPr>
            <w:tcW w:w="4575" w:type="dxa"/>
            <w:shd w:val="clear" w:color="auto" w:fill="auto"/>
            <w:tcMar>
              <w:top w:w="100" w:type="dxa"/>
              <w:left w:w="100" w:type="dxa"/>
              <w:bottom w:w="100" w:type="dxa"/>
              <w:right w:w="100" w:type="dxa"/>
            </w:tcMar>
          </w:tcPr>
          <w:p w14:paraId="604AB8D5" w14:textId="68CF6584" w:rsidR="006A150E" w:rsidRPr="00170933" w:rsidRDefault="001E34A2" w:rsidP="001E34A2">
            <w:pPr>
              <w:widowControl w:val="0"/>
              <w:spacing w:after="0" w:line="240" w:lineRule="auto"/>
              <w:jc w:val="center"/>
              <w:rPr>
                <w:rFonts w:ascii="Times New Roman" w:hAnsi="Times New Roman" w:cs="Times New Roman"/>
                <w:sz w:val="20"/>
                <w:szCs w:val="24"/>
                <w:highlight w:val="white"/>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Pr>
                <w:rFonts w:ascii="Times New Roman" w:hAnsi="Times New Roman" w:cs="Times New Roman"/>
                <w:sz w:val="20"/>
                <w:szCs w:val="24"/>
                <w:highlight w:val="white"/>
              </w:rPr>
              <w:t>)/</w:t>
            </w:r>
            <m:oMath>
              <m:r>
                <w:rPr>
                  <w:rFonts w:ascii="Cambria Math" w:hAnsi="Cambria Math" w:cs="Times New Roman"/>
                  <w:sz w:val="20"/>
                  <w:szCs w:val="24"/>
                  <w:highlight w:val="white"/>
                </w:rPr>
                <m:t xml:space="preserve"> δ</m:t>
              </m:r>
            </m:oMath>
          </w:p>
        </w:tc>
      </w:tr>
      <w:tr w:rsidR="006A150E" w:rsidRPr="00170933" w14:paraId="68CB7FFF" w14:textId="77777777" w:rsidTr="00170933">
        <w:trPr>
          <w:jc w:val="center"/>
        </w:trPr>
        <w:tc>
          <w:tcPr>
            <w:tcW w:w="4185" w:type="dxa"/>
            <w:shd w:val="clear" w:color="auto" w:fill="auto"/>
            <w:tcMar>
              <w:top w:w="100" w:type="dxa"/>
              <w:left w:w="100" w:type="dxa"/>
              <w:bottom w:w="100" w:type="dxa"/>
              <w:right w:w="100" w:type="dxa"/>
            </w:tcMar>
          </w:tcPr>
          <w:p w14:paraId="2FC534BA" w14:textId="77777777" w:rsidR="006A150E" w:rsidRPr="00170933"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Observed</w:t>
            </w:r>
          </w:p>
        </w:tc>
        <w:tc>
          <w:tcPr>
            <w:tcW w:w="4575" w:type="dxa"/>
            <w:shd w:val="clear" w:color="auto" w:fill="auto"/>
            <w:tcMar>
              <w:top w:w="100" w:type="dxa"/>
              <w:left w:w="100" w:type="dxa"/>
              <w:bottom w:w="100" w:type="dxa"/>
              <w:right w:w="100" w:type="dxa"/>
            </w:tcMar>
          </w:tcPr>
          <w:p w14:paraId="3B849817" w14:textId="77777777" w:rsidR="006A150E" w:rsidRPr="00170933"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Observed Basis Risk</w:t>
            </w:r>
          </w:p>
        </w:tc>
      </w:tr>
    </w:tbl>
    <w:p w14:paraId="522B0FC0" w14:textId="77777777" w:rsidR="00170933" w:rsidRDefault="00170933">
      <w:pPr>
        <w:spacing w:line="480" w:lineRule="auto"/>
        <w:ind w:firstLine="720"/>
        <w:jc w:val="both"/>
        <w:rPr>
          <w:rFonts w:ascii="Times New Roman" w:hAnsi="Times New Roman" w:cs="Times New Roman"/>
          <w:sz w:val="24"/>
          <w:szCs w:val="24"/>
        </w:rPr>
      </w:pPr>
    </w:p>
    <w:p w14:paraId="5A1F1841" w14:textId="77777777" w:rsidR="006A150E" w:rsidRPr="003A3045" w:rsidRDefault="001031F3">
      <w:pPr>
        <w:spacing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Here, we measure basis risk as the hourly difference between hub prices and the prices at a given node, as follows:</w:t>
      </w:r>
    </w:p>
    <w:p w14:paraId="75F25538" w14:textId="77777777" w:rsidR="006A150E" w:rsidRPr="003A3045" w:rsidRDefault="001031F3" w:rsidP="00BD2BD9">
      <w:pPr>
        <w:spacing w:before="240" w:after="0" w:line="240" w:lineRule="auto"/>
        <w:ind w:firstLine="720"/>
        <w:jc w:val="both"/>
        <w:rPr>
          <w:rFonts w:ascii="Times New Roman" w:hAnsi="Times New Roman" w:cs="Times New Roman"/>
          <w:sz w:val="24"/>
          <w:szCs w:val="24"/>
        </w:rPr>
      </w:pPr>
      <m:oMath>
        <m:r>
          <w:rPr>
            <w:rFonts w:ascii="Cambria Math" w:hAnsi="Cambria Math" w:cs="Times New Roman"/>
            <w:sz w:val="24"/>
            <w:szCs w:val="24"/>
          </w:rPr>
          <m:t xml:space="preserve">B = HP - NP </m:t>
        </m:r>
      </m:oMath>
      <w:r w:rsidRPr="003A3045">
        <w:rPr>
          <w:rFonts w:ascii="Times New Roman" w:hAnsi="Times New Roman" w:cs="Times New Roman"/>
          <w:sz w:val="24"/>
          <w:szCs w:val="24"/>
        </w:rPr>
        <w:t xml:space="preserve"> </w:t>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t>(Equation 4)</w:t>
      </w:r>
    </w:p>
    <w:p w14:paraId="6CBC3CDA" w14:textId="77777777" w:rsidR="006A150E" w:rsidRPr="003A3045" w:rsidRDefault="001031F3" w:rsidP="00BD2BD9">
      <w:pPr>
        <w:spacing w:before="240" w:after="0" w:line="240" w:lineRule="auto"/>
        <w:ind w:firstLine="720"/>
        <w:jc w:val="both"/>
        <w:rPr>
          <w:rFonts w:ascii="Times New Roman" w:hAnsi="Times New Roman" w:cs="Times New Roman"/>
          <w:sz w:val="24"/>
          <w:szCs w:val="24"/>
        </w:rPr>
      </w:pPr>
      <w:proofErr w:type="gramStart"/>
      <w:r w:rsidRPr="003A3045">
        <w:rPr>
          <w:rFonts w:ascii="Times New Roman" w:hAnsi="Times New Roman" w:cs="Times New Roman"/>
          <w:sz w:val="24"/>
          <w:szCs w:val="24"/>
        </w:rPr>
        <w:t>where</w:t>
      </w:r>
      <w:proofErr w:type="gramEnd"/>
      <w:r w:rsidRPr="003A3045">
        <w:rPr>
          <w:rFonts w:ascii="Times New Roman" w:hAnsi="Times New Roman" w:cs="Times New Roman"/>
          <w:sz w:val="24"/>
          <w:szCs w:val="24"/>
        </w:rPr>
        <w:t>,</w:t>
      </w:r>
    </w:p>
    <w:p w14:paraId="6724F99F" w14:textId="77777777" w:rsidR="00BD2BD9" w:rsidRDefault="001031F3" w:rsidP="00BD2BD9">
      <w:pPr>
        <w:spacing w:before="240" w:after="0" w:line="240" w:lineRule="auto"/>
        <w:ind w:firstLine="720"/>
        <w:jc w:val="both"/>
        <w:rPr>
          <w:rFonts w:ascii="Times New Roman" w:hAnsi="Times New Roman" w:cs="Times New Roman"/>
          <w:sz w:val="24"/>
          <w:szCs w:val="24"/>
        </w:rPr>
      </w:pPr>
      <m:oMath>
        <m:r>
          <w:rPr>
            <w:rFonts w:ascii="Cambria Math" w:hAnsi="Cambria Math" w:cs="Times New Roman"/>
            <w:sz w:val="24"/>
            <w:szCs w:val="24"/>
          </w:rPr>
          <m:t>B = vector of observed hub and nodal price differences</m:t>
        </m:r>
      </m:oMath>
      <w:r w:rsidRPr="003A3045">
        <w:rPr>
          <w:rFonts w:ascii="Times New Roman" w:hAnsi="Times New Roman" w:cs="Times New Roman"/>
          <w:sz w:val="24"/>
          <w:szCs w:val="24"/>
        </w:rPr>
        <w:t xml:space="preserve"> </w:t>
      </w:r>
    </w:p>
    <w:p w14:paraId="5C8E686C" w14:textId="11A44CDA" w:rsidR="006A150E" w:rsidRPr="00BD2BD9" w:rsidRDefault="001031F3" w:rsidP="00BD2BD9">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HP = vector of observed hub prices</m:t>
          </m:r>
        </m:oMath>
      </m:oMathPara>
    </w:p>
    <w:p w14:paraId="5E48E993" w14:textId="77777777" w:rsidR="006A150E" w:rsidRPr="00BD2BD9" w:rsidRDefault="001031F3" w:rsidP="00BD2BD9">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NP = vector of observed nodal prices</m:t>
          </m:r>
        </m:oMath>
      </m:oMathPara>
    </w:p>
    <w:p w14:paraId="79688F73" w14:textId="77777777" w:rsidR="00BD2BD9" w:rsidRDefault="00BD2BD9">
      <w:pPr>
        <w:spacing w:before="240" w:after="0" w:line="480" w:lineRule="auto"/>
        <w:ind w:firstLine="720"/>
        <w:jc w:val="both"/>
        <w:rPr>
          <w:rFonts w:ascii="Times New Roman" w:hAnsi="Times New Roman" w:cs="Times New Roman"/>
          <w:sz w:val="24"/>
          <w:szCs w:val="24"/>
        </w:rPr>
      </w:pPr>
    </w:p>
    <w:p w14:paraId="2E358D49" w14:textId="2C5C799E" w:rsidR="006A150E" w:rsidRPr="003A3045"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Keeping hub prices constant, we can then systematically alter basis risk several ways, including reducing mean bias (Equation 5) and standard deviation (Equation 6).</w:t>
      </w:r>
    </w:p>
    <w:p w14:paraId="5779FE0A" w14:textId="525DFE1C" w:rsidR="006A150E" w:rsidRPr="003A3045" w:rsidRDefault="003B170F">
      <w:pPr>
        <w:spacing w:before="240" w:after="0" w:line="480" w:lineRule="auto"/>
        <w:ind w:firstLine="720"/>
        <w:jc w:val="both"/>
        <w:rPr>
          <w:rFonts w:ascii="Times New Roman" w:hAnsi="Times New Roman" w:cs="Times New Roman"/>
          <w:sz w:val="24"/>
          <w:szCs w:val="24"/>
        </w:rPr>
      </w:pPr>
      <m:oMath>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=B- μ</m:t>
        </m:r>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(Equation 5)</w:t>
      </w:r>
    </w:p>
    <w:p w14:paraId="3E17C929" w14:textId="77777777" w:rsidR="00BD2BD9" w:rsidRDefault="001031F3" w:rsidP="00C269E6">
      <w:pPr>
        <w:spacing w:before="240" w:after="0" w:line="240" w:lineRule="auto"/>
        <w:ind w:firstLine="720"/>
        <w:jc w:val="both"/>
        <w:rPr>
          <w:rFonts w:ascii="Times New Roman" w:hAnsi="Times New Roman" w:cs="Times New Roman"/>
          <w:sz w:val="24"/>
          <w:szCs w:val="24"/>
        </w:rPr>
      </w:pPr>
      <w:proofErr w:type="gramStart"/>
      <w:r w:rsidRPr="003A3045">
        <w:rPr>
          <w:rFonts w:ascii="Times New Roman" w:hAnsi="Times New Roman" w:cs="Times New Roman"/>
          <w:sz w:val="24"/>
          <w:szCs w:val="24"/>
        </w:rPr>
        <w:t>where</w:t>
      </w:r>
      <w:proofErr w:type="gramEnd"/>
      <w:r w:rsidRPr="003A3045">
        <w:rPr>
          <w:rFonts w:ascii="Times New Roman" w:hAnsi="Times New Roman" w:cs="Times New Roman"/>
          <w:sz w:val="24"/>
          <w:szCs w:val="24"/>
        </w:rPr>
        <w:t>,</w:t>
      </w:r>
    </w:p>
    <w:p w14:paraId="5138BDDF" w14:textId="6B628867" w:rsidR="006A150E" w:rsidRPr="00BD2BD9" w:rsidRDefault="003B170F"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=vector of altered hub and nodal price differences</m:t>
          </m:r>
        </m:oMath>
      </m:oMathPara>
    </w:p>
    <w:p w14:paraId="08D8EE27" w14:textId="0C33596D" w:rsidR="006A150E" w:rsidRPr="00BD2BD9" w:rsidRDefault="00424102"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μ = mean of observed hub and nodal price differences</m:t>
          </m:r>
        </m:oMath>
      </m:oMathPara>
    </w:p>
    <w:p w14:paraId="0535155B" w14:textId="77777777" w:rsidR="006A150E" w:rsidRPr="003A3045" w:rsidRDefault="006A150E" w:rsidP="00C269E6">
      <w:pPr>
        <w:spacing w:before="240" w:after="0" w:line="240" w:lineRule="auto"/>
        <w:ind w:firstLine="720"/>
        <w:jc w:val="both"/>
        <w:rPr>
          <w:rFonts w:ascii="Times New Roman" w:hAnsi="Times New Roman" w:cs="Times New Roman"/>
          <w:sz w:val="24"/>
          <w:szCs w:val="24"/>
        </w:rPr>
      </w:pPr>
    </w:p>
    <w:p w14:paraId="6080E699" w14:textId="2100D4AA" w:rsidR="006A150E" w:rsidRDefault="003B170F" w:rsidP="00C269E6">
      <w:pPr>
        <w:spacing w:before="240" w:after="0" w:line="240" w:lineRule="auto"/>
        <w:ind w:firstLine="720"/>
        <w:jc w:val="both"/>
        <w:rPr>
          <w:rFonts w:ascii="Times New Roman" w:hAnsi="Times New Roman" w:cs="Times New Roman"/>
          <w:sz w:val="24"/>
          <w:szCs w:val="24"/>
        </w:rPr>
      </w:pPr>
      <m:oMath>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(B-μ)</m:t>
            </m:r>
          </m:num>
          <m:den>
            <m:r>
              <w:rPr>
                <w:rFonts w:ascii="Cambria Math" w:hAnsi="Cambria Math" w:cs="Times New Roman"/>
                <w:sz w:val="24"/>
                <w:szCs w:val="24"/>
              </w:rPr>
              <m:t>(1-a) * δ</m:t>
            </m:r>
          </m:den>
        </m:f>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(Equation 6)</w:t>
      </w:r>
    </w:p>
    <w:p w14:paraId="37EB3FEC" w14:textId="77777777" w:rsidR="00C269E6" w:rsidRPr="003A3045" w:rsidRDefault="00C269E6" w:rsidP="00C269E6">
      <w:pPr>
        <w:spacing w:before="240" w:after="0" w:line="240" w:lineRule="auto"/>
        <w:ind w:firstLine="720"/>
        <w:jc w:val="both"/>
        <w:rPr>
          <w:rFonts w:ascii="Times New Roman" w:hAnsi="Times New Roman" w:cs="Times New Roman"/>
          <w:sz w:val="24"/>
          <w:szCs w:val="24"/>
        </w:rPr>
      </w:pPr>
    </w:p>
    <w:p w14:paraId="0A8D422E" w14:textId="77777777" w:rsidR="00C269E6" w:rsidRDefault="001031F3" w:rsidP="00C269E6">
      <w:pPr>
        <w:spacing w:before="240" w:after="0" w:line="240" w:lineRule="auto"/>
        <w:ind w:firstLine="720"/>
        <w:jc w:val="both"/>
        <w:rPr>
          <w:rFonts w:ascii="Times New Roman" w:hAnsi="Times New Roman" w:cs="Times New Roman"/>
          <w:sz w:val="24"/>
          <w:szCs w:val="24"/>
        </w:rPr>
      </w:pPr>
      <w:proofErr w:type="gramStart"/>
      <w:r w:rsidRPr="003A3045">
        <w:rPr>
          <w:rFonts w:ascii="Times New Roman" w:hAnsi="Times New Roman" w:cs="Times New Roman"/>
          <w:sz w:val="24"/>
          <w:szCs w:val="24"/>
        </w:rPr>
        <w:t>where</w:t>
      </w:r>
      <w:proofErr w:type="gramEnd"/>
      <w:r w:rsidRPr="003A3045">
        <w:rPr>
          <w:rFonts w:ascii="Times New Roman" w:hAnsi="Times New Roman" w:cs="Times New Roman"/>
          <w:sz w:val="24"/>
          <w:szCs w:val="24"/>
        </w:rPr>
        <w:t xml:space="preserve"> </w:t>
      </w:r>
    </w:p>
    <w:p w14:paraId="53E49126" w14:textId="76CF5217" w:rsidR="006A150E" w:rsidRPr="00C269E6" w:rsidRDefault="001031F3"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a=fraction ranging from 0.9 to 0</m:t>
          </m:r>
        </m:oMath>
      </m:oMathPara>
    </w:p>
    <w:p w14:paraId="02A14B74" w14:textId="77777777" w:rsidR="006A150E" w:rsidRPr="00C269E6" w:rsidRDefault="001031F3"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δ=standard deviation of observed hub and nodal price differences</m:t>
          </m:r>
        </m:oMath>
      </m:oMathPara>
    </w:p>
    <w:p w14:paraId="00D86328" w14:textId="77777777" w:rsidR="006A150E" w:rsidRPr="003A3045" w:rsidRDefault="006A150E">
      <w:pPr>
        <w:spacing w:before="240" w:after="0" w:line="480" w:lineRule="auto"/>
        <w:ind w:firstLine="720"/>
        <w:jc w:val="both"/>
        <w:rPr>
          <w:rFonts w:ascii="Times New Roman" w:hAnsi="Times New Roman" w:cs="Times New Roman"/>
          <w:sz w:val="24"/>
          <w:szCs w:val="24"/>
        </w:rPr>
      </w:pPr>
    </w:p>
    <w:p w14:paraId="0860A9FD" w14:textId="75A01D85" w:rsidR="006A150E" w:rsidRPr="003A3045"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By gradually decreasing the value of </w:t>
      </w:r>
      <m:oMath>
        <m:r>
          <w:rPr>
            <w:rFonts w:ascii="Cambria Math" w:hAnsi="Cambria Math" w:cs="Times New Roman"/>
            <w:sz w:val="24"/>
            <w:szCs w:val="24"/>
          </w:rPr>
          <m:t>a</m:t>
        </m:r>
      </m:oMath>
      <w:r w:rsidRPr="003A3045">
        <w:rPr>
          <w:rFonts w:ascii="Times New Roman" w:hAnsi="Times New Roman" w:cs="Times New Roman"/>
          <w:sz w:val="24"/>
          <w:szCs w:val="24"/>
        </w:rPr>
        <w:t xml:space="preserve"> from 0.9 to 0, we can suppress the magnitude of positive and negative differences between nodal and hub prices until they approximate a standard normal distribution. We also explore a scenario in which basis risk is completely eliminated (</w:t>
      </w:r>
      <m:oMath>
        <m:acc>
          <m:accPr>
            <m:ctrlPr>
              <w:rPr>
                <w:rFonts w:ascii="Cambria Math" w:hAnsi="Cambria Math" w:cs="Times New Roman"/>
                <w:sz w:val="24"/>
                <w:szCs w:val="24"/>
              </w:rPr>
            </m:ctrlPr>
          </m:accPr>
          <m:e>
            <m:r>
              <w:rPr>
                <w:rFonts w:ascii="Cambria Math" w:hAnsi="Cambria Math" w:cs="Times New Roman"/>
                <w:sz w:val="24"/>
                <w:szCs w:val="24"/>
              </w:rPr>
              <m:t>B</m:t>
            </m:r>
          </m:e>
        </m:acc>
      </m:oMath>
      <w:r w:rsidRPr="003A3045">
        <w:rPr>
          <w:rFonts w:ascii="Times New Roman" w:hAnsi="Times New Roman" w:cs="Times New Roman"/>
          <w:sz w:val="24"/>
          <w:szCs w:val="24"/>
        </w:rPr>
        <w:t xml:space="preserve"> = 0). Nodal prices are then altered by back-calculating with the new values </w:t>
      </w:r>
      <w:proofErr w:type="gramStart"/>
      <w:r w:rsidRPr="003A3045">
        <w:rPr>
          <w:rFonts w:ascii="Times New Roman" w:hAnsi="Times New Roman" w:cs="Times New Roman"/>
          <w:sz w:val="24"/>
          <w:szCs w:val="24"/>
        </w:rPr>
        <w:t xml:space="preserve">of </w:t>
      </w:r>
      <w:proofErr w:type="gramEnd"/>
      <m:oMath>
        <m:acc>
          <m:accPr>
            <m:ctrlPr>
              <w:rPr>
                <w:rFonts w:ascii="Cambria Math" w:hAnsi="Cambria Math" w:cs="Times New Roman"/>
                <w:sz w:val="24"/>
                <w:szCs w:val="24"/>
              </w:rPr>
            </m:ctrlPr>
          </m:accPr>
          <m:e>
            <m:r>
              <w:rPr>
                <w:rFonts w:ascii="Cambria Math" w:hAnsi="Cambria Math" w:cs="Times New Roman"/>
                <w:sz w:val="24"/>
                <w:szCs w:val="24"/>
              </w:rPr>
              <m:t>B</m:t>
            </m:r>
          </m:e>
        </m:acc>
      </m:oMath>
      <w:r w:rsidRPr="003A3045">
        <w:rPr>
          <w:rFonts w:ascii="Times New Roman" w:hAnsi="Times New Roman" w:cs="Times New Roman"/>
          <w:sz w:val="24"/>
          <w:szCs w:val="24"/>
        </w:rPr>
        <w:t>:</w:t>
      </w:r>
    </w:p>
    <w:p w14:paraId="7F65F8B6" w14:textId="77777777" w:rsidR="006A150E" w:rsidRPr="003A3045" w:rsidRDefault="003B170F">
      <w:pPr>
        <w:spacing w:before="240" w:after="0" w:line="480" w:lineRule="auto"/>
        <w:ind w:firstLine="720"/>
        <w:jc w:val="both"/>
        <w:rPr>
          <w:rFonts w:ascii="Times New Roman" w:hAnsi="Times New Roman" w:cs="Times New Roman"/>
          <w:sz w:val="24"/>
          <w:szCs w:val="24"/>
        </w:rPr>
      </w:pPr>
      <m:oMath>
        <m:acc>
          <m:accPr>
            <m:ctrlPr>
              <w:rPr>
                <w:rFonts w:ascii="Cambria Math" w:hAnsi="Cambria Math" w:cs="Times New Roman"/>
                <w:sz w:val="24"/>
                <w:szCs w:val="24"/>
              </w:rPr>
            </m:ctrlPr>
          </m:accPr>
          <m:e>
            <m:r>
              <w:rPr>
                <w:rFonts w:ascii="Cambria Math" w:hAnsi="Cambria Math" w:cs="Times New Roman"/>
                <w:sz w:val="24"/>
                <w:szCs w:val="24"/>
              </w:rPr>
              <m:t>NP</m:t>
            </m:r>
          </m:e>
        </m:acc>
        <m:r>
          <w:rPr>
            <w:rFonts w:ascii="Cambria Math" w:hAnsi="Cambria Math" w:cs="Times New Roman"/>
            <w:sz w:val="24"/>
            <w:szCs w:val="24"/>
          </w:rPr>
          <m:t xml:space="preserve">= HP - </m:t>
        </m:r>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(Eq</w:t>
      </w:r>
      <w:proofErr w:type="spellStart"/>
      <w:r w:rsidR="001031F3" w:rsidRPr="003A3045">
        <w:rPr>
          <w:rFonts w:ascii="Times New Roman" w:hAnsi="Times New Roman" w:cs="Times New Roman"/>
          <w:sz w:val="24"/>
          <w:szCs w:val="24"/>
        </w:rPr>
        <w:t>uation</w:t>
      </w:r>
      <w:proofErr w:type="spellEnd"/>
      <w:r w:rsidR="001031F3" w:rsidRPr="003A3045">
        <w:rPr>
          <w:rFonts w:ascii="Times New Roman" w:hAnsi="Times New Roman" w:cs="Times New Roman"/>
          <w:sz w:val="24"/>
          <w:szCs w:val="24"/>
        </w:rPr>
        <w:t xml:space="preserve"> 7)</w:t>
      </w:r>
    </w:p>
    <w:p w14:paraId="060358D6" w14:textId="77777777" w:rsidR="006A150E" w:rsidRPr="003A3045" w:rsidRDefault="001031F3">
      <w:pPr>
        <w:spacing w:before="240" w:after="0" w:line="480" w:lineRule="auto"/>
        <w:ind w:firstLine="720"/>
        <w:jc w:val="both"/>
        <w:rPr>
          <w:rFonts w:ascii="Times New Roman" w:hAnsi="Times New Roman" w:cs="Times New Roman"/>
          <w:sz w:val="24"/>
          <w:szCs w:val="24"/>
        </w:rPr>
      </w:pPr>
      <w:proofErr w:type="gramStart"/>
      <w:r w:rsidRPr="003A3045">
        <w:rPr>
          <w:rFonts w:ascii="Times New Roman" w:hAnsi="Times New Roman" w:cs="Times New Roman"/>
          <w:sz w:val="24"/>
          <w:szCs w:val="24"/>
        </w:rPr>
        <w:t>where</w:t>
      </w:r>
      <w:proofErr w:type="gramEnd"/>
      <w:r w:rsidRPr="003A3045">
        <w:rPr>
          <w:rFonts w:ascii="Times New Roman" w:hAnsi="Times New Roman" w:cs="Times New Roman"/>
          <w:sz w:val="24"/>
          <w:szCs w:val="24"/>
        </w:rPr>
        <w:t>,</w:t>
      </w:r>
    </w:p>
    <w:p w14:paraId="4973B307" w14:textId="77777777" w:rsidR="006A150E" w:rsidRPr="00C269E6" w:rsidRDefault="003B170F" w:rsidP="00C269E6">
      <w:pPr>
        <w:spacing w:before="240" w:after="0" w:line="480" w:lineRule="auto"/>
        <w:ind w:left="720" w:firstLine="720"/>
        <w:jc w:val="both"/>
        <w:rPr>
          <w:rFonts w:ascii="Times New Roman" w:hAnsi="Times New Roman" w:cs="Times New Roman"/>
          <w:sz w:val="24"/>
          <w:szCs w:val="24"/>
        </w:rPr>
      </w:pPr>
      <m:oMathPara>
        <m:oMathParaPr>
          <m:jc m:val="left"/>
        </m:oMathParaPr>
        <m:oMath>
          <m:acc>
            <m:accPr>
              <m:ctrlPr>
                <w:rPr>
                  <w:rFonts w:ascii="Cambria Math" w:hAnsi="Cambria Math" w:cs="Times New Roman"/>
                  <w:sz w:val="24"/>
                  <w:szCs w:val="24"/>
                </w:rPr>
              </m:ctrlPr>
            </m:accPr>
            <m:e>
              <m:r>
                <w:rPr>
                  <w:rFonts w:ascii="Cambria Math" w:hAnsi="Cambria Math" w:cs="Times New Roman"/>
                  <w:sz w:val="24"/>
                  <w:szCs w:val="24"/>
                </w:rPr>
                <m:t>NP</m:t>
              </m:r>
            </m:e>
          </m:acc>
          <m:r>
            <w:rPr>
              <w:rFonts w:ascii="Cambria Math" w:hAnsi="Cambria Math" w:cs="Times New Roman"/>
              <w:sz w:val="24"/>
              <w:szCs w:val="24"/>
            </w:rPr>
            <m:t>=vector of altered nodal prices</m:t>
          </m:r>
        </m:oMath>
      </m:oMathPara>
    </w:p>
    <w:p w14:paraId="76A7F09A" w14:textId="77777777" w:rsidR="006A150E" w:rsidRPr="003A3045" w:rsidRDefault="006A150E">
      <w:pPr>
        <w:spacing w:before="240" w:after="0" w:line="480" w:lineRule="auto"/>
        <w:ind w:firstLine="720"/>
        <w:jc w:val="both"/>
        <w:rPr>
          <w:rFonts w:ascii="Times New Roman" w:hAnsi="Times New Roman" w:cs="Times New Roman"/>
          <w:sz w:val="24"/>
          <w:szCs w:val="24"/>
        </w:rPr>
      </w:pPr>
    </w:p>
    <w:p w14:paraId="48E626AE" w14:textId="4B6FCE74" w:rsidR="007D51A3" w:rsidRDefault="001E34A2" w:rsidP="007D51A3">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Table 2 lists the 13</w:t>
      </w:r>
      <w:r w:rsidR="001031F3" w:rsidRPr="003A3045">
        <w:rPr>
          <w:rFonts w:ascii="Times New Roman" w:hAnsi="Times New Roman" w:cs="Times New Roman"/>
          <w:sz w:val="24"/>
          <w:szCs w:val="24"/>
        </w:rPr>
        <w:t xml:space="preserve"> basis risk scenarios tested. For scenarios in which the standard deviation of price differences is altered, the corresponding values of </w:t>
      </w:r>
      <m:oMath>
        <m:r>
          <w:rPr>
            <w:rFonts w:ascii="Cambria Math" w:hAnsi="Cambria Math" w:cs="Times New Roman"/>
            <w:sz w:val="24"/>
            <w:szCs w:val="24"/>
          </w:rPr>
          <m:t>a</m:t>
        </m:r>
      </m:oMath>
      <w:r w:rsidR="001031F3" w:rsidRPr="003A3045">
        <w:rPr>
          <w:rFonts w:ascii="Times New Roman" w:hAnsi="Times New Roman" w:cs="Times New Roman"/>
          <w:sz w:val="24"/>
          <w:szCs w:val="24"/>
        </w:rPr>
        <w:t xml:space="preserve"> are shown. For example, under the “standard normal” scenario, the mean difference between nodal and hub prices is equal to zero and the standard </w:t>
      </w:r>
      <w:r w:rsidR="001031F3" w:rsidRPr="003A3045">
        <w:rPr>
          <w:rFonts w:ascii="Times New Roman" w:hAnsi="Times New Roman" w:cs="Times New Roman"/>
          <w:sz w:val="24"/>
          <w:szCs w:val="24"/>
        </w:rPr>
        <w:lastRenderedPageBreak/>
        <w:t>deviation is 1 (</w:t>
      </w:r>
      <m:oMath>
        <m:r>
          <w:rPr>
            <w:rFonts w:ascii="Cambria Math" w:hAnsi="Cambria Math" w:cs="Times New Roman"/>
            <w:sz w:val="24"/>
            <w:szCs w:val="24"/>
          </w:rPr>
          <m:t>a</m:t>
        </m:r>
      </m:oMath>
      <w:r w:rsidR="001031F3" w:rsidRPr="003A3045">
        <w:rPr>
          <w:rFonts w:ascii="Times New Roman" w:hAnsi="Times New Roman" w:cs="Times New Roman"/>
          <w:sz w:val="24"/>
          <w:szCs w:val="24"/>
        </w:rPr>
        <w:t xml:space="preserve"> = 0). In the “Mean Zero 10” scenario</w:t>
      </w:r>
      <w:r>
        <w:rPr>
          <w:rFonts w:ascii="Times New Roman" w:hAnsi="Times New Roman" w:cs="Times New Roman"/>
          <w:sz w:val="24"/>
          <w:szCs w:val="24"/>
        </w:rPr>
        <w:t xml:space="preserve"> (</w:t>
      </w:r>
      <m:oMath>
        <m:r>
          <w:rPr>
            <w:rFonts w:ascii="Cambria Math" w:hAnsi="Cambria Math" w:cs="Times New Roman"/>
            <w:sz w:val="24"/>
            <w:szCs w:val="24"/>
          </w:rPr>
          <m:t>a</m:t>
        </m:r>
      </m:oMath>
      <w:r w:rsidRPr="003A3045">
        <w:rPr>
          <w:rFonts w:ascii="Times New Roman" w:hAnsi="Times New Roman" w:cs="Times New Roman"/>
          <w:sz w:val="24"/>
          <w:szCs w:val="24"/>
        </w:rPr>
        <w:t xml:space="preserve"> = 0</w:t>
      </w:r>
      <w:r>
        <w:rPr>
          <w:rFonts w:ascii="Times New Roman" w:hAnsi="Times New Roman" w:cs="Times New Roman"/>
          <w:sz w:val="24"/>
          <w:szCs w:val="24"/>
        </w:rPr>
        <w:t>.10)</w:t>
      </w:r>
      <w:r w:rsidR="001031F3" w:rsidRPr="003A3045">
        <w:rPr>
          <w:rFonts w:ascii="Times New Roman" w:hAnsi="Times New Roman" w:cs="Times New Roman"/>
          <w:sz w:val="24"/>
          <w:szCs w:val="24"/>
        </w:rPr>
        <w:t>, the mean of the differences between nodal and hub prices is zero and the standard deviation is only 10% of observed basis risk. In the “Mean Zero 90” scenario</w:t>
      </w:r>
      <w:r>
        <w:rPr>
          <w:rFonts w:ascii="Times New Roman" w:hAnsi="Times New Roman" w:cs="Times New Roman"/>
          <w:sz w:val="24"/>
          <w:szCs w:val="24"/>
        </w:rPr>
        <w:t xml:space="preserve"> (</w:t>
      </w:r>
      <m:oMath>
        <m:r>
          <w:rPr>
            <w:rFonts w:ascii="Cambria Math" w:hAnsi="Cambria Math" w:cs="Times New Roman"/>
            <w:sz w:val="24"/>
            <w:szCs w:val="24"/>
          </w:rPr>
          <m:t>a</m:t>
        </m:r>
      </m:oMath>
      <w:r w:rsidRPr="003A3045">
        <w:rPr>
          <w:rFonts w:ascii="Times New Roman" w:hAnsi="Times New Roman" w:cs="Times New Roman"/>
          <w:sz w:val="24"/>
          <w:szCs w:val="24"/>
        </w:rPr>
        <w:t xml:space="preserve"> = 0</w:t>
      </w:r>
      <w:r>
        <w:rPr>
          <w:rFonts w:ascii="Times New Roman" w:hAnsi="Times New Roman" w:cs="Times New Roman"/>
          <w:sz w:val="24"/>
          <w:szCs w:val="24"/>
        </w:rPr>
        <w:t>.90)</w:t>
      </w:r>
      <w:r w:rsidR="001031F3" w:rsidRPr="003A3045">
        <w:rPr>
          <w:rFonts w:ascii="Times New Roman" w:hAnsi="Times New Roman" w:cs="Times New Roman"/>
          <w:sz w:val="24"/>
          <w:szCs w:val="24"/>
        </w:rPr>
        <w:t>, the mean is again zero and the standard deviation is 90% of observed basis risk (i.e. close to historical conditions). We test each basis risk scenario over the same 5-year period (2015-2019), keeping the same strike price (</w:t>
      </w:r>
      <m:oMath>
        <m:r>
          <w:rPr>
            <w:rFonts w:ascii="Cambria Math" w:hAnsi="Cambria Math" w:cs="Times New Roman"/>
            <w:sz w:val="24"/>
            <w:szCs w:val="24"/>
          </w:rPr>
          <m:t>S</m:t>
        </m:r>
      </m:oMath>
      <w:r w:rsidR="00B30709">
        <w:rPr>
          <w:rFonts w:ascii="Times New Roman" w:hAnsi="Times New Roman" w:cs="Times New Roman"/>
          <w:sz w:val="24"/>
          <w:szCs w:val="24"/>
        </w:rPr>
        <w:t xml:space="preserve"> = $22.64/MWh</w:t>
      </w:r>
      <w:r w:rsidR="001031F3" w:rsidRPr="003A3045">
        <w:rPr>
          <w:rFonts w:ascii="Times New Roman" w:hAnsi="Times New Roman" w:cs="Times New Roman"/>
          <w:sz w:val="24"/>
          <w:szCs w:val="24"/>
        </w:rPr>
        <w:t>) and constraints on the dual-objective problem (namely, that the hedge provider must make between 9-11% in profit).</w:t>
      </w:r>
    </w:p>
    <w:p w14:paraId="257DAA03" w14:textId="62873830" w:rsidR="00666581" w:rsidRPr="007D51A3" w:rsidRDefault="00666581" w:rsidP="005823D8">
      <w:pPr>
        <w:spacing w:after="0" w:line="480" w:lineRule="auto"/>
        <w:jc w:val="both"/>
        <w:rPr>
          <w:rFonts w:ascii="Times New Roman" w:hAnsi="Times New Roman" w:cs="Times New Roman"/>
          <w:sz w:val="24"/>
          <w:szCs w:val="24"/>
        </w:rPr>
      </w:pPr>
    </w:p>
    <w:p w14:paraId="287A2077" w14:textId="10A361CC" w:rsidR="006A150E" w:rsidRPr="00492FBB" w:rsidRDefault="001031F3" w:rsidP="00492FBB">
      <w:pPr>
        <w:pStyle w:val="Heading1"/>
        <w:numPr>
          <w:ilvl w:val="0"/>
          <w:numId w:val="4"/>
        </w:numPr>
        <w:rPr>
          <w:rFonts w:ascii="Times New Roman" w:hAnsi="Times New Roman" w:cs="Times New Roman"/>
          <w:szCs w:val="24"/>
        </w:rPr>
      </w:pPr>
      <w:bookmarkStart w:id="12" w:name="_r0izgc5ni5n" w:colFirst="0" w:colLast="0"/>
      <w:bookmarkEnd w:id="12"/>
      <w:r w:rsidRPr="001E34A2">
        <w:rPr>
          <w:rFonts w:ascii="Times New Roman" w:hAnsi="Times New Roman" w:cs="Times New Roman"/>
          <w:szCs w:val="24"/>
        </w:rPr>
        <w:t>Results and Discussion</w:t>
      </w:r>
    </w:p>
    <w:p w14:paraId="17AA65E9" w14:textId="77777777" w:rsidR="00492FBB" w:rsidRDefault="00492FBB" w:rsidP="00492FBB">
      <w:pPr>
        <w:spacing w:after="0" w:line="480" w:lineRule="auto"/>
        <w:ind w:firstLine="720"/>
        <w:jc w:val="both"/>
        <w:rPr>
          <w:rFonts w:ascii="Times New Roman" w:hAnsi="Times New Roman" w:cs="Times New Roman"/>
          <w:sz w:val="24"/>
          <w:szCs w:val="24"/>
        </w:rPr>
      </w:pPr>
    </w:p>
    <w:p w14:paraId="521FF4D3" w14:textId="34C28231" w:rsidR="006A150E" w:rsidRDefault="001031F3" w:rsidP="00492FBB">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Our discussion of results is organized as follows. First, </w:t>
      </w:r>
      <w:r w:rsidR="002D0CC8">
        <w:rPr>
          <w:rFonts w:ascii="Times New Roman" w:hAnsi="Times New Roman" w:cs="Times New Roman"/>
          <w:sz w:val="24"/>
          <w:szCs w:val="24"/>
        </w:rPr>
        <w:t>we</w:t>
      </w:r>
      <w:r w:rsidR="002D0CC8" w:rsidRPr="003A3045">
        <w:rPr>
          <w:rFonts w:ascii="Times New Roman" w:hAnsi="Times New Roman" w:cs="Times New Roman"/>
          <w:sz w:val="24"/>
          <w:szCs w:val="24"/>
        </w:rPr>
        <w:t xml:space="preserve"> compare the performance of a traditional P99 fixed volume swap to alternative contract designs identified, and discuss how w</w:t>
      </w:r>
      <w:r w:rsidR="002D0CC8">
        <w:rPr>
          <w:rFonts w:ascii="Times New Roman" w:hAnsi="Times New Roman" w:cs="Times New Roman"/>
          <w:sz w:val="24"/>
          <w:szCs w:val="24"/>
        </w:rPr>
        <w:t xml:space="preserve">ind power production targets could be </w:t>
      </w:r>
      <w:r w:rsidR="002D0CC8" w:rsidRPr="003A3045">
        <w:rPr>
          <w:rFonts w:ascii="Times New Roman" w:hAnsi="Times New Roman" w:cs="Times New Roman"/>
          <w:sz w:val="24"/>
          <w:szCs w:val="24"/>
        </w:rPr>
        <w:t xml:space="preserve">adjusted to improve outcomes for the wind power producer. </w:t>
      </w:r>
      <w:r w:rsidR="002D0CC8">
        <w:rPr>
          <w:rFonts w:ascii="Times New Roman" w:hAnsi="Times New Roman" w:cs="Times New Roman"/>
          <w:sz w:val="24"/>
          <w:szCs w:val="24"/>
        </w:rPr>
        <w:t xml:space="preserve">Then </w:t>
      </w:r>
      <w:r w:rsidRPr="003A3045">
        <w:rPr>
          <w:rFonts w:ascii="Times New Roman" w:hAnsi="Times New Roman" w:cs="Times New Roman"/>
          <w:sz w:val="24"/>
          <w:szCs w:val="24"/>
        </w:rPr>
        <w:t xml:space="preserve">we examine the approximate Pareto frontiers identified by NSGA-II and explore how tradeoffs between the wind developer’s dual competing objectives </w:t>
      </w:r>
      <w:r w:rsidR="00492FBB">
        <w:rPr>
          <w:rFonts w:ascii="Times New Roman" w:hAnsi="Times New Roman" w:cs="Times New Roman"/>
          <w:sz w:val="24"/>
          <w:szCs w:val="24"/>
        </w:rPr>
        <w:t xml:space="preserve">(maximizing average profits and “floor” improvement) </w:t>
      </w:r>
      <w:r w:rsidRPr="003A3045">
        <w:rPr>
          <w:rFonts w:ascii="Times New Roman" w:hAnsi="Times New Roman" w:cs="Times New Roman"/>
          <w:sz w:val="24"/>
          <w:szCs w:val="24"/>
        </w:rPr>
        <w:t xml:space="preserve">changes </w:t>
      </w:r>
      <w:r w:rsidR="004670B0">
        <w:rPr>
          <w:rFonts w:ascii="Times New Roman" w:hAnsi="Times New Roman" w:cs="Times New Roman"/>
          <w:sz w:val="24"/>
          <w:szCs w:val="24"/>
        </w:rPr>
        <w:t>across the 10 nodes considered</w:t>
      </w:r>
      <w:r w:rsidRPr="003A3045">
        <w:rPr>
          <w:rFonts w:ascii="Times New Roman" w:hAnsi="Times New Roman" w:cs="Times New Roman"/>
          <w:sz w:val="24"/>
          <w:szCs w:val="24"/>
        </w:rPr>
        <w:t xml:space="preserve"> in the SPP system</w:t>
      </w:r>
      <w:r w:rsidR="00492FBB">
        <w:rPr>
          <w:rFonts w:ascii="Times New Roman" w:hAnsi="Times New Roman" w:cs="Times New Roman"/>
          <w:sz w:val="24"/>
          <w:szCs w:val="24"/>
        </w:rPr>
        <w:t>,</w:t>
      </w:r>
      <w:r w:rsidRPr="003A3045">
        <w:rPr>
          <w:rFonts w:ascii="Times New Roman" w:hAnsi="Times New Roman" w:cs="Times New Roman"/>
          <w:sz w:val="24"/>
          <w:szCs w:val="24"/>
        </w:rPr>
        <w:t xml:space="preserve"> and as a function of basis risk. </w:t>
      </w:r>
    </w:p>
    <w:p w14:paraId="250962F3" w14:textId="77777777" w:rsidR="002D0CC8" w:rsidRDefault="002D0CC8" w:rsidP="00492FBB">
      <w:pPr>
        <w:spacing w:after="0" w:line="480" w:lineRule="auto"/>
        <w:ind w:firstLine="720"/>
        <w:jc w:val="both"/>
        <w:rPr>
          <w:rFonts w:ascii="Times New Roman" w:hAnsi="Times New Roman" w:cs="Times New Roman"/>
          <w:sz w:val="24"/>
          <w:szCs w:val="24"/>
        </w:rPr>
      </w:pPr>
    </w:p>
    <w:p w14:paraId="68E6CA14" w14:textId="78FA48A9" w:rsidR="002D0CC8" w:rsidRPr="002D0CC8" w:rsidRDefault="002D0CC8" w:rsidP="002D0CC8">
      <w:pPr>
        <w:spacing w:after="0" w:line="48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Alternative Contract Designs</w:t>
      </w:r>
    </w:p>
    <w:p w14:paraId="15E5D148" w14:textId="26303AD5" w:rsidR="00CB3B35" w:rsidRDefault="001031F3" w:rsidP="00CB3B35">
      <w:pPr>
        <w:spacing w:after="0" w:line="480" w:lineRule="auto"/>
        <w:ind w:firstLine="720"/>
        <w:jc w:val="both"/>
        <w:rPr>
          <w:rFonts w:ascii="Times New Roman" w:hAnsi="Times New Roman" w:cs="Times New Roman"/>
          <w:sz w:val="24"/>
          <w:szCs w:val="24"/>
        </w:rPr>
      </w:pPr>
      <w:r w:rsidRPr="00D811FD">
        <w:rPr>
          <w:rFonts w:ascii="Times New Roman" w:hAnsi="Times New Roman" w:cs="Times New Roman"/>
          <w:sz w:val="24"/>
          <w:szCs w:val="24"/>
        </w:rPr>
        <w:t>Figure 7a</w:t>
      </w:r>
      <w:r w:rsidR="006632F0">
        <w:rPr>
          <w:rFonts w:ascii="Times New Roman" w:hAnsi="Times New Roman" w:cs="Times New Roman"/>
          <w:sz w:val="24"/>
          <w:szCs w:val="24"/>
        </w:rPr>
        <w:t xml:space="preserve"> shows the performance of non-dominated solutions </w:t>
      </w:r>
      <w:r w:rsidRPr="003A3045">
        <w:rPr>
          <w:rFonts w:ascii="Times New Roman" w:hAnsi="Times New Roman" w:cs="Times New Roman"/>
          <w:sz w:val="24"/>
          <w:szCs w:val="24"/>
        </w:rPr>
        <w:t xml:space="preserve">identified for each of the 10 SPP nodes under observed (historical) levels of basis risk. </w:t>
      </w:r>
      <w:r w:rsidR="006632F0">
        <w:rPr>
          <w:rFonts w:ascii="Times New Roman" w:hAnsi="Times New Roman" w:cs="Times New Roman"/>
          <w:sz w:val="24"/>
          <w:szCs w:val="24"/>
        </w:rPr>
        <w:t>Each point represents a single alternative hedge design</w:t>
      </w:r>
      <w:r w:rsidR="00B30709">
        <w:rPr>
          <w:rFonts w:ascii="Times New Roman" w:hAnsi="Times New Roman" w:cs="Times New Roman"/>
          <w:sz w:val="24"/>
          <w:szCs w:val="24"/>
        </w:rPr>
        <w:t xml:space="preserve"> (i.e. a distinct set of 24 hourly </w:t>
      </w:r>
      <w:r w:rsidR="00A6092D">
        <w:rPr>
          <w:rFonts w:ascii="Times New Roman" w:hAnsi="Times New Roman" w:cs="Times New Roman"/>
          <w:sz w:val="24"/>
          <w:szCs w:val="24"/>
        </w:rPr>
        <w:t>wind power production</w:t>
      </w:r>
      <w:r w:rsidR="00B30709">
        <w:rPr>
          <w:rFonts w:ascii="Times New Roman" w:hAnsi="Times New Roman" w:cs="Times New Roman"/>
          <w:sz w:val="24"/>
          <w:szCs w:val="24"/>
        </w:rPr>
        <w:t xml:space="preserve"> targets, 2 </w:t>
      </w:r>
      <w:r w:rsidR="00A6092D">
        <w:rPr>
          <w:rFonts w:ascii="Times New Roman" w:hAnsi="Times New Roman" w:cs="Times New Roman"/>
          <w:sz w:val="24"/>
          <w:szCs w:val="24"/>
        </w:rPr>
        <w:t xml:space="preserve">(1 peak and 1 off peak) </w:t>
      </w:r>
      <w:r w:rsidR="00B30709">
        <w:rPr>
          <w:rFonts w:ascii="Times New Roman" w:hAnsi="Times New Roman" w:cs="Times New Roman"/>
          <w:sz w:val="24"/>
          <w:szCs w:val="24"/>
        </w:rPr>
        <w:t xml:space="preserve">for each </w:t>
      </w:r>
      <w:r w:rsidR="00A6092D">
        <w:rPr>
          <w:rFonts w:ascii="Times New Roman" w:hAnsi="Times New Roman" w:cs="Times New Roman"/>
          <w:sz w:val="24"/>
          <w:szCs w:val="24"/>
        </w:rPr>
        <w:t xml:space="preserve">calendar </w:t>
      </w:r>
      <w:r w:rsidR="00B30709">
        <w:rPr>
          <w:rFonts w:ascii="Times New Roman" w:hAnsi="Times New Roman" w:cs="Times New Roman"/>
          <w:sz w:val="24"/>
          <w:szCs w:val="24"/>
        </w:rPr>
        <w:t>month</w:t>
      </w:r>
      <w:r w:rsidR="00A6092D">
        <w:rPr>
          <w:rFonts w:ascii="Times New Roman" w:hAnsi="Times New Roman" w:cs="Times New Roman"/>
          <w:sz w:val="24"/>
          <w:szCs w:val="24"/>
        </w:rPr>
        <w:t>))</w:t>
      </w:r>
      <w:r w:rsidR="006632F0">
        <w:rPr>
          <w:rFonts w:ascii="Times New Roman" w:hAnsi="Times New Roman" w:cs="Times New Roman"/>
          <w:sz w:val="24"/>
          <w:szCs w:val="24"/>
        </w:rPr>
        <w:t xml:space="preserve">. </w:t>
      </w:r>
      <w:r w:rsidR="007B7932">
        <w:rPr>
          <w:rFonts w:ascii="Times New Roman" w:hAnsi="Times New Roman" w:cs="Times New Roman"/>
          <w:sz w:val="24"/>
          <w:szCs w:val="24"/>
        </w:rPr>
        <w:t>The</w:t>
      </w:r>
      <w:r w:rsidRPr="003A3045">
        <w:rPr>
          <w:rFonts w:ascii="Times New Roman" w:hAnsi="Times New Roman" w:cs="Times New Roman"/>
          <w:sz w:val="24"/>
          <w:szCs w:val="24"/>
        </w:rPr>
        <w:t xml:space="preserve"> ideal point for a wind power producer would be the upper right corner (i.e., x = 1, indicating total revenues equal to the theoretical maximum </w:t>
      </w:r>
      <w:r w:rsidR="006632F0">
        <w:rPr>
          <w:rFonts w:ascii="Times New Roman" w:hAnsi="Times New Roman" w:cs="Times New Roman"/>
          <w:sz w:val="24"/>
          <w:szCs w:val="24"/>
        </w:rPr>
        <w:t>(</w:t>
      </w:r>
      <w:r w:rsidR="00A6092D">
        <w:rPr>
          <w:rFonts w:ascii="Times New Roman" w:hAnsi="Times New Roman" w:cs="Times New Roman"/>
          <w:sz w:val="24"/>
          <w:szCs w:val="24"/>
        </w:rPr>
        <w:t xml:space="preserve">revenues </w:t>
      </w:r>
      <w:r w:rsidRPr="003A3045">
        <w:rPr>
          <w:rFonts w:ascii="Times New Roman" w:hAnsi="Times New Roman" w:cs="Times New Roman"/>
          <w:sz w:val="24"/>
          <w:szCs w:val="24"/>
        </w:rPr>
        <w:t>with no hedge in place</w:t>
      </w:r>
      <w:r w:rsidR="006632F0">
        <w:rPr>
          <w:rFonts w:ascii="Times New Roman" w:hAnsi="Times New Roman" w:cs="Times New Roman"/>
          <w:sz w:val="24"/>
          <w:szCs w:val="24"/>
        </w:rPr>
        <w:t>)</w:t>
      </w:r>
      <w:r w:rsidRPr="003A3045">
        <w:rPr>
          <w:rFonts w:ascii="Times New Roman" w:hAnsi="Times New Roman" w:cs="Times New Roman"/>
          <w:sz w:val="24"/>
          <w:szCs w:val="24"/>
        </w:rPr>
        <w:t>; and maximized improvement in</w:t>
      </w:r>
      <w:r w:rsidR="006632F0">
        <w:rPr>
          <w:rFonts w:ascii="Times New Roman" w:hAnsi="Times New Roman" w:cs="Times New Roman"/>
          <w:sz w:val="24"/>
          <w:szCs w:val="24"/>
        </w:rPr>
        <w:t xml:space="preserve"> the 10 worst-performing months (y-axis)</w:t>
      </w:r>
      <w:r w:rsidRPr="003A3045">
        <w:rPr>
          <w:rFonts w:ascii="Times New Roman" w:hAnsi="Times New Roman" w:cs="Times New Roman"/>
          <w:sz w:val="24"/>
          <w:szCs w:val="24"/>
        </w:rPr>
        <w:t>.</w:t>
      </w:r>
      <w:r w:rsidR="006632F0">
        <w:rPr>
          <w:rFonts w:ascii="Times New Roman" w:hAnsi="Times New Roman" w:cs="Times New Roman"/>
          <w:sz w:val="24"/>
          <w:szCs w:val="24"/>
        </w:rPr>
        <w:t xml:space="preserve"> The fact that no solution is able to achieve this mean</w:t>
      </w:r>
      <w:r w:rsidR="00A6092D">
        <w:rPr>
          <w:rFonts w:ascii="Times New Roman" w:hAnsi="Times New Roman" w:cs="Times New Roman"/>
          <w:sz w:val="24"/>
          <w:szCs w:val="24"/>
        </w:rPr>
        <w:t>s</w:t>
      </w:r>
      <w:r w:rsidR="006632F0">
        <w:rPr>
          <w:rFonts w:ascii="Times New Roman" w:hAnsi="Times New Roman" w:cs="Times New Roman"/>
          <w:sz w:val="24"/>
          <w:szCs w:val="24"/>
        </w:rPr>
        <w:t xml:space="preserve"> that, in examining their preferred hedge contract design, wind developers will need </w:t>
      </w:r>
      <w:r w:rsidR="006632F0">
        <w:rPr>
          <w:rFonts w:ascii="Times New Roman" w:hAnsi="Times New Roman" w:cs="Times New Roman"/>
          <w:sz w:val="24"/>
          <w:szCs w:val="24"/>
        </w:rPr>
        <w:lastRenderedPageBreak/>
        <w:t>to balance their desire for increased revenues during the worst-performing months against total rev</w:t>
      </w:r>
      <w:r w:rsidR="007B7932">
        <w:rPr>
          <w:rFonts w:ascii="Times New Roman" w:hAnsi="Times New Roman" w:cs="Times New Roman"/>
          <w:sz w:val="24"/>
          <w:szCs w:val="24"/>
        </w:rPr>
        <w:t xml:space="preserve">enues. </w:t>
      </w:r>
      <w:r w:rsidR="007B7932" w:rsidRPr="003A3045">
        <w:rPr>
          <w:rFonts w:ascii="Times New Roman" w:hAnsi="Times New Roman" w:cs="Times New Roman"/>
          <w:sz w:val="24"/>
          <w:szCs w:val="24"/>
        </w:rPr>
        <w:t xml:space="preserve">Note that there is considerable variation in the position and range of the tradeoff curves identified across nodes. For example, results for the node ‘WFEC_MOORELAND_2’ show that a maximum improvement of nearly $700,000 is possible for </w:t>
      </w:r>
      <w:r w:rsidR="00025016">
        <w:rPr>
          <w:rFonts w:ascii="Times New Roman" w:hAnsi="Times New Roman" w:cs="Times New Roman"/>
          <w:sz w:val="24"/>
          <w:szCs w:val="24"/>
        </w:rPr>
        <w:t xml:space="preserve">the 10 worst performing months, </w:t>
      </w:r>
      <w:r w:rsidR="007B7932" w:rsidRPr="003A3045">
        <w:rPr>
          <w:rFonts w:ascii="Times New Roman" w:hAnsi="Times New Roman" w:cs="Times New Roman"/>
          <w:sz w:val="24"/>
          <w:szCs w:val="24"/>
        </w:rPr>
        <w:t>though</w:t>
      </w:r>
      <w:r w:rsidR="00025016">
        <w:rPr>
          <w:rFonts w:ascii="Times New Roman" w:hAnsi="Times New Roman" w:cs="Times New Roman"/>
          <w:sz w:val="24"/>
          <w:szCs w:val="24"/>
        </w:rPr>
        <w:t xml:space="preserve"> the contract design that achieves this would cause a </w:t>
      </w:r>
      <w:r w:rsidR="007B7932" w:rsidRPr="003A3045">
        <w:rPr>
          <w:rFonts w:ascii="Times New Roman" w:hAnsi="Times New Roman" w:cs="Times New Roman"/>
          <w:sz w:val="24"/>
          <w:szCs w:val="24"/>
        </w:rPr>
        <w:t xml:space="preserve">roughly 1.75% loss in total </w:t>
      </w:r>
      <w:r w:rsidR="00025016">
        <w:rPr>
          <w:rFonts w:ascii="Times New Roman" w:hAnsi="Times New Roman" w:cs="Times New Roman"/>
          <w:sz w:val="24"/>
          <w:szCs w:val="24"/>
        </w:rPr>
        <w:t>profits over the 5-year period, relative to the theoretical maximum (no hedge) (see</w:t>
      </w:r>
      <w:r w:rsidR="00D811FD">
        <w:rPr>
          <w:rFonts w:ascii="Times New Roman" w:hAnsi="Times New Roman" w:cs="Times New Roman"/>
          <w:sz w:val="24"/>
          <w:szCs w:val="24"/>
        </w:rPr>
        <w:t xml:space="preserve"> black star</w:t>
      </w:r>
      <w:r w:rsidR="00025016">
        <w:rPr>
          <w:rFonts w:ascii="Times New Roman" w:hAnsi="Times New Roman" w:cs="Times New Roman"/>
          <w:sz w:val="24"/>
          <w:szCs w:val="24"/>
        </w:rPr>
        <w:t xml:space="preserve"> in Figure </w:t>
      </w:r>
      <w:r w:rsidR="00025016" w:rsidRPr="00D811FD">
        <w:rPr>
          <w:rFonts w:ascii="Times New Roman" w:hAnsi="Times New Roman" w:cs="Times New Roman"/>
          <w:sz w:val="24"/>
          <w:szCs w:val="24"/>
        </w:rPr>
        <w:t>7A</w:t>
      </w:r>
      <w:r w:rsidR="00025016">
        <w:rPr>
          <w:rFonts w:ascii="Times New Roman" w:hAnsi="Times New Roman" w:cs="Times New Roman"/>
          <w:sz w:val="24"/>
          <w:szCs w:val="24"/>
        </w:rPr>
        <w:t xml:space="preserve">). </w:t>
      </w:r>
      <w:r w:rsidR="00CB3B35">
        <w:rPr>
          <w:rFonts w:ascii="Times New Roman" w:hAnsi="Times New Roman" w:cs="Times New Roman"/>
          <w:sz w:val="24"/>
          <w:szCs w:val="24"/>
        </w:rPr>
        <w:t>Comparing contract performance frontiers shown in Figure 7a, we find that n</w:t>
      </w:r>
      <w:r w:rsidR="00CB3B35" w:rsidRPr="003A3045">
        <w:rPr>
          <w:rFonts w:ascii="Times New Roman" w:hAnsi="Times New Roman" w:cs="Times New Roman"/>
          <w:sz w:val="24"/>
          <w:szCs w:val="24"/>
        </w:rPr>
        <w:t>odal sites with the poorest floor improvement (e.g. ‘OKGEIODINE4LD2,’ ‘OKGESPIRITWIND,’ ‘OKGEWDWRD1LD2</w:t>
      </w:r>
      <w:r w:rsidR="00CB3B35">
        <w:rPr>
          <w:rFonts w:ascii="Times New Roman" w:hAnsi="Times New Roman" w:cs="Times New Roman"/>
          <w:sz w:val="24"/>
          <w:szCs w:val="24"/>
        </w:rPr>
        <w:t>’) are generally</w:t>
      </w:r>
      <w:r w:rsidR="00CB3B35" w:rsidRPr="003A3045">
        <w:rPr>
          <w:rFonts w:ascii="Times New Roman" w:hAnsi="Times New Roman" w:cs="Times New Roman"/>
          <w:sz w:val="24"/>
          <w:szCs w:val="24"/>
        </w:rPr>
        <w:t xml:space="preserve"> the </w:t>
      </w:r>
      <w:r w:rsidR="00CB3B35">
        <w:rPr>
          <w:rFonts w:ascii="Times New Roman" w:hAnsi="Times New Roman" w:cs="Times New Roman"/>
          <w:sz w:val="24"/>
          <w:szCs w:val="24"/>
        </w:rPr>
        <w:t>locations</w:t>
      </w:r>
      <w:r w:rsidR="00CB3B35" w:rsidRPr="003A3045">
        <w:rPr>
          <w:rFonts w:ascii="Times New Roman" w:hAnsi="Times New Roman" w:cs="Times New Roman"/>
          <w:sz w:val="24"/>
          <w:szCs w:val="24"/>
        </w:rPr>
        <w:t xml:space="preserve"> that have the lowest prices relative to t</w:t>
      </w:r>
      <w:r w:rsidR="00CB3B35">
        <w:rPr>
          <w:rFonts w:ascii="Times New Roman" w:hAnsi="Times New Roman" w:cs="Times New Roman"/>
          <w:sz w:val="24"/>
          <w:szCs w:val="24"/>
        </w:rPr>
        <w:t xml:space="preserve">he hub in our study time frame. The nodes </w:t>
      </w:r>
      <w:commentRangeStart w:id="13"/>
      <w:proofErr w:type="gramStart"/>
      <w:r w:rsidR="00CB3B35">
        <w:rPr>
          <w:rFonts w:ascii="Times New Roman" w:hAnsi="Times New Roman" w:cs="Times New Roman"/>
          <w:sz w:val="24"/>
          <w:szCs w:val="24"/>
        </w:rPr>
        <w:t>‘ ‘</w:t>
      </w:r>
      <w:proofErr w:type="gramEnd"/>
      <w:r w:rsidR="00CB3B35">
        <w:rPr>
          <w:rFonts w:ascii="Times New Roman" w:hAnsi="Times New Roman" w:cs="Times New Roman"/>
          <w:sz w:val="24"/>
          <w:szCs w:val="24"/>
        </w:rPr>
        <w:t xml:space="preserve"> and ‘ ‘ </w:t>
      </w:r>
      <w:commentRangeEnd w:id="13"/>
      <w:r w:rsidR="00CB3B35">
        <w:rPr>
          <w:rStyle w:val="CommentReference"/>
        </w:rPr>
        <w:commentReference w:id="13"/>
      </w:r>
      <w:r w:rsidR="00CB3B35">
        <w:rPr>
          <w:rFonts w:ascii="Times New Roman" w:hAnsi="Times New Roman" w:cs="Times New Roman"/>
          <w:sz w:val="24"/>
          <w:szCs w:val="24"/>
        </w:rPr>
        <w:t>also exhibit relatively low correlations with hub prices (see Figure 4). These nodal price conditions disrupt the ability of the hedging contracts to improve performances during low revenue months due to basis risk.</w:t>
      </w:r>
    </w:p>
    <w:p w14:paraId="09978C16" w14:textId="77777777" w:rsidR="00CB3B35" w:rsidRDefault="00CB3B35" w:rsidP="007B7932">
      <w:pPr>
        <w:spacing w:after="0" w:line="480" w:lineRule="auto"/>
        <w:ind w:firstLine="720"/>
        <w:jc w:val="both"/>
        <w:rPr>
          <w:rFonts w:ascii="Times New Roman" w:hAnsi="Times New Roman" w:cs="Times New Roman"/>
          <w:sz w:val="24"/>
          <w:szCs w:val="24"/>
        </w:rPr>
      </w:pPr>
    </w:p>
    <w:p w14:paraId="35B5F864" w14:textId="450FF91F" w:rsidR="006A150E" w:rsidRPr="003A3045" w:rsidRDefault="003B170F" w:rsidP="003B170F">
      <w:pPr>
        <w:spacing w:before="240" w:after="240" w:line="240" w:lineRule="auto"/>
        <w:ind w:firstLine="720"/>
        <w:rPr>
          <w:rFonts w:ascii="Times New Roman" w:hAnsi="Times New Roman" w:cs="Times New Roman"/>
          <w:sz w:val="24"/>
          <w:szCs w:val="24"/>
        </w:rPr>
      </w:pPr>
      <w:r w:rsidRPr="003B170F">
        <w:rPr>
          <w:rFonts w:ascii="Times New Roman" w:hAnsi="Times New Roman" w:cs="Times New Roman"/>
          <w:sz w:val="24"/>
          <w:szCs w:val="24"/>
        </w:rPr>
        <w:lastRenderedPageBreak/>
        <w:drawing>
          <wp:inline distT="0" distB="0" distL="0" distR="0" wp14:anchorId="10D4E232" wp14:editId="1B676B48">
            <wp:extent cx="5722620" cy="469455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3"/>
                    <a:srcRect l="2657" r="6643"/>
                    <a:stretch/>
                  </pic:blipFill>
                  <pic:spPr bwMode="auto">
                    <a:xfrm>
                      <a:off x="0" y="0"/>
                      <a:ext cx="5722620" cy="4694555"/>
                    </a:xfrm>
                    <a:prstGeom prst="rect">
                      <a:avLst/>
                    </a:prstGeom>
                    <a:ln>
                      <a:noFill/>
                    </a:ln>
                    <a:extLst>
                      <a:ext uri="{53640926-AAD7-44D8-BBD7-CCE9431645EC}">
                        <a14:shadowObscured xmlns:a14="http://schemas.microsoft.com/office/drawing/2010/main"/>
                      </a:ext>
                    </a:extLst>
                  </pic:spPr>
                </pic:pic>
              </a:graphicData>
            </a:graphic>
          </wp:inline>
        </w:drawing>
      </w:r>
    </w:p>
    <w:p w14:paraId="2106DCC9" w14:textId="4E1F6BCD" w:rsidR="006A150E" w:rsidRPr="00C239F5" w:rsidRDefault="001031F3">
      <w:pPr>
        <w:spacing w:before="240" w:after="240" w:line="240" w:lineRule="auto"/>
        <w:jc w:val="both"/>
        <w:rPr>
          <w:rFonts w:ascii="Times New Roman" w:hAnsi="Times New Roman" w:cs="Times New Roman"/>
          <w:sz w:val="20"/>
          <w:szCs w:val="24"/>
        </w:rPr>
      </w:pPr>
      <w:r w:rsidRPr="00C239F5">
        <w:rPr>
          <w:rFonts w:ascii="Times New Roman" w:hAnsi="Times New Roman" w:cs="Times New Roman"/>
          <w:b/>
          <w:sz w:val="20"/>
          <w:szCs w:val="24"/>
        </w:rPr>
        <w:t xml:space="preserve">Figure 7. </w:t>
      </w:r>
      <w:r w:rsidRPr="00C239F5">
        <w:rPr>
          <w:rFonts w:ascii="Times New Roman" w:hAnsi="Times New Roman" w:cs="Times New Roman"/>
          <w:sz w:val="20"/>
          <w:szCs w:val="24"/>
        </w:rPr>
        <w:t>a) Comparison of tradeoffs between profits (measured as a fraction of theoretical maximum) (x-axis) and “floor improvement” ($) (y-axis</w:t>
      </w:r>
      <w:r w:rsidR="007B7932">
        <w:rPr>
          <w:rFonts w:ascii="Times New Roman" w:hAnsi="Times New Roman" w:cs="Times New Roman"/>
          <w:sz w:val="20"/>
          <w:szCs w:val="24"/>
        </w:rPr>
        <w:t>) for each SPP node considered;</w:t>
      </w:r>
      <w:r w:rsidRPr="00C239F5">
        <w:rPr>
          <w:rFonts w:ascii="Times New Roman" w:hAnsi="Times New Roman" w:cs="Times New Roman"/>
          <w:sz w:val="20"/>
          <w:szCs w:val="24"/>
        </w:rPr>
        <w:t xml:space="preserve"> b) Monthly revenues for the wind power producer at the WFEC_MOORELAND_2 node with hedging (orange), without hedging (blue), and with the P99 hedge (green) under the maximum floor improvement solution, resulting in a </w:t>
      </w:r>
      <w:r w:rsidR="00265051">
        <w:rPr>
          <w:rFonts w:ascii="Times New Roman" w:hAnsi="Times New Roman" w:cs="Times New Roman"/>
          <w:sz w:val="20"/>
          <w:szCs w:val="24"/>
        </w:rPr>
        <w:t xml:space="preserve">roughly </w:t>
      </w:r>
      <w:r w:rsidRPr="00C239F5">
        <w:rPr>
          <w:rFonts w:ascii="Times New Roman" w:hAnsi="Times New Roman" w:cs="Times New Roman"/>
          <w:sz w:val="20"/>
          <w:szCs w:val="24"/>
        </w:rPr>
        <w:t>$</w:t>
      </w:r>
      <w:r w:rsidR="00265051">
        <w:rPr>
          <w:rFonts w:ascii="Times New Roman" w:hAnsi="Times New Roman" w:cs="Times New Roman"/>
          <w:sz w:val="20"/>
          <w:szCs w:val="24"/>
        </w:rPr>
        <w:t>6</w:t>
      </w:r>
      <w:r w:rsidRPr="00C239F5">
        <w:rPr>
          <w:rFonts w:ascii="Times New Roman" w:hAnsi="Times New Roman" w:cs="Times New Roman"/>
          <w:sz w:val="20"/>
          <w:szCs w:val="24"/>
        </w:rPr>
        <w:t xml:space="preserve">00,000 increase over the 10 worst-performing months. </w:t>
      </w:r>
    </w:p>
    <w:p w14:paraId="411CE61C" w14:textId="77777777" w:rsidR="00C239F5" w:rsidRDefault="00C239F5">
      <w:pPr>
        <w:spacing w:before="240" w:after="240" w:line="480" w:lineRule="auto"/>
        <w:ind w:firstLine="720"/>
        <w:jc w:val="both"/>
        <w:rPr>
          <w:rFonts w:ascii="Times New Roman" w:hAnsi="Times New Roman" w:cs="Times New Roman"/>
          <w:sz w:val="24"/>
          <w:szCs w:val="24"/>
        </w:rPr>
      </w:pPr>
    </w:p>
    <w:p w14:paraId="07B1EA6E" w14:textId="39DD41D7" w:rsidR="00CA1422" w:rsidRDefault="001031F3" w:rsidP="00C00268">
      <w:pPr>
        <w:spacing w:after="0" w:line="480" w:lineRule="auto"/>
        <w:ind w:firstLine="720"/>
        <w:jc w:val="both"/>
        <w:rPr>
          <w:rFonts w:ascii="Times New Roman" w:hAnsi="Times New Roman" w:cs="Times New Roman"/>
          <w:sz w:val="24"/>
          <w:szCs w:val="24"/>
        </w:rPr>
      </w:pPr>
      <w:r w:rsidRPr="00D811FD">
        <w:rPr>
          <w:rFonts w:ascii="Times New Roman" w:hAnsi="Times New Roman" w:cs="Times New Roman"/>
          <w:sz w:val="24"/>
          <w:szCs w:val="24"/>
        </w:rPr>
        <w:t>Figure 7b</w:t>
      </w:r>
      <w:r w:rsidRPr="003A3045">
        <w:rPr>
          <w:rFonts w:ascii="Times New Roman" w:hAnsi="Times New Roman" w:cs="Times New Roman"/>
          <w:sz w:val="24"/>
          <w:szCs w:val="24"/>
        </w:rPr>
        <w:t xml:space="preserve"> shows </w:t>
      </w:r>
      <w:r w:rsidR="001362DB">
        <w:rPr>
          <w:rFonts w:ascii="Times New Roman" w:hAnsi="Times New Roman" w:cs="Times New Roman"/>
          <w:sz w:val="24"/>
          <w:szCs w:val="24"/>
        </w:rPr>
        <w:t xml:space="preserve">the performance of this </w:t>
      </w:r>
      <w:r w:rsidR="00025016">
        <w:rPr>
          <w:rFonts w:ascii="Times New Roman" w:hAnsi="Times New Roman" w:cs="Times New Roman"/>
          <w:sz w:val="24"/>
          <w:szCs w:val="24"/>
        </w:rPr>
        <w:t>same contract design</w:t>
      </w:r>
      <w:r w:rsidR="001362DB">
        <w:rPr>
          <w:rFonts w:ascii="Times New Roman" w:hAnsi="Times New Roman" w:cs="Times New Roman"/>
          <w:sz w:val="24"/>
          <w:szCs w:val="24"/>
        </w:rPr>
        <w:t xml:space="preserve"> over </w:t>
      </w:r>
      <w:r w:rsidR="00025016">
        <w:rPr>
          <w:rFonts w:ascii="Times New Roman" w:hAnsi="Times New Roman" w:cs="Times New Roman"/>
          <w:sz w:val="24"/>
          <w:szCs w:val="24"/>
        </w:rPr>
        <w:t xml:space="preserve">the 5-year simulation </w:t>
      </w:r>
      <w:r w:rsidR="00481370">
        <w:rPr>
          <w:rFonts w:ascii="Times New Roman" w:hAnsi="Times New Roman" w:cs="Times New Roman"/>
          <w:sz w:val="24"/>
          <w:szCs w:val="24"/>
        </w:rPr>
        <w:t>period (60 months), with revenue improvement occurring</w:t>
      </w:r>
      <w:r w:rsidRPr="003A3045">
        <w:rPr>
          <w:rFonts w:ascii="Times New Roman" w:hAnsi="Times New Roman" w:cs="Times New Roman"/>
          <w:sz w:val="24"/>
          <w:szCs w:val="24"/>
        </w:rPr>
        <w:t xml:space="preserve"> during a handful of </w:t>
      </w:r>
      <w:r w:rsidR="00A6092D">
        <w:rPr>
          <w:rFonts w:ascii="Times New Roman" w:hAnsi="Times New Roman" w:cs="Times New Roman"/>
          <w:sz w:val="24"/>
          <w:szCs w:val="24"/>
        </w:rPr>
        <w:t xml:space="preserve">low performing </w:t>
      </w:r>
      <w:r w:rsidRPr="003A3045">
        <w:rPr>
          <w:rFonts w:ascii="Times New Roman" w:hAnsi="Times New Roman" w:cs="Times New Roman"/>
          <w:sz w:val="24"/>
          <w:szCs w:val="24"/>
        </w:rPr>
        <w:t xml:space="preserve">months. </w:t>
      </w:r>
      <w:r w:rsidR="00A6092D">
        <w:rPr>
          <w:rFonts w:ascii="Times New Roman" w:hAnsi="Times New Roman" w:cs="Times New Roman"/>
          <w:sz w:val="24"/>
          <w:szCs w:val="24"/>
        </w:rPr>
        <w:t>With no hedge in place, w</w:t>
      </w:r>
      <w:r w:rsidR="00481370">
        <w:rPr>
          <w:rFonts w:ascii="Times New Roman" w:hAnsi="Times New Roman" w:cs="Times New Roman"/>
          <w:sz w:val="24"/>
          <w:szCs w:val="24"/>
        </w:rPr>
        <w:t xml:space="preserve">ind developer revenues calculated for the </w:t>
      </w:r>
      <w:r w:rsidRPr="003A3045">
        <w:rPr>
          <w:rFonts w:ascii="Times New Roman" w:hAnsi="Times New Roman" w:cs="Times New Roman"/>
          <w:sz w:val="24"/>
          <w:szCs w:val="24"/>
        </w:rPr>
        <w:t xml:space="preserve">‘WFEC_MOORELAND_2’ </w:t>
      </w:r>
      <w:r w:rsidR="00481370">
        <w:rPr>
          <w:rFonts w:ascii="Times New Roman" w:hAnsi="Times New Roman" w:cs="Times New Roman"/>
          <w:sz w:val="24"/>
          <w:szCs w:val="24"/>
        </w:rPr>
        <w:t xml:space="preserve">node show </w:t>
      </w:r>
      <w:r w:rsidRPr="003A3045">
        <w:rPr>
          <w:rFonts w:ascii="Times New Roman" w:hAnsi="Times New Roman" w:cs="Times New Roman"/>
          <w:sz w:val="24"/>
          <w:szCs w:val="24"/>
        </w:rPr>
        <w:t xml:space="preserve">elevated monthly revenues until a </w:t>
      </w:r>
      <w:r w:rsidR="00481370">
        <w:rPr>
          <w:rFonts w:ascii="Times New Roman" w:hAnsi="Times New Roman" w:cs="Times New Roman"/>
          <w:sz w:val="24"/>
          <w:szCs w:val="24"/>
        </w:rPr>
        <w:t>major</w:t>
      </w:r>
      <w:r w:rsidRPr="003A3045">
        <w:rPr>
          <w:rFonts w:ascii="Times New Roman" w:hAnsi="Times New Roman" w:cs="Times New Roman"/>
          <w:sz w:val="24"/>
          <w:szCs w:val="24"/>
        </w:rPr>
        <w:t xml:space="preserve"> spike in April 2017</w:t>
      </w:r>
      <w:r w:rsidR="00D811FD">
        <w:rPr>
          <w:rFonts w:ascii="Times New Roman" w:hAnsi="Times New Roman" w:cs="Times New Roman"/>
          <w:sz w:val="24"/>
          <w:szCs w:val="24"/>
        </w:rPr>
        <w:t xml:space="preserve">; after that </w:t>
      </w:r>
      <w:r w:rsidR="00481370">
        <w:rPr>
          <w:rFonts w:ascii="Times New Roman" w:hAnsi="Times New Roman" w:cs="Times New Roman"/>
          <w:sz w:val="24"/>
          <w:szCs w:val="24"/>
        </w:rPr>
        <w:t xml:space="preserve">revenues </w:t>
      </w:r>
      <w:r w:rsidR="0095067E">
        <w:rPr>
          <w:rFonts w:ascii="Times New Roman" w:hAnsi="Times New Roman" w:cs="Times New Roman"/>
          <w:sz w:val="24"/>
          <w:szCs w:val="24"/>
        </w:rPr>
        <w:t>fall</w:t>
      </w:r>
      <w:r w:rsidR="00481370">
        <w:rPr>
          <w:rFonts w:ascii="Times New Roman" w:hAnsi="Times New Roman" w:cs="Times New Roman"/>
          <w:sz w:val="24"/>
          <w:szCs w:val="24"/>
        </w:rPr>
        <w:t xml:space="preserve"> low and remain persistently so throughout the rest of the simulation period.</w:t>
      </w:r>
      <w:r w:rsidRPr="003A3045">
        <w:rPr>
          <w:rFonts w:ascii="Times New Roman" w:hAnsi="Times New Roman" w:cs="Times New Roman"/>
          <w:sz w:val="24"/>
          <w:szCs w:val="24"/>
        </w:rPr>
        <w:t xml:space="preserve"> These </w:t>
      </w:r>
      <w:r w:rsidR="00481370">
        <w:rPr>
          <w:rFonts w:ascii="Times New Roman" w:hAnsi="Times New Roman" w:cs="Times New Roman"/>
          <w:sz w:val="24"/>
          <w:szCs w:val="24"/>
        </w:rPr>
        <w:t>revenue fluctuations</w:t>
      </w:r>
      <w:r w:rsidRPr="003A3045">
        <w:rPr>
          <w:rFonts w:ascii="Times New Roman" w:hAnsi="Times New Roman" w:cs="Times New Roman"/>
          <w:sz w:val="24"/>
          <w:szCs w:val="24"/>
        </w:rPr>
        <w:t xml:space="preserve"> for the wind power producer are directly correlated with spikes in nodal prices during this time frame</w:t>
      </w:r>
      <w:r w:rsidR="00D811FD">
        <w:rPr>
          <w:rFonts w:ascii="Times New Roman" w:hAnsi="Times New Roman" w:cs="Times New Roman"/>
          <w:sz w:val="24"/>
          <w:szCs w:val="24"/>
        </w:rPr>
        <w:t xml:space="preserve"> (see </w:t>
      </w:r>
      <w:r w:rsidR="00D811FD" w:rsidRPr="00D811FD">
        <w:rPr>
          <w:rFonts w:ascii="Times New Roman" w:hAnsi="Times New Roman" w:cs="Times New Roman"/>
          <w:sz w:val="24"/>
          <w:szCs w:val="24"/>
        </w:rPr>
        <w:t>Figure 3</w:t>
      </w:r>
      <w:r w:rsidR="00D811FD">
        <w:rPr>
          <w:rFonts w:ascii="Times New Roman" w:hAnsi="Times New Roman" w:cs="Times New Roman"/>
          <w:sz w:val="24"/>
          <w:szCs w:val="24"/>
        </w:rPr>
        <w:t>)</w:t>
      </w:r>
      <w:r w:rsidRPr="003A3045">
        <w:rPr>
          <w:rFonts w:ascii="Times New Roman" w:hAnsi="Times New Roman" w:cs="Times New Roman"/>
          <w:sz w:val="24"/>
          <w:szCs w:val="24"/>
        </w:rPr>
        <w:t xml:space="preserve">. Average monthly prices at ‘WFEC_MOORELAND_2’ </w:t>
      </w:r>
      <w:r w:rsidR="00481370">
        <w:rPr>
          <w:rFonts w:ascii="Times New Roman" w:hAnsi="Times New Roman" w:cs="Times New Roman"/>
          <w:sz w:val="24"/>
          <w:szCs w:val="24"/>
        </w:rPr>
        <w:t xml:space="preserve">average </w:t>
      </w:r>
      <w:r w:rsidR="004E1FDF">
        <w:rPr>
          <w:rFonts w:ascii="Times New Roman" w:hAnsi="Times New Roman" w:cs="Times New Roman"/>
          <w:sz w:val="24"/>
          <w:szCs w:val="24"/>
        </w:rPr>
        <w:t xml:space="preserve">around </w:t>
      </w:r>
      <w:r w:rsidR="00D811FD">
        <w:rPr>
          <w:rFonts w:ascii="Times New Roman" w:hAnsi="Times New Roman" w:cs="Times New Roman"/>
          <w:sz w:val="24"/>
          <w:szCs w:val="24"/>
        </w:rPr>
        <w:t>$</w:t>
      </w:r>
      <w:r w:rsidR="004E1FDF">
        <w:rPr>
          <w:rFonts w:ascii="Times New Roman" w:hAnsi="Times New Roman" w:cs="Times New Roman"/>
          <w:sz w:val="24"/>
          <w:szCs w:val="24"/>
        </w:rPr>
        <w:t>33</w:t>
      </w:r>
      <w:r w:rsidR="00481370">
        <w:rPr>
          <w:rFonts w:ascii="Times New Roman" w:hAnsi="Times New Roman" w:cs="Times New Roman"/>
          <w:sz w:val="24"/>
          <w:szCs w:val="24"/>
        </w:rPr>
        <w:t>/MWh</w:t>
      </w:r>
      <w:r w:rsidR="00D811FD">
        <w:rPr>
          <w:rFonts w:ascii="Times New Roman" w:hAnsi="Times New Roman" w:cs="Times New Roman"/>
          <w:sz w:val="24"/>
          <w:szCs w:val="24"/>
        </w:rPr>
        <w:t xml:space="preserve"> over the 5-year </w:t>
      </w:r>
      <w:r w:rsidR="00D811FD">
        <w:rPr>
          <w:rFonts w:ascii="Times New Roman" w:hAnsi="Times New Roman" w:cs="Times New Roman"/>
          <w:sz w:val="24"/>
          <w:szCs w:val="24"/>
        </w:rPr>
        <w:lastRenderedPageBreak/>
        <w:t>period</w:t>
      </w:r>
      <w:r w:rsidRPr="003A3045">
        <w:rPr>
          <w:rFonts w:ascii="Times New Roman" w:hAnsi="Times New Roman" w:cs="Times New Roman"/>
          <w:sz w:val="24"/>
          <w:szCs w:val="24"/>
        </w:rPr>
        <w:t xml:space="preserve">, </w:t>
      </w:r>
      <w:r w:rsidR="00251850">
        <w:rPr>
          <w:rFonts w:ascii="Times New Roman" w:hAnsi="Times New Roman" w:cs="Times New Roman"/>
          <w:sz w:val="24"/>
          <w:szCs w:val="24"/>
        </w:rPr>
        <w:t>with average monthly prices above hub prices</w:t>
      </w:r>
      <w:r w:rsidR="006D160D">
        <w:rPr>
          <w:rFonts w:ascii="Times New Roman" w:hAnsi="Times New Roman" w:cs="Times New Roman"/>
          <w:sz w:val="24"/>
          <w:szCs w:val="24"/>
        </w:rPr>
        <w:t xml:space="preserve"> for much of 2016-2018, spiking</w:t>
      </w:r>
      <w:r w:rsidRPr="003A3045">
        <w:rPr>
          <w:rFonts w:ascii="Times New Roman" w:hAnsi="Times New Roman" w:cs="Times New Roman"/>
          <w:sz w:val="24"/>
          <w:szCs w:val="24"/>
        </w:rPr>
        <w:t xml:space="preserve"> to </w:t>
      </w:r>
      <w:r w:rsidR="00481370">
        <w:rPr>
          <w:rFonts w:ascii="Times New Roman" w:hAnsi="Times New Roman" w:cs="Times New Roman"/>
          <w:sz w:val="24"/>
          <w:szCs w:val="24"/>
        </w:rPr>
        <w:t>roughly $90/MWh</w:t>
      </w:r>
      <w:r w:rsidRPr="003A3045">
        <w:rPr>
          <w:rFonts w:ascii="Times New Roman" w:hAnsi="Times New Roman" w:cs="Times New Roman"/>
          <w:sz w:val="24"/>
          <w:szCs w:val="24"/>
        </w:rPr>
        <w:t xml:space="preserve"> in April 2017 (</w:t>
      </w:r>
      <w:r w:rsidRPr="00D811FD">
        <w:rPr>
          <w:rFonts w:ascii="Times New Roman" w:hAnsi="Times New Roman" w:cs="Times New Roman"/>
          <w:sz w:val="24"/>
          <w:szCs w:val="24"/>
        </w:rPr>
        <w:t>Figure 3</w:t>
      </w:r>
      <w:r w:rsidRPr="003A3045">
        <w:rPr>
          <w:rFonts w:ascii="Times New Roman" w:hAnsi="Times New Roman" w:cs="Times New Roman"/>
          <w:sz w:val="24"/>
          <w:szCs w:val="24"/>
        </w:rPr>
        <w:t xml:space="preserve">). Throughout the remainder of </w:t>
      </w:r>
      <w:r w:rsidR="00A6092D">
        <w:rPr>
          <w:rFonts w:ascii="Times New Roman" w:hAnsi="Times New Roman" w:cs="Times New Roman"/>
          <w:sz w:val="24"/>
          <w:szCs w:val="24"/>
        </w:rPr>
        <w:t>the s</w:t>
      </w:r>
      <w:r w:rsidRPr="003A3045">
        <w:rPr>
          <w:rFonts w:ascii="Times New Roman" w:hAnsi="Times New Roman" w:cs="Times New Roman"/>
          <w:sz w:val="24"/>
          <w:szCs w:val="24"/>
        </w:rPr>
        <w:t xml:space="preserve">tudy </w:t>
      </w:r>
      <w:r w:rsidR="00A6092D">
        <w:rPr>
          <w:rFonts w:ascii="Times New Roman" w:hAnsi="Times New Roman" w:cs="Times New Roman"/>
          <w:sz w:val="24"/>
          <w:szCs w:val="24"/>
        </w:rPr>
        <w:t>period</w:t>
      </w:r>
      <w:r w:rsidRPr="003A3045">
        <w:rPr>
          <w:rFonts w:ascii="Times New Roman" w:hAnsi="Times New Roman" w:cs="Times New Roman"/>
          <w:sz w:val="24"/>
          <w:szCs w:val="24"/>
        </w:rPr>
        <w:t xml:space="preserve">, the average price at the ‘WFEC_MOORELAND_2’ </w:t>
      </w:r>
      <w:r w:rsidR="004E1FDF">
        <w:rPr>
          <w:rFonts w:ascii="Times New Roman" w:hAnsi="Times New Roman" w:cs="Times New Roman"/>
          <w:sz w:val="24"/>
          <w:szCs w:val="24"/>
        </w:rPr>
        <w:t>hovers around $20/MWh</w:t>
      </w:r>
      <w:r w:rsidRPr="003A3045">
        <w:rPr>
          <w:rFonts w:ascii="Times New Roman" w:hAnsi="Times New Roman" w:cs="Times New Roman"/>
          <w:sz w:val="24"/>
          <w:szCs w:val="24"/>
        </w:rPr>
        <w:t>, which explains the depressed monthly revenues seen in</w:t>
      </w:r>
      <w:r w:rsidR="00251850">
        <w:rPr>
          <w:rFonts w:ascii="Times New Roman" w:hAnsi="Times New Roman" w:cs="Times New Roman"/>
          <w:sz w:val="24"/>
          <w:szCs w:val="24"/>
        </w:rPr>
        <w:t xml:space="preserve"> the second half of Figure 7b.</w:t>
      </w:r>
      <w:r w:rsidR="00A6092D">
        <w:rPr>
          <w:rFonts w:ascii="Times New Roman" w:hAnsi="Times New Roman" w:cs="Times New Roman"/>
          <w:sz w:val="24"/>
          <w:szCs w:val="24"/>
        </w:rPr>
        <w:t xml:space="preserve"> </w:t>
      </w:r>
    </w:p>
    <w:p w14:paraId="7662EAFD" w14:textId="1E435D1D" w:rsidR="00A6092D" w:rsidRPr="00D47EA0" w:rsidRDefault="00A6092D" w:rsidP="00C00268">
      <w:pPr>
        <w:spacing w:after="0" w:line="480" w:lineRule="auto"/>
        <w:ind w:firstLine="720"/>
        <w:jc w:val="both"/>
        <w:rPr>
          <w:rFonts w:ascii="Times New Roman" w:hAnsi="Times New Roman" w:cs="Times New Roman"/>
          <w:color w:val="FF0000"/>
          <w:sz w:val="24"/>
          <w:szCs w:val="24"/>
        </w:rPr>
      </w:pPr>
      <w:r>
        <w:rPr>
          <w:rFonts w:ascii="Times New Roman" w:hAnsi="Times New Roman" w:cs="Times New Roman"/>
          <w:sz w:val="24"/>
          <w:szCs w:val="24"/>
        </w:rPr>
        <w:t>Note that with the hedge in place, the overall structure of these revenue dynamics remains mostly unchanged</w:t>
      </w:r>
      <w:r w:rsidR="00CA1422">
        <w:rPr>
          <w:rFonts w:ascii="Times New Roman" w:hAnsi="Times New Roman" w:cs="Times New Roman"/>
          <w:sz w:val="24"/>
          <w:szCs w:val="24"/>
        </w:rPr>
        <w:t xml:space="preserve"> compared to conditions with no hedge in place</w:t>
      </w:r>
      <w:r>
        <w:rPr>
          <w:rFonts w:ascii="Times New Roman" w:hAnsi="Times New Roman" w:cs="Times New Roman"/>
          <w:sz w:val="24"/>
          <w:szCs w:val="24"/>
        </w:rPr>
        <w:t>, with small increases during low performing months (contract payouts from the hedge p</w:t>
      </w:r>
      <w:r w:rsidR="006F600D">
        <w:rPr>
          <w:rFonts w:ascii="Times New Roman" w:hAnsi="Times New Roman" w:cs="Times New Roman"/>
          <w:sz w:val="24"/>
          <w:szCs w:val="24"/>
        </w:rPr>
        <w:t xml:space="preserve">rovider to the wind developer), which are </w:t>
      </w:r>
      <w:r>
        <w:rPr>
          <w:rFonts w:ascii="Times New Roman" w:hAnsi="Times New Roman" w:cs="Times New Roman"/>
          <w:sz w:val="24"/>
          <w:szCs w:val="24"/>
        </w:rPr>
        <w:t>offset by slightly larger decreases during high performing months (payments from the wind develop to the hedge provider).</w:t>
      </w:r>
      <w:r w:rsidR="00D065F4">
        <w:rPr>
          <w:rFonts w:ascii="Times New Roman" w:hAnsi="Times New Roman" w:cs="Times New Roman"/>
          <w:sz w:val="24"/>
          <w:szCs w:val="24"/>
        </w:rPr>
        <w:t xml:space="preserve"> </w:t>
      </w:r>
      <w:r w:rsidR="002D0CC8">
        <w:rPr>
          <w:rFonts w:ascii="Times New Roman" w:hAnsi="Times New Roman" w:cs="Times New Roman"/>
          <w:sz w:val="24"/>
          <w:szCs w:val="24"/>
        </w:rPr>
        <w:t>Although improvements are modest compared to conditions with no hedge in place, the alternative hedge design compares very favorably to a traditional P99 contract, which negatively impacts financial performance across nearly every month in the 5-yea</w:t>
      </w:r>
      <w:r w:rsidR="004D02EA">
        <w:rPr>
          <w:rFonts w:ascii="Times New Roman" w:hAnsi="Times New Roman" w:cs="Times New Roman"/>
          <w:sz w:val="24"/>
          <w:szCs w:val="24"/>
        </w:rPr>
        <w:t>r period. T</w:t>
      </w:r>
      <w:r w:rsidR="004D02EA" w:rsidRPr="003A3045">
        <w:rPr>
          <w:rFonts w:ascii="Times New Roman" w:hAnsi="Times New Roman" w:cs="Times New Roman"/>
          <w:sz w:val="24"/>
          <w:szCs w:val="24"/>
        </w:rPr>
        <w:t xml:space="preserve">he use of a P99 contract over the period 2015-2019 in the SPP market would have resulted in a considerable financial loss for a wind power producer (yielding </w:t>
      </w:r>
      <w:r w:rsidR="004D02EA">
        <w:rPr>
          <w:rFonts w:ascii="Times New Roman" w:hAnsi="Times New Roman" w:cs="Times New Roman"/>
          <w:sz w:val="24"/>
          <w:szCs w:val="24"/>
        </w:rPr>
        <w:t xml:space="preserve">total </w:t>
      </w:r>
      <w:r w:rsidR="004D02EA" w:rsidRPr="003A3045">
        <w:rPr>
          <w:rFonts w:ascii="Times New Roman" w:hAnsi="Times New Roman" w:cs="Times New Roman"/>
          <w:sz w:val="24"/>
          <w:szCs w:val="24"/>
        </w:rPr>
        <w:t>revenues 25-30% lower than if they had not hedged at all). At the same time, there is no evidence that the use of a</w:t>
      </w:r>
      <w:r w:rsidR="004D02EA">
        <w:rPr>
          <w:rFonts w:ascii="Times New Roman" w:hAnsi="Times New Roman" w:cs="Times New Roman"/>
          <w:sz w:val="24"/>
          <w:szCs w:val="24"/>
        </w:rPr>
        <w:t xml:space="preserve"> P99</w:t>
      </w:r>
      <w:r w:rsidR="004D02EA" w:rsidRPr="003A3045">
        <w:rPr>
          <w:rFonts w:ascii="Times New Roman" w:hAnsi="Times New Roman" w:cs="Times New Roman"/>
          <w:sz w:val="24"/>
          <w:szCs w:val="24"/>
        </w:rPr>
        <w:t xml:space="preserve"> fixed volume swap would protect the wind power p</w:t>
      </w:r>
      <w:r w:rsidR="004D02EA">
        <w:rPr>
          <w:rFonts w:ascii="Times New Roman" w:hAnsi="Times New Roman" w:cs="Times New Roman"/>
          <w:sz w:val="24"/>
          <w:szCs w:val="24"/>
        </w:rPr>
        <w:t xml:space="preserve">roducer from low revenue months; in fact, it </w:t>
      </w:r>
      <w:r w:rsidR="002D0CC8">
        <w:rPr>
          <w:rFonts w:ascii="Times New Roman" w:hAnsi="Times New Roman" w:cs="Times New Roman"/>
          <w:sz w:val="24"/>
          <w:szCs w:val="24"/>
        </w:rPr>
        <w:t xml:space="preserve">reduces the revenue floor by nearly $1 million in the worst performing </w:t>
      </w:r>
      <w:commentRangeStart w:id="14"/>
      <w:r w:rsidR="002D0CC8">
        <w:rPr>
          <w:rFonts w:ascii="Times New Roman" w:hAnsi="Times New Roman" w:cs="Times New Roman"/>
          <w:sz w:val="24"/>
          <w:szCs w:val="24"/>
        </w:rPr>
        <w:t>month</w:t>
      </w:r>
      <w:commentRangeEnd w:id="14"/>
      <w:r w:rsidR="002D0CC8">
        <w:rPr>
          <w:rStyle w:val="CommentReference"/>
        </w:rPr>
        <w:commentReference w:id="14"/>
      </w:r>
      <w:r w:rsidR="002D0CC8">
        <w:rPr>
          <w:rFonts w:ascii="Times New Roman" w:hAnsi="Times New Roman" w:cs="Times New Roman"/>
          <w:sz w:val="24"/>
          <w:szCs w:val="24"/>
        </w:rPr>
        <w:t xml:space="preserve">. The comparatively poor performance of the P99 contract </w:t>
      </w:r>
      <w:r w:rsidR="009F2744">
        <w:rPr>
          <w:rFonts w:ascii="Times New Roman" w:hAnsi="Times New Roman" w:cs="Times New Roman"/>
          <w:sz w:val="24"/>
          <w:szCs w:val="24"/>
        </w:rPr>
        <w:t xml:space="preserve">is a phenomenon we find to be consistent across every node considered. </w:t>
      </w:r>
      <w:r w:rsidR="009F2744" w:rsidRPr="004D02EA">
        <w:rPr>
          <w:rFonts w:ascii="Times New Roman" w:hAnsi="Times New Roman" w:cs="Times New Roman"/>
          <w:sz w:val="24"/>
          <w:szCs w:val="24"/>
        </w:rPr>
        <w:t>Figure A1 in the Appendix shows</w:t>
      </w:r>
      <w:r w:rsidR="004D02EA" w:rsidRPr="004D02EA">
        <w:rPr>
          <w:rFonts w:ascii="Times New Roman" w:hAnsi="Times New Roman" w:cs="Times New Roman"/>
          <w:sz w:val="24"/>
          <w:szCs w:val="24"/>
        </w:rPr>
        <w:t xml:space="preserve"> similar information to Figure 7b for the remaining nine nodes, with hedged revenues reflecting performance under an alternative contract that maximizes floor improvement</w:t>
      </w:r>
      <w:r w:rsidR="009F2744" w:rsidRPr="004D02EA">
        <w:rPr>
          <w:rFonts w:ascii="Times New Roman" w:hAnsi="Times New Roman" w:cs="Times New Roman"/>
          <w:sz w:val="24"/>
          <w:szCs w:val="24"/>
        </w:rPr>
        <w:t xml:space="preserve">. </w:t>
      </w:r>
    </w:p>
    <w:p w14:paraId="6E9118C3" w14:textId="5E9450B1" w:rsidR="0095067E" w:rsidRDefault="00AA05CE" w:rsidP="00330C72">
      <w:pPr>
        <w:spacing w:before="40"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also </w:t>
      </w:r>
      <w:r w:rsidR="00CB060C">
        <w:rPr>
          <w:rFonts w:ascii="Times New Roman" w:hAnsi="Times New Roman" w:cs="Times New Roman"/>
          <w:sz w:val="24"/>
          <w:szCs w:val="24"/>
        </w:rPr>
        <w:t>explore the underlying structures</w:t>
      </w:r>
      <w:r w:rsidR="001E2C5A">
        <w:rPr>
          <w:rFonts w:ascii="Times New Roman" w:hAnsi="Times New Roman" w:cs="Times New Roman"/>
          <w:sz w:val="24"/>
          <w:szCs w:val="24"/>
        </w:rPr>
        <w:t xml:space="preserve"> of</w:t>
      </w:r>
      <w:r w:rsidR="00CB060C">
        <w:rPr>
          <w:rFonts w:ascii="Times New Roman" w:hAnsi="Times New Roman" w:cs="Times New Roman"/>
          <w:sz w:val="24"/>
          <w:szCs w:val="24"/>
        </w:rPr>
        <w:t xml:space="preserve"> alternative hedging contracts </w:t>
      </w:r>
      <w:r w:rsidR="001E2C5A">
        <w:rPr>
          <w:rFonts w:ascii="Times New Roman" w:hAnsi="Times New Roman" w:cs="Times New Roman"/>
          <w:sz w:val="24"/>
          <w:szCs w:val="24"/>
        </w:rPr>
        <w:t xml:space="preserve">identified </w:t>
      </w:r>
      <w:r w:rsidR="00CB060C">
        <w:rPr>
          <w:rFonts w:ascii="Times New Roman" w:hAnsi="Times New Roman" w:cs="Times New Roman"/>
          <w:sz w:val="24"/>
          <w:szCs w:val="24"/>
        </w:rPr>
        <w:t>and compare these alongside a traditional P99 contract. Figure 8 shows the monthly peak and off-peak</w:t>
      </w:r>
      <w:r w:rsidR="001E2C5A">
        <w:rPr>
          <w:rFonts w:ascii="Times New Roman" w:hAnsi="Times New Roman" w:cs="Times New Roman"/>
          <w:sz w:val="24"/>
          <w:szCs w:val="24"/>
        </w:rPr>
        <w:t xml:space="preserve"> wind production targets for</w:t>
      </w:r>
      <w:r w:rsidR="00CB060C">
        <w:rPr>
          <w:rFonts w:ascii="Times New Roman" w:hAnsi="Times New Roman" w:cs="Times New Roman"/>
          <w:sz w:val="24"/>
          <w:szCs w:val="24"/>
        </w:rPr>
        <w:t xml:space="preserve"> </w:t>
      </w:r>
      <w:r w:rsidR="00330C72">
        <w:rPr>
          <w:rFonts w:ascii="Times New Roman" w:hAnsi="Times New Roman" w:cs="Times New Roman"/>
          <w:sz w:val="24"/>
          <w:szCs w:val="24"/>
        </w:rPr>
        <w:t xml:space="preserve">the alternative </w:t>
      </w:r>
      <w:r w:rsidR="00CB060C">
        <w:rPr>
          <w:rFonts w:ascii="Times New Roman" w:hAnsi="Times New Roman" w:cs="Times New Roman"/>
          <w:sz w:val="24"/>
          <w:szCs w:val="24"/>
        </w:rPr>
        <w:t xml:space="preserve">fixed volume swap </w:t>
      </w:r>
      <w:r w:rsidR="00330C72">
        <w:rPr>
          <w:rFonts w:ascii="Times New Roman" w:hAnsi="Times New Roman" w:cs="Times New Roman"/>
          <w:sz w:val="24"/>
          <w:szCs w:val="24"/>
        </w:rPr>
        <w:t>contract designs</w:t>
      </w:r>
      <w:r w:rsidR="00CB060C">
        <w:rPr>
          <w:rFonts w:ascii="Times New Roman" w:hAnsi="Times New Roman" w:cs="Times New Roman"/>
          <w:sz w:val="24"/>
          <w:szCs w:val="24"/>
        </w:rPr>
        <w:t xml:space="preserve"> that maximized the floor improvement </w:t>
      </w:r>
      <w:r w:rsidR="001163CE">
        <w:rPr>
          <w:rFonts w:ascii="Times New Roman" w:hAnsi="Times New Roman" w:cs="Times New Roman"/>
          <w:sz w:val="24"/>
          <w:szCs w:val="24"/>
        </w:rPr>
        <w:t xml:space="preserve">at each node under observed basis risk. </w:t>
      </w:r>
      <w:r w:rsidR="00A22AA9">
        <w:rPr>
          <w:rFonts w:ascii="Times New Roman" w:hAnsi="Times New Roman" w:cs="Times New Roman"/>
          <w:sz w:val="24"/>
          <w:szCs w:val="24"/>
        </w:rPr>
        <w:t xml:space="preserve">Uniformly, the </w:t>
      </w:r>
      <w:r w:rsidR="00330C72">
        <w:rPr>
          <w:rFonts w:ascii="Times New Roman" w:hAnsi="Times New Roman" w:cs="Times New Roman"/>
          <w:sz w:val="24"/>
          <w:szCs w:val="24"/>
        </w:rPr>
        <w:t>alternative contract designs</w:t>
      </w:r>
      <w:r w:rsidR="00A22AA9">
        <w:rPr>
          <w:rFonts w:ascii="Times New Roman" w:hAnsi="Times New Roman" w:cs="Times New Roman"/>
          <w:sz w:val="24"/>
          <w:szCs w:val="24"/>
        </w:rPr>
        <w:t xml:space="preserve"> all</w:t>
      </w:r>
      <w:r w:rsidR="00330C72">
        <w:rPr>
          <w:rFonts w:ascii="Times New Roman" w:hAnsi="Times New Roman" w:cs="Times New Roman"/>
          <w:sz w:val="24"/>
          <w:szCs w:val="24"/>
        </w:rPr>
        <w:t xml:space="preserve"> involve hedging significantly lower volumes of wind power production</w:t>
      </w:r>
      <w:r w:rsidR="00A22AA9">
        <w:rPr>
          <w:rFonts w:ascii="Times New Roman" w:hAnsi="Times New Roman" w:cs="Times New Roman"/>
          <w:sz w:val="24"/>
          <w:szCs w:val="24"/>
        </w:rPr>
        <w:t xml:space="preserve"> than conventional P99 contracts</w:t>
      </w:r>
      <w:r w:rsidR="00330C72">
        <w:rPr>
          <w:rFonts w:ascii="Times New Roman" w:hAnsi="Times New Roman" w:cs="Times New Roman"/>
          <w:sz w:val="24"/>
          <w:szCs w:val="24"/>
        </w:rPr>
        <w:t xml:space="preserve">. </w:t>
      </w:r>
      <w:r w:rsidR="00330C72">
        <w:rPr>
          <w:rFonts w:ascii="Times New Roman" w:hAnsi="Times New Roman" w:cs="Times New Roman"/>
          <w:sz w:val="24"/>
          <w:szCs w:val="24"/>
        </w:rPr>
        <w:lastRenderedPageBreak/>
        <w:t xml:space="preserve">The heuristic manner in which hourly production volumes </w:t>
      </w:r>
      <m:oMath>
        <m:r>
          <w:rPr>
            <w:rFonts w:ascii="Cambria Math" w:hAnsi="Cambria Math" w:cs="Times New Roman"/>
            <w:sz w:val="24"/>
            <w:szCs w:val="24"/>
          </w:rPr>
          <m:t>(T(t)</m:t>
        </m:r>
      </m:oMath>
      <w:r w:rsidR="00E94522">
        <w:rPr>
          <w:rFonts w:ascii="Times New Roman" w:hAnsi="Times New Roman" w:cs="Times New Roman"/>
          <w:sz w:val="24"/>
          <w:szCs w:val="24"/>
        </w:rPr>
        <w:t xml:space="preserve"> in Equation 3</w:t>
      </w:r>
      <w:r w:rsidR="00A22AA9">
        <w:rPr>
          <w:rFonts w:ascii="Times New Roman" w:hAnsi="Times New Roman" w:cs="Times New Roman"/>
          <w:sz w:val="24"/>
          <w:szCs w:val="24"/>
        </w:rPr>
        <w:t xml:space="preserve">) </w:t>
      </w:r>
      <w:r w:rsidR="00330C72">
        <w:rPr>
          <w:rFonts w:ascii="Times New Roman" w:hAnsi="Times New Roman" w:cs="Times New Roman"/>
          <w:sz w:val="24"/>
          <w:szCs w:val="24"/>
        </w:rPr>
        <w:t xml:space="preserve">are calculated in P99 contracts </w:t>
      </w:r>
      <w:r w:rsidR="00A22AA9">
        <w:rPr>
          <w:rFonts w:ascii="Times New Roman" w:hAnsi="Times New Roman" w:cs="Times New Roman"/>
          <w:sz w:val="24"/>
          <w:szCs w:val="24"/>
        </w:rPr>
        <w:t xml:space="preserve">often does a poor job of tracking intra-day wind patterns, instead assigning peak- and off-peak targets </w:t>
      </w:r>
      <w:r w:rsidR="00E94522">
        <w:rPr>
          <w:rFonts w:ascii="Times New Roman" w:hAnsi="Times New Roman" w:cs="Times New Roman"/>
          <w:sz w:val="24"/>
          <w:szCs w:val="24"/>
        </w:rPr>
        <w:t xml:space="preserve">as “blocks” </w:t>
      </w:r>
      <w:r w:rsidR="00A22AA9">
        <w:rPr>
          <w:rFonts w:ascii="Times New Roman" w:hAnsi="Times New Roman" w:cs="Times New Roman"/>
          <w:sz w:val="24"/>
          <w:szCs w:val="24"/>
        </w:rPr>
        <w:t>that wind power producers must meet (see Figure</w:t>
      </w:r>
      <w:r w:rsidR="00330C72">
        <w:rPr>
          <w:rFonts w:ascii="Times New Roman" w:hAnsi="Times New Roman" w:cs="Times New Roman"/>
          <w:sz w:val="24"/>
          <w:szCs w:val="24"/>
        </w:rPr>
        <w:t xml:space="preserve"> </w:t>
      </w:r>
      <w:r w:rsidR="00E94522">
        <w:rPr>
          <w:rFonts w:ascii="Times New Roman" w:hAnsi="Times New Roman" w:cs="Times New Roman"/>
          <w:sz w:val="24"/>
          <w:szCs w:val="24"/>
        </w:rPr>
        <w:t>5). This</w:t>
      </w:r>
      <w:r w:rsidR="00330C72">
        <w:rPr>
          <w:rFonts w:ascii="Times New Roman" w:hAnsi="Times New Roman" w:cs="Times New Roman"/>
          <w:sz w:val="24"/>
          <w:szCs w:val="24"/>
        </w:rPr>
        <w:t xml:space="preserve"> regularly create conditions where</w:t>
      </w:r>
      <w:r w:rsidR="00330C72" w:rsidRPr="0095067E">
        <w:rPr>
          <w:rFonts w:ascii="Times New Roman" w:hAnsi="Times New Roman" w:cs="Times New Roman"/>
          <w:sz w:val="24"/>
          <w:szCs w:val="24"/>
        </w:rPr>
        <w:t xml:space="preserve"> </w:t>
      </w:r>
      <w:r w:rsidR="00330C72">
        <w:rPr>
          <w:rFonts w:ascii="Times New Roman" w:hAnsi="Times New Roman" w:cs="Times New Roman"/>
          <w:sz w:val="24"/>
          <w:szCs w:val="24"/>
        </w:rPr>
        <w:t xml:space="preserve">the quantity </w:t>
      </w:r>
      <m:oMath>
        <m:r>
          <w:rPr>
            <w:rFonts w:ascii="Cambria Math" w:hAnsi="Cambria Math" w:cs="Times New Roman"/>
            <w:sz w:val="24"/>
            <w:szCs w:val="24"/>
          </w:rPr>
          <m:t>max(T(t) -W(t),0)</m:t>
        </m:r>
      </m:oMath>
      <w:r w:rsidR="00330C72">
        <w:rPr>
          <w:rFonts w:ascii="Times New Roman" w:hAnsi="Times New Roman" w:cs="Times New Roman"/>
          <w:sz w:val="24"/>
          <w:szCs w:val="24"/>
        </w:rPr>
        <w:t xml:space="preserve"> in Equation 3 is non-zero, triggering a need for the wind developer to purchase “make-up” power on the sp</w:t>
      </w:r>
      <w:proofErr w:type="spellStart"/>
      <w:r w:rsidR="00330C72">
        <w:rPr>
          <w:rFonts w:ascii="Times New Roman" w:hAnsi="Times New Roman" w:cs="Times New Roman"/>
          <w:sz w:val="24"/>
          <w:szCs w:val="24"/>
        </w:rPr>
        <w:t>ot</w:t>
      </w:r>
      <w:proofErr w:type="spellEnd"/>
      <w:r w:rsidR="00330C72">
        <w:rPr>
          <w:rFonts w:ascii="Times New Roman" w:hAnsi="Times New Roman" w:cs="Times New Roman"/>
          <w:sz w:val="24"/>
          <w:szCs w:val="24"/>
        </w:rPr>
        <w:t xml:space="preserve"> market to deliver to the hedge provider. Lower wind hours tend to be hours with higher nodal prices, and these purchases of make-up power can be expensive. </w:t>
      </w:r>
      <w:r w:rsidR="00E94522">
        <w:rPr>
          <w:rFonts w:ascii="Times New Roman" w:hAnsi="Times New Roman" w:cs="Times New Roman"/>
          <w:sz w:val="24"/>
          <w:szCs w:val="24"/>
        </w:rPr>
        <w:t>Although less of the wind power production is hedged with the production volumes set lower, the alternative contract designs help mitigate some negative consequences of the widely known “shape risk” problem in P99 contracts</w:t>
      </w:r>
      <w:r w:rsidR="00330C72" w:rsidRPr="003A3045">
        <w:rPr>
          <w:rFonts w:ascii="Times New Roman" w:hAnsi="Times New Roman" w:cs="Times New Roman"/>
          <w:sz w:val="24"/>
          <w:szCs w:val="24"/>
        </w:rPr>
        <w:t xml:space="preserve"> [17].</w:t>
      </w:r>
    </w:p>
    <w:p w14:paraId="02C2C1F9" w14:textId="7B3AA734" w:rsidR="00AA05CE" w:rsidRPr="0095067E" w:rsidRDefault="00E94522" w:rsidP="00383DED">
      <w:pPr>
        <w:spacing w:before="40" w:after="0" w:line="480" w:lineRule="auto"/>
        <w:ind w:firstLine="720"/>
        <w:jc w:val="both"/>
        <w:rPr>
          <w:rFonts w:ascii="Times New Roman" w:hAnsi="Times New Roman" w:cs="Times New Roman"/>
          <w:color w:val="FF0000"/>
          <w:sz w:val="24"/>
          <w:szCs w:val="24"/>
        </w:rPr>
      </w:pPr>
      <w:r>
        <w:rPr>
          <w:rFonts w:ascii="Times New Roman" w:hAnsi="Times New Roman" w:cs="Times New Roman"/>
          <w:sz w:val="24"/>
          <w:szCs w:val="24"/>
        </w:rPr>
        <w:t xml:space="preserve">Moreover, we find that in several months </w:t>
      </w:r>
      <w:r w:rsidRPr="003A3045">
        <w:rPr>
          <w:rFonts w:ascii="Times New Roman" w:hAnsi="Times New Roman" w:cs="Times New Roman"/>
          <w:sz w:val="24"/>
          <w:szCs w:val="24"/>
        </w:rPr>
        <w:t xml:space="preserve">it would be beneficial to the developer </w:t>
      </w:r>
      <w:r>
        <w:rPr>
          <w:rFonts w:ascii="Times New Roman" w:hAnsi="Times New Roman" w:cs="Times New Roman"/>
          <w:sz w:val="24"/>
          <w:szCs w:val="24"/>
        </w:rPr>
        <w:t xml:space="preserve">to </w:t>
      </w:r>
      <w:r w:rsidRPr="003A3045">
        <w:rPr>
          <w:rFonts w:ascii="Times New Roman" w:hAnsi="Times New Roman" w:cs="Times New Roman"/>
          <w:sz w:val="24"/>
          <w:szCs w:val="24"/>
        </w:rPr>
        <w:t>not to hedge at all</w:t>
      </w:r>
      <w:r>
        <w:rPr>
          <w:rFonts w:ascii="Times New Roman" w:hAnsi="Times New Roman" w:cs="Times New Roman"/>
          <w:sz w:val="24"/>
          <w:szCs w:val="24"/>
        </w:rPr>
        <w:t xml:space="preserve">. </w:t>
      </w:r>
      <w:r w:rsidR="001E2C5A">
        <w:rPr>
          <w:rFonts w:ascii="Times New Roman" w:hAnsi="Times New Roman" w:cs="Times New Roman"/>
          <w:sz w:val="24"/>
          <w:szCs w:val="24"/>
        </w:rPr>
        <w:t xml:space="preserve">In general, </w:t>
      </w:r>
      <w:r>
        <w:rPr>
          <w:rFonts w:ascii="Times New Roman" w:hAnsi="Times New Roman" w:cs="Times New Roman"/>
          <w:sz w:val="24"/>
          <w:szCs w:val="24"/>
        </w:rPr>
        <w:t xml:space="preserve">our results suggest that </w:t>
      </w:r>
      <w:r w:rsidR="001E2C5A">
        <w:rPr>
          <w:rFonts w:ascii="Times New Roman" w:hAnsi="Times New Roman" w:cs="Times New Roman"/>
          <w:sz w:val="24"/>
          <w:szCs w:val="24"/>
        </w:rPr>
        <w:t>in</w:t>
      </w:r>
      <w:r w:rsidR="001E2C5A" w:rsidRPr="003A3045">
        <w:rPr>
          <w:rFonts w:ascii="Times New Roman" w:hAnsi="Times New Roman" w:cs="Times New Roman"/>
          <w:sz w:val="24"/>
          <w:szCs w:val="24"/>
        </w:rPr>
        <w:t xml:space="preserve"> </w:t>
      </w:r>
      <w:r w:rsidR="0095067E">
        <w:rPr>
          <w:rFonts w:ascii="Times New Roman" w:hAnsi="Times New Roman" w:cs="Times New Roman"/>
          <w:sz w:val="24"/>
          <w:szCs w:val="24"/>
        </w:rPr>
        <w:t>summer</w:t>
      </w:r>
      <w:r w:rsidR="001E2C5A" w:rsidRPr="003A3045">
        <w:rPr>
          <w:rFonts w:ascii="Times New Roman" w:hAnsi="Times New Roman" w:cs="Times New Roman"/>
          <w:sz w:val="24"/>
          <w:szCs w:val="24"/>
        </w:rPr>
        <w:t xml:space="preserve"> </w:t>
      </w:r>
      <w:r w:rsidR="001E2C5A">
        <w:rPr>
          <w:rFonts w:ascii="Times New Roman" w:hAnsi="Times New Roman" w:cs="Times New Roman"/>
          <w:sz w:val="24"/>
          <w:szCs w:val="24"/>
        </w:rPr>
        <w:t>(</w:t>
      </w:r>
      <w:r w:rsidR="001E2C5A" w:rsidRPr="003A3045">
        <w:rPr>
          <w:rFonts w:ascii="Times New Roman" w:hAnsi="Times New Roman" w:cs="Times New Roman"/>
          <w:sz w:val="24"/>
          <w:szCs w:val="24"/>
        </w:rPr>
        <w:t>when nodal prices tend to be high and wind production tends to be low</w:t>
      </w:r>
      <w:r w:rsidR="001E2C5A">
        <w:rPr>
          <w:rFonts w:ascii="Times New Roman" w:hAnsi="Times New Roman" w:cs="Times New Roman"/>
          <w:sz w:val="24"/>
          <w:szCs w:val="24"/>
        </w:rPr>
        <w:t>)</w:t>
      </w:r>
      <w:r w:rsidR="001E2C5A" w:rsidRPr="003A3045">
        <w:rPr>
          <w:rFonts w:ascii="Times New Roman" w:hAnsi="Times New Roman" w:cs="Times New Roman"/>
          <w:sz w:val="24"/>
          <w:szCs w:val="24"/>
        </w:rPr>
        <w:t xml:space="preserve">, it </w:t>
      </w:r>
      <w:r w:rsidR="001E2C5A">
        <w:rPr>
          <w:rFonts w:ascii="Times New Roman" w:hAnsi="Times New Roman" w:cs="Times New Roman"/>
          <w:sz w:val="24"/>
          <w:szCs w:val="24"/>
        </w:rPr>
        <w:t>is</w:t>
      </w:r>
      <w:r w:rsidR="001E2C5A" w:rsidRPr="003A3045">
        <w:rPr>
          <w:rFonts w:ascii="Times New Roman" w:hAnsi="Times New Roman" w:cs="Times New Roman"/>
          <w:sz w:val="24"/>
          <w:szCs w:val="24"/>
        </w:rPr>
        <w:t xml:space="preserve"> not </w:t>
      </w:r>
      <w:r w:rsidR="001E2C5A">
        <w:rPr>
          <w:rFonts w:ascii="Times New Roman" w:hAnsi="Times New Roman" w:cs="Times New Roman"/>
          <w:sz w:val="24"/>
          <w:szCs w:val="24"/>
        </w:rPr>
        <w:t xml:space="preserve">advantageous for developers to cover large volumes of </w:t>
      </w:r>
      <w:r w:rsidR="001E2C5A" w:rsidRPr="003A3045">
        <w:rPr>
          <w:rFonts w:ascii="Times New Roman" w:hAnsi="Times New Roman" w:cs="Times New Roman"/>
          <w:sz w:val="24"/>
          <w:szCs w:val="24"/>
        </w:rPr>
        <w:t xml:space="preserve">wind </w:t>
      </w:r>
      <w:r w:rsidR="001E2C5A">
        <w:rPr>
          <w:rFonts w:ascii="Times New Roman" w:hAnsi="Times New Roman" w:cs="Times New Roman"/>
          <w:sz w:val="24"/>
          <w:szCs w:val="24"/>
        </w:rPr>
        <w:t xml:space="preserve">power </w:t>
      </w:r>
      <w:r w:rsidR="001E2C5A" w:rsidRPr="003A3045">
        <w:rPr>
          <w:rFonts w:ascii="Times New Roman" w:hAnsi="Times New Roman" w:cs="Times New Roman"/>
          <w:sz w:val="24"/>
          <w:szCs w:val="24"/>
        </w:rPr>
        <w:t>production</w:t>
      </w:r>
      <w:r w:rsidR="001E2C5A">
        <w:rPr>
          <w:rFonts w:ascii="Times New Roman" w:hAnsi="Times New Roman" w:cs="Times New Roman"/>
          <w:sz w:val="24"/>
          <w:szCs w:val="24"/>
        </w:rPr>
        <w:t xml:space="preserve"> (if any) using fixed volume swaps</w:t>
      </w:r>
      <w:r w:rsidR="001E2C5A" w:rsidRPr="003A3045">
        <w:rPr>
          <w:rFonts w:ascii="Times New Roman" w:hAnsi="Times New Roman" w:cs="Times New Roman"/>
          <w:sz w:val="24"/>
          <w:szCs w:val="24"/>
        </w:rPr>
        <w:t xml:space="preserve">. </w:t>
      </w:r>
      <w:r w:rsidR="001E2C5A">
        <w:rPr>
          <w:rFonts w:ascii="Times New Roman" w:hAnsi="Times New Roman" w:cs="Times New Roman"/>
          <w:sz w:val="24"/>
          <w:szCs w:val="24"/>
        </w:rPr>
        <w:t>The</w:t>
      </w:r>
      <w:r w:rsidR="001E2C5A" w:rsidRPr="003A3045">
        <w:rPr>
          <w:rFonts w:ascii="Times New Roman" w:hAnsi="Times New Roman" w:cs="Times New Roman"/>
          <w:sz w:val="24"/>
          <w:szCs w:val="24"/>
        </w:rPr>
        <w:t xml:space="preserve"> strike price in the contract </w:t>
      </w:r>
      <w:r w:rsidR="001E2C5A">
        <w:rPr>
          <w:rFonts w:ascii="Times New Roman" w:hAnsi="Times New Roman" w:cs="Times New Roman"/>
          <w:sz w:val="24"/>
          <w:szCs w:val="24"/>
        </w:rPr>
        <w:t>(</w:t>
      </w:r>
      <m:oMath>
        <m:r>
          <w:rPr>
            <w:rFonts w:ascii="Cambria Math" w:hAnsi="Cambria Math" w:cs="Times New Roman"/>
            <w:sz w:val="24"/>
            <w:szCs w:val="24"/>
          </w:rPr>
          <m:t>S</m:t>
        </m:r>
      </m:oMath>
      <w:r w:rsidR="001E2C5A">
        <w:rPr>
          <w:rFonts w:ascii="Times New Roman" w:hAnsi="Times New Roman" w:cs="Times New Roman"/>
          <w:sz w:val="24"/>
          <w:szCs w:val="24"/>
        </w:rPr>
        <w:t xml:space="preserve"> in Equation 3) is $22.64/MWh; this is lower than the</w:t>
      </w:r>
      <w:r w:rsidR="001E2C5A" w:rsidRPr="003A3045">
        <w:rPr>
          <w:rFonts w:ascii="Times New Roman" w:hAnsi="Times New Roman" w:cs="Times New Roman"/>
          <w:sz w:val="24"/>
          <w:szCs w:val="24"/>
        </w:rPr>
        <w:t xml:space="preserve"> </w:t>
      </w:r>
      <w:r w:rsidR="001E2C5A">
        <w:rPr>
          <w:rFonts w:ascii="Times New Roman" w:hAnsi="Times New Roman" w:cs="Times New Roman"/>
          <w:sz w:val="24"/>
          <w:szCs w:val="24"/>
        </w:rPr>
        <w:t>hub</w:t>
      </w:r>
      <w:r w:rsidR="001E2C5A" w:rsidRPr="003A3045">
        <w:rPr>
          <w:rFonts w:ascii="Times New Roman" w:hAnsi="Times New Roman" w:cs="Times New Roman"/>
          <w:sz w:val="24"/>
          <w:szCs w:val="24"/>
        </w:rPr>
        <w:t xml:space="preserve"> price more often than not</w:t>
      </w:r>
      <w:r w:rsidR="001E2C5A">
        <w:rPr>
          <w:rFonts w:ascii="Times New Roman" w:hAnsi="Times New Roman" w:cs="Times New Roman"/>
          <w:sz w:val="24"/>
          <w:szCs w:val="24"/>
        </w:rPr>
        <w:t xml:space="preserve"> during </w:t>
      </w:r>
      <w:r w:rsidR="0095067E">
        <w:rPr>
          <w:rFonts w:ascii="Times New Roman" w:hAnsi="Times New Roman" w:cs="Times New Roman"/>
          <w:sz w:val="24"/>
          <w:szCs w:val="24"/>
        </w:rPr>
        <w:t>summer</w:t>
      </w:r>
      <w:r w:rsidR="001E2C5A">
        <w:rPr>
          <w:rFonts w:ascii="Times New Roman" w:hAnsi="Times New Roman" w:cs="Times New Roman"/>
          <w:sz w:val="24"/>
          <w:szCs w:val="24"/>
        </w:rPr>
        <w:t xml:space="preserve"> months</w:t>
      </w:r>
      <w:r w:rsidR="001E2C5A" w:rsidRPr="003A3045">
        <w:rPr>
          <w:rFonts w:ascii="Times New Roman" w:hAnsi="Times New Roman" w:cs="Times New Roman"/>
          <w:sz w:val="24"/>
          <w:szCs w:val="24"/>
        </w:rPr>
        <w:t>, meaning the contract</w:t>
      </w:r>
      <w:r w:rsidR="001E2C5A">
        <w:rPr>
          <w:rFonts w:ascii="Times New Roman" w:hAnsi="Times New Roman" w:cs="Times New Roman"/>
          <w:sz w:val="24"/>
          <w:szCs w:val="24"/>
        </w:rPr>
        <w:t xml:space="preserve"> disproportionately</w:t>
      </w:r>
      <w:r w:rsidR="001E2C5A" w:rsidRPr="003A3045">
        <w:rPr>
          <w:rFonts w:ascii="Times New Roman" w:hAnsi="Times New Roman" w:cs="Times New Roman"/>
          <w:sz w:val="24"/>
          <w:szCs w:val="24"/>
        </w:rPr>
        <w:t xml:space="preserve"> pays out to the </w:t>
      </w:r>
      <w:r w:rsidR="005B2E8C">
        <w:rPr>
          <w:rFonts w:ascii="Times New Roman" w:hAnsi="Times New Roman" w:cs="Times New Roman"/>
          <w:sz w:val="24"/>
          <w:szCs w:val="24"/>
        </w:rPr>
        <w:t>hedge provider</w:t>
      </w:r>
      <w:r w:rsidR="001E2C5A">
        <w:rPr>
          <w:rFonts w:ascii="Times New Roman" w:hAnsi="Times New Roman" w:cs="Times New Roman"/>
          <w:sz w:val="24"/>
          <w:szCs w:val="24"/>
        </w:rPr>
        <w:t xml:space="preserve"> (the quantity </w:t>
      </w:r>
      <m:oMath>
        <m:d>
          <m:dPr>
            <m:ctrlPr>
              <w:rPr>
                <w:rFonts w:ascii="Cambria Math" w:hAnsi="Cambria Math" w:cs="Times New Roman"/>
                <w:i/>
                <w:sz w:val="24"/>
                <w:szCs w:val="24"/>
              </w:rPr>
            </m:ctrlPr>
          </m:dPr>
          <m:e>
            <m:r>
              <w:rPr>
                <w:rFonts w:ascii="Cambria Math" w:hAnsi="Cambria Math" w:cs="Times New Roman"/>
                <w:sz w:val="24"/>
                <w:szCs w:val="24"/>
              </w:rPr>
              <m:t>S - HP</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t</m:t>
            </m:r>
          </m:e>
        </m:d>
      </m:oMath>
      <w:r w:rsidR="001E2C5A">
        <w:rPr>
          <w:rFonts w:ascii="Times New Roman" w:hAnsi="Times New Roman" w:cs="Times New Roman"/>
          <w:sz w:val="24"/>
          <w:szCs w:val="24"/>
        </w:rPr>
        <w:t xml:space="preserve"> </w:t>
      </w:r>
      <w:r w:rsidR="005B2E8C">
        <w:rPr>
          <w:rFonts w:ascii="Times New Roman" w:hAnsi="Times New Roman" w:cs="Times New Roman"/>
          <w:sz w:val="24"/>
          <w:szCs w:val="24"/>
        </w:rPr>
        <w:t xml:space="preserve">in Equation 3 becomes </w:t>
      </w:r>
      <w:r w:rsidR="001E2C5A">
        <w:rPr>
          <w:rFonts w:ascii="Times New Roman" w:hAnsi="Times New Roman" w:cs="Times New Roman"/>
          <w:sz w:val="24"/>
          <w:szCs w:val="24"/>
        </w:rPr>
        <w:t>negative)</w:t>
      </w:r>
      <w:r w:rsidR="001E2C5A" w:rsidRPr="003A3045">
        <w:rPr>
          <w:rFonts w:ascii="Times New Roman" w:hAnsi="Times New Roman" w:cs="Times New Roman"/>
          <w:sz w:val="24"/>
          <w:szCs w:val="24"/>
        </w:rPr>
        <w:t>.</w:t>
      </w:r>
      <w:r w:rsidR="00383DED">
        <w:rPr>
          <w:rFonts w:ascii="Times New Roman" w:hAnsi="Times New Roman" w:cs="Times New Roman"/>
          <w:sz w:val="24"/>
          <w:szCs w:val="24"/>
        </w:rPr>
        <w:t xml:space="preserve"> Thus, the alternative contract designs tend to minimize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t</m:t>
            </m:r>
          </m:e>
        </m:d>
      </m:oMath>
      <w:r w:rsidR="005B2E8C">
        <w:rPr>
          <w:rFonts w:ascii="Times New Roman" w:hAnsi="Times New Roman" w:cs="Times New Roman"/>
          <w:sz w:val="24"/>
          <w:szCs w:val="24"/>
        </w:rPr>
        <w:t xml:space="preserve"> during these months</w:t>
      </w:r>
      <w:r>
        <w:rPr>
          <w:rFonts w:ascii="Times New Roman" w:hAnsi="Times New Roman" w:cs="Times New Roman"/>
          <w:sz w:val="24"/>
          <w:szCs w:val="24"/>
        </w:rPr>
        <w:t xml:space="preserve">. </w:t>
      </w:r>
      <w:r w:rsidR="0095067E">
        <w:rPr>
          <w:rFonts w:ascii="Times New Roman" w:hAnsi="Times New Roman" w:cs="Times New Roman"/>
          <w:sz w:val="24"/>
          <w:szCs w:val="24"/>
        </w:rPr>
        <w:t xml:space="preserve">An added advantage of hedging </w:t>
      </w:r>
      <w:r>
        <w:rPr>
          <w:rFonts w:ascii="Times New Roman" w:hAnsi="Times New Roman" w:cs="Times New Roman"/>
          <w:sz w:val="24"/>
          <w:szCs w:val="24"/>
        </w:rPr>
        <w:t xml:space="preserve">much </w:t>
      </w:r>
      <w:r w:rsidR="0095067E">
        <w:rPr>
          <w:rFonts w:ascii="Times New Roman" w:hAnsi="Times New Roman" w:cs="Times New Roman"/>
          <w:sz w:val="24"/>
          <w:szCs w:val="24"/>
        </w:rPr>
        <w:t>lower amounts of wind generation during summer</w:t>
      </w:r>
      <w:r>
        <w:rPr>
          <w:rFonts w:ascii="Times New Roman" w:hAnsi="Times New Roman" w:cs="Times New Roman"/>
          <w:sz w:val="24"/>
          <w:szCs w:val="24"/>
        </w:rPr>
        <w:t xml:space="preserve"> (or not hedging at all),</w:t>
      </w:r>
      <w:r w:rsidR="0095067E">
        <w:rPr>
          <w:rFonts w:ascii="Times New Roman" w:hAnsi="Times New Roman" w:cs="Times New Roman"/>
          <w:sz w:val="24"/>
          <w:szCs w:val="24"/>
        </w:rPr>
        <w:t xml:space="preserve"> is that the wind developer can avoid buying </w:t>
      </w:r>
      <w:r>
        <w:rPr>
          <w:rFonts w:ascii="Times New Roman" w:hAnsi="Times New Roman" w:cs="Times New Roman"/>
          <w:sz w:val="24"/>
          <w:szCs w:val="24"/>
        </w:rPr>
        <w:t xml:space="preserve">particularly </w:t>
      </w:r>
      <w:r w:rsidR="0095067E">
        <w:rPr>
          <w:rFonts w:ascii="Times New Roman" w:hAnsi="Times New Roman" w:cs="Times New Roman"/>
          <w:sz w:val="24"/>
          <w:szCs w:val="24"/>
        </w:rPr>
        <w:t>expensive “make-up” power as a result of missin</w:t>
      </w:r>
      <w:r>
        <w:rPr>
          <w:rFonts w:ascii="Times New Roman" w:hAnsi="Times New Roman" w:cs="Times New Roman"/>
          <w:sz w:val="24"/>
          <w:szCs w:val="24"/>
        </w:rPr>
        <w:t xml:space="preserve">g its hourly production targets. </w:t>
      </w:r>
      <w:r w:rsidR="00383DED">
        <w:rPr>
          <w:rFonts w:ascii="Times New Roman" w:hAnsi="Times New Roman" w:cs="Times New Roman"/>
          <w:sz w:val="24"/>
          <w:szCs w:val="24"/>
        </w:rPr>
        <w:t>Instead, we find that th</w:t>
      </w:r>
      <w:r w:rsidR="001E2C5A" w:rsidRPr="003A3045">
        <w:rPr>
          <w:rFonts w:ascii="Times New Roman" w:hAnsi="Times New Roman" w:cs="Times New Roman"/>
          <w:sz w:val="24"/>
          <w:szCs w:val="24"/>
        </w:rPr>
        <w:t xml:space="preserve">e developer should concentrate on hedging wind production </w:t>
      </w:r>
      <w:r w:rsidR="00383DED">
        <w:rPr>
          <w:rFonts w:ascii="Times New Roman" w:hAnsi="Times New Roman" w:cs="Times New Roman"/>
          <w:sz w:val="24"/>
          <w:szCs w:val="24"/>
        </w:rPr>
        <w:t xml:space="preserve">against low prices </w:t>
      </w:r>
      <w:r w:rsidR="001E2C5A" w:rsidRPr="003A3045">
        <w:rPr>
          <w:rFonts w:ascii="Times New Roman" w:hAnsi="Times New Roman" w:cs="Times New Roman"/>
          <w:sz w:val="24"/>
          <w:szCs w:val="24"/>
        </w:rPr>
        <w:t xml:space="preserve">during the 2 or 3 months out of the year when wind production is high and </w:t>
      </w:r>
      <w:r w:rsidR="00383DED">
        <w:rPr>
          <w:rFonts w:ascii="Times New Roman" w:hAnsi="Times New Roman" w:cs="Times New Roman"/>
          <w:sz w:val="24"/>
          <w:szCs w:val="24"/>
        </w:rPr>
        <w:t>hub</w:t>
      </w:r>
      <w:r w:rsidR="001E2C5A" w:rsidRPr="003A3045">
        <w:rPr>
          <w:rFonts w:ascii="Times New Roman" w:hAnsi="Times New Roman" w:cs="Times New Roman"/>
          <w:sz w:val="24"/>
          <w:szCs w:val="24"/>
        </w:rPr>
        <w:t xml:space="preserve"> prices are low, i.e. </w:t>
      </w:r>
      <w:proofErr w:type="gramStart"/>
      <w:r w:rsidR="0095067E">
        <w:rPr>
          <w:rFonts w:ascii="Times New Roman" w:hAnsi="Times New Roman" w:cs="Times New Roman"/>
          <w:sz w:val="24"/>
          <w:szCs w:val="24"/>
        </w:rPr>
        <w:t>Spring</w:t>
      </w:r>
      <w:proofErr w:type="gramEnd"/>
      <w:r w:rsidR="00383DED">
        <w:rPr>
          <w:rFonts w:ascii="Times New Roman" w:hAnsi="Times New Roman" w:cs="Times New Roman"/>
          <w:sz w:val="24"/>
          <w:szCs w:val="24"/>
        </w:rPr>
        <w:t xml:space="preserve"> and </w:t>
      </w:r>
      <w:r w:rsidR="0095067E">
        <w:rPr>
          <w:rFonts w:ascii="Times New Roman" w:hAnsi="Times New Roman" w:cs="Times New Roman"/>
          <w:sz w:val="24"/>
          <w:szCs w:val="24"/>
        </w:rPr>
        <w:t>Fall</w:t>
      </w:r>
      <w:r w:rsidR="001E2C5A" w:rsidRPr="003A3045">
        <w:rPr>
          <w:rFonts w:ascii="Times New Roman" w:hAnsi="Times New Roman" w:cs="Times New Roman"/>
          <w:sz w:val="24"/>
          <w:szCs w:val="24"/>
        </w:rPr>
        <w:t xml:space="preserve">. </w:t>
      </w:r>
      <w:r w:rsidR="00383DED">
        <w:rPr>
          <w:rFonts w:ascii="Times New Roman" w:hAnsi="Times New Roman" w:cs="Times New Roman"/>
          <w:sz w:val="24"/>
          <w:szCs w:val="24"/>
        </w:rPr>
        <w:t>C</w:t>
      </w:r>
      <w:r w:rsidR="001E2C5A" w:rsidRPr="003A3045">
        <w:rPr>
          <w:rFonts w:ascii="Times New Roman" w:hAnsi="Times New Roman" w:cs="Times New Roman"/>
          <w:sz w:val="24"/>
          <w:szCs w:val="24"/>
        </w:rPr>
        <w:t>oncentrating on hedging during these months allows the wind developer to</w:t>
      </w:r>
      <w:r w:rsidR="00383DED">
        <w:rPr>
          <w:rFonts w:ascii="Times New Roman" w:hAnsi="Times New Roman" w:cs="Times New Roman"/>
          <w:sz w:val="24"/>
          <w:szCs w:val="24"/>
        </w:rPr>
        <w:t xml:space="preserve"> more effectively protect against low prices, while</w:t>
      </w:r>
      <w:r w:rsidR="001E2C5A" w:rsidRPr="003A3045">
        <w:rPr>
          <w:rFonts w:ascii="Times New Roman" w:hAnsi="Times New Roman" w:cs="Times New Roman"/>
          <w:sz w:val="24"/>
          <w:szCs w:val="24"/>
        </w:rPr>
        <w:t xml:space="preserve"> avoid</w:t>
      </w:r>
      <w:r w:rsidR="00383DED">
        <w:rPr>
          <w:rFonts w:ascii="Times New Roman" w:hAnsi="Times New Roman" w:cs="Times New Roman"/>
          <w:sz w:val="24"/>
          <w:szCs w:val="24"/>
        </w:rPr>
        <w:t>ing</w:t>
      </w:r>
      <w:r w:rsidR="001E2C5A" w:rsidRPr="003A3045">
        <w:rPr>
          <w:rFonts w:ascii="Times New Roman" w:hAnsi="Times New Roman" w:cs="Times New Roman"/>
          <w:sz w:val="24"/>
          <w:szCs w:val="24"/>
        </w:rPr>
        <w:t xml:space="preserve"> paying exorbitant sums to the hedge </w:t>
      </w:r>
      <w:r w:rsidR="00383DED">
        <w:rPr>
          <w:rFonts w:ascii="Times New Roman" w:hAnsi="Times New Roman" w:cs="Times New Roman"/>
          <w:sz w:val="24"/>
          <w:szCs w:val="24"/>
        </w:rPr>
        <w:t>provider</w:t>
      </w:r>
      <w:r w:rsidR="001E2C5A" w:rsidRPr="003A3045">
        <w:rPr>
          <w:rFonts w:ascii="Times New Roman" w:hAnsi="Times New Roman" w:cs="Times New Roman"/>
          <w:sz w:val="24"/>
          <w:szCs w:val="24"/>
        </w:rPr>
        <w:t xml:space="preserve">. </w:t>
      </w:r>
    </w:p>
    <w:p w14:paraId="555A0ACC" w14:textId="7A5D17B0" w:rsidR="00023AFA" w:rsidRDefault="00023AFA" w:rsidP="00C00268">
      <w:pPr>
        <w:spacing w:after="0" w:line="480" w:lineRule="auto"/>
        <w:ind w:firstLine="720"/>
        <w:jc w:val="both"/>
        <w:rPr>
          <w:rFonts w:ascii="Times New Roman" w:hAnsi="Times New Roman" w:cs="Times New Roman"/>
          <w:sz w:val="24"/>
          <w:szCs w:val="24"/>
        </w:rPr>
      </w:pPr>
    </w:p>
    <w:p w14:paraId="07AA50F7" w14:textId="200E6254" w:rsidR="00786A4D" w:rsidRDefault="003B170F" w:rsidP="003B170F">
      <w:pPr>
        <w:keepNext/>
        <w:spacing w:after="0" w:line="480" w:lineRule="auto"/>
        <w:jc w:val="center"/>
      </w:pPr>
      <w:r w:rsidRPr="003B170F">
        <w:lastRenderedPageBreak/>
        <w:drawing>
          <wp:inline distT="0" distB="0" distL="0" distR="0" wp14:anchorId="62DF02B6" wp14:editId="7B8E870C">
            <wp:extent cx="6161640" cy="44577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cstate="print">
                      <a:extLst>
                        <a:ext uri="{28A0092B-C50C-407E-A947-70E740481C1C}">
                          <a14:useLocalDpi xmlns:a14="http://schemas.microsoft.com/office/drawing/2010/main" val="0"/>
                        </a:ext>
                      </a:extLst>
                    </a:blip>
                    <a:srcRect r="7851"/>
                    <a:stretch/>
                  </pic:blipFill>
                  <pic:spPr bwMode="auto">
                    <a:xfrm>
                      <a:off x="0" y="0"/>
                      <a:ext cx="6163218" cy="4458842"/>
                    </a:xfrm>
                    <a:prstGeom prst="rect">
                      <a:avLst/>
                    </a:prstGeom>
                    <a:ln>
                      <a:noFill/>
                    </a:ln>
                    <a:extLst>
                      <a:ext uri="{53640926-AAD7-44D8-BBD7-CCE9431645EC}">
                        <a14:shadowObscured xmlns:a14="http://schemas.microsoft.com/office/drawing/2010/main"/>
                      </a:ext>
                    </a:extLst>
                  </pic:spPr>
                </pic:pic>
              </a:graphicData>
            </a:graphic>
          </wp:inline>
        </w:drawing>
      </w:r>
    </w:p>
    <w:p w14:paraId="2BF0BED1" w14:textId="5A171E33" w:rsidR="00786A4D" w:rsidRPr="00786A4D" w:rsidRDefault="00786A4D" w:rsidP="00786A4D">
      <w:pPr>
        <w:pStyle w:val="Caption"/>
        <w:jc w:val="both"/>
        <w:rPr>
          <w:rFonts w:ascii="Times New Roman" w:hAnsi="Times New Roman" w:cs="Times New Roman"/>
          <w:i w:val="0"/>
          <w:color w:val="auto"/>
        </w:rPr>
      </w:pPr>
      <w:r w:rsidRPr="00786A4D">
        <w:rPr>
          <w:rFonts w:ascii="Times New Roman" w:hAnsi="Times New Roman" w:cs="Times New Roman"/>
          <w:b/>
          <w:i w:val="0"/>
          <w:color w:val="auto"/>
        </w:rPr>
        <w:t xml:space="preserve">Figure 8. </w:t>
      </w:r>
      <w:r>
        <w:rPr>
          <w:rFonts w:ascii="Times New Roman" w:hAnsi="Times New Roman" w:cs="Times New Roman"/>
          <w:i w:val="0"/>
          <w:color w:val="auto"/>
        </w:rPr>
        <w:t>Monthly wind power production targets (</w:t>
      </w:r>
      <m:oMath>
        <m:r>
          <w:rPr>
            <w:rFonts w:ascii="Cambria Math" w:hAnsi="Cambria Math" w:cs="Times New Roman"/>
            <w:color w:val="auto"/>
          </w:rPr>
          <m:t>T(t)</m:t>
        </m:r>
      </m:oMath>
      <w:r>
        <w:rPr>
          <w:rFonts w:ascii="Times New Roman" w:hAnsi="Times New Roman" w:cs="Times New Roman"/>
          <w:i w:val="0"/>
          <w:color w:val="auto"/>
        </w:rPr>
        <w:t xml:space="preserve">) identified for the maximum floor improvement contract design at each node, compared alongside targets specified by a conventional P99. </w:t>
      </w:r>
    </w:p>
    <w:p w14:paraId="6062A423" w14:textId="5C311F9D" w:rsidR="00023AFA" w:rsidRDefault="00023AFA" w:rsidP="00C00268">
      <w:pPr>
        <w:spacing w:after="0" w:line="480" w:lineRule="auto"/>
        <w:ind w:firstLine="720"/>
        <w:jc w:val="both"/>
        <w:rPr>
          <w:rFonts w:ascii="Times New Roman" w:hAnsi="Times New Roman" w:cs="Times New Roman"/>
          <w:sz w:val="24"/>
          <w:szCs w:val="24"/>
        </w:rPr>
      </w:pPr>
    </w:p>
    <w:p w14:paraId="3CD56C73" w14:textId="644C2701" w:rsidR="00126393" w:rsidRPr="003A3045" w:rsidRDefault="00786A4D" w:rsidP="00C0026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do notice important differences in the monthly hedge targets identified </w:t>
      </w:r>
      <w:r w:rsidR="00542C5C">
        <w:rPr>
          <w:rFonts w:ascii="Times New Roman" w:hAnsi="Times New Roman" w:cs="Times New Roman"/>
          <w:sz w:val="24"/>
          <w:szCs w:val="24"/>
        </w:rPr>
        <w:t xml:space="preserve">for each node; these differences are entirely due to differences in nodal prices, and they likely explain observed differences in the shape and position of the tradeoff frontiers shown in Figure 7. For </w:t>
      </w:r>
      <w:commentRangeStart w:id="15"/>
      <w:r w:rsidR="00542C5C">
        <w:rPr>
          <w:rFonts w:ascii="Times New Roman" w:hAnsi="Times New Roman" w:cs="Times New Roman"/>
          <w:sz w:val="24"/>
          <w:szCs w:val="24"/>
        </w:rPr>
        <w:t>example</w:t>
      </w:r>
      <w:commentRangeEnd w:id="15"/>
      <w:r w:rsidR="00126393">
        <w:rPr>
          <w:rStyle w:val="CommentReference"/>
        </w:rPr>
        <w:commentReference w:id="15"/>
      </w:r>
      <w:r w:rsidR="00D443FC">
        <w:rPr>
          <w:rFonts w:ascii="Times New Roman" w:hAnsi="Times New Roman" w:cs="Times New Roman"/>
          <w:sz w:val="24"/>
          <w:szCs w:val="24"/>
        </w:rPr>
        <w:t>, as noted above, the “</w:t>
      </w:r>
      <w:r w:rsidR="00D443FC" w:rsidRPr="003A3045">
        <w:rPr>
          <w:rFonts w:ascii="Times New Roman" w:hAnsi="Times New Roman" w:cs="Times New Roman"/>
          <w:sz w:val="24"/>
          <w:szCs w:val="24"/>
        </w:rPr>
        <w:t>WFEC_MOORELAND_2</w:t>
      </w:r>
      <w:r w:rsidR="00D443FC">
        <w:rPr>
          <w:rFonts w:ascii="Times New Roman" w:hAnsi="Times New Roman" w:cs="Times New Roman"/>
          <w:sz w:val="24"/>
          <w:szCs w:val="24"/>
        </w:rPr>
        <w:t>” node experienced a significant spike in its nodal price in April 2017</w:t>
      </w:r>
      <w:r w:rsidR="005B2132">
        <w:rPr>
          <w:rFonts w:ascii="Times New Roman" w:hAnsi="Times New Roman" w:cs="Times New Roman"/>
          <w:sz w:val="24"/>
          <w:szCs w:val="24"/>
        </w:rPr>
        <w:t xml:space="preserve"> (see Figure 3)</w:t>
      </w:r>
      <w:r w:rsidR="00D443FC">
        <w:rPr>
          <w:rFonts w:ascii="Times New Roman" w:hAnsi="Times New Roman" w:cs="Times New Roman"/>
          <w:sz w:val="24"/>
          <w:szCs w:val="24"/>
        </w:rPr>
        <w:t>. If a hypothetical</w:t>
      </w:r>
      <w:r w:rsidR="005B2132">
        <w:rPr>
          <w:rFonts w:ascii="Times New Roman" w:hAnsi="Times New Roman" w:cs="Times New Roman"/>
          <w:sz w:val="24"/>
          <w:szCs w:val="24"/>
        </w:rPr>
        <w:t xml:space="preserve"> wind power producer</w:t>
      </w:r>
      <w:r w:rsidR="00D443FC">
        <w:rPr>
          <w:rFonts w:ascii="Times New Roman" w:hAnsi="Times New Roman" w:cs="Times New Roman"/>
          <w:sz w:val="24"/>
          <w:szCs w:val="24"/>
        </w:rPr>
        <w:t xml:space="preserve"> engaged in a P99 fixed volume swap at this node </w:t>
      </w:r>
      <w:r w:rsidR="005B2132">
        <w:rPr>
          <w:rFonts w:ascii="Times New Roman" w:hAnsi="Times New Roman" w:cs="Times New Roman"/>
          <w:sz w:val="24"/>
          <w:szCs w:val="24"/>
        </w:rPr>
        <w:t xml:space="preserve">simultaneously </w:t>
      </w:r>
      <w:r w:rsidR="00D443FC">
        <w:rPr>
          <w:rFonts w:ascii="Times New Roman" w:hAnsi="Times New Roman" w:cs="Times New Roman"/>
          <w:sz w:val="24"/>
          <w:szCs w:val="24"/>
        </w:rPr>
        <w:t xml:space="preserve">experienced lower than normal wind speeds (causing it to </w:t>
      </w:r>
      <w:r w:rsidR="005B2132">
        <w:rPr>
          <w:rFonts w:ascii="Times New Roman" w:hAnsi="Times New Roman" w:cs="Times New Roman"/>
          <w:sz w:val="24"/>
          <w:szCs w:val="24"/>
        </w:rPr>
        <w:t>under-</w:t>
      </w:r>
      <w:r w:rsidR="00D443FC">
        <w:rPr>
          <w:rFonts w:ascii="Times New Roman" w:hAnsi="Times New Roman" w:cs="Times New Roman"/>
          <w:sz w:val="24"/>
          <w:szCs w:val="24"/>
        </w:rPr>
        <w:t>produce relative to the hourly targets specified in the contract)</w:t>
      </w:r>
      <w:r w:rsidR="005B2132">
        <w:rPr>
          <w:rFonts w:ascii="Times New Roman" w:hAnsi="Times New Roman" w:cs="Times New Roman"/>
          <w:sz w:val="24"/>
          <w:szCs w:val="24"/>
        </w:rPr>
        <w:t>, the wind producer would be required</w:t>
      </w:r>
      <w:r w:rsidR="00D443FC">
        <w:rPr>
          <w:rFonts w:ascii="Times New Roman" w:hAnsi="Times New Roman" w:cs="Times New Roman"/>
          <w:sz w:val="24"/>
          <w:szCs w:val="24"/>
        </w:rPr>
        <w:t xml:space="preserve"> to purchase ma</w:t>
      </w:r>
      <w:r w:rsidR="005B2132">
        <w:rPr>
          <w:rFonts w:ascii="Times New Roman" w:hAnsi="Times New Roman" w:cs="Times New Roman"/>
          <w:sz w:val="24"/>
          <w:szCs w:val="24"/>
        </w:rPr>
        <w:t>ke-up power on the spot market at a very high price. Figure 7b shows that the net effect on the wind producer’s monthly revenues</w:t>
      </w:r>
      <w:r w:rsidR="00D443FC">
        <w:rPr>
          <w:rFonts w:ascii="Times New Roman" w:hAnsi="Times New Roman" w:cs="Times New Roman"/>
          <w:sz w:val="24"/>
          <w:szCs w:val="24"/>
        </w:rPr>
        <w:t xml:space="preserve"> would be </w:t>
      </w:r>
      <w:r w:rsidR="005B2132">
        <w:rPr>
          <w:rFonts w:ascii="Times New Roman" w:hAnsi="Times New Roman" w:cs="Times New Roman"/>
          <w:sz w:val="24"/>
          <w:szCs w:val="24"/>
        </w:rPr>
        <w:t>a loss of roughly $</w:t>
      </w:r>
      <w:r w:rsidR="007C49FA">
        <w:rPr>
          <w:rFonts w:ascii="Times New Roman" w:hAnsi="Times New Roman" w:cs="Times New Roman"/>
          <w:sz w:val="24"/>
          <w:szCs w:val="24"/>
        </w:rPr>
        <w:t>600,000</w:t>
      </w:r>
      <w:r w:rsidR="005B2132">
        <w:rPr>
          <w:rFonts w:ascii="Times New Roman" w:hAnsi="Times New Roman" w:cs="Times New Roman"/>
          <w:sz w:val="24"/>
          <w:szCs w:val="24"/>
        </w:rPr>
        <w:t xml:space="preserve">, compared to conditions in which no hedge is in </w:t>
      </w:r>
      <w:r w:rsidR="005B2132">
        <w:rPr>
          <w:rFonts w:ascii="Times New Roman" w:hAnsi="Times New Roman" w:cs="Times New Roman"/>
          <w:sz w:val="24"/>
          <w:szCs w:val="24"/>
        </w:rPr>
        <w:lastRenderedPageBreak/>
        <w:t>place.</w:t>
      </w:r>
      <w:r w:rsidR="00D443FC">
        <w:rPr>
          <w:rFonts w:ascii="Times New Roman" w:hAnsi="Times New Roman" w:cs="Times New Roman"/>
          <w:sz w:val="24"/>
          <w:szCs w:val="24"/>
        </w:rPr>
        <w:t xml:space="preserve">  </w:t>
      </w:r>
      <w:r w:rsidR="00126393">
        <w:rPr>
          <w:rFonts w:ascii="Times New Roman" w:hAnsi="Times New Roman" w:cs="Times New Roman"/>
          <w:sz w:val="24"/>
          <w:szCs w:val="24"/>
        </w:rPr>
        <w:t xml:space="preserve">Figure A2 in the appendix also shows similar information to Figure 8, but for every level of basis risk considered. In general, the wind power production volumes identified for the alternative contracts appear robust to changes in basis risk. We observe that, like Figure 8, production volumes tend to be much lower, and typically concentrated in months that exhibit </w:t>
      </w:r>
      <w:r w:rsidR="004041EA">
        <w:rPr>
          <w:rFonts w:ascii="Times New Roman" w:hAnsi="Times New Roman" w:cs="Times New Roman"/>
          <w:sz w:val="24"/>
          <w:szCs w:val="24"/>
        </w:rPr>
        <w:t>higher wind speeds and lower prices.</w:t>
      </w:r>
    </w:p>
    <w:p w14:paraId="242D0BF4" w14:textId="67218B42" w:rsidR="002D0CC8" w:rsidRDefault="002D0CC8" w:rsidP="002D0CC8">
      <w:pPr>
        <w:spacing w:after="0" w:line="480" w:lineRule="auto"/>
        <w:jc w:val="both"/>
        <w:rPr>
          <w:rFonts w:ascii="Times New Roman" w:hAnsi="Times New Roman" w:cs="Times New Roman"/>
          <w:sz w:val="24"/>
          <w:szCs w:val="24"/>
        </w:rPr>
      </w:pPr>
    </w:p>
    <w:p w14:paraId="7552089E" w14:textId="0903B8A3" w:rsidR="00E94522" w:rsidRPr="002D0CC8" w:rsidRDefault="00E62E1B" w:rsidP="00E94522">
      <w:pPr>
        <w:spacing w:after="240" w:line="48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Sensitivity of Performance Frontiers</w:t>
      </w:r>
      <w:r w:rsidR="002D0CC8">
        <w:rPr>
          <w:rFonts w:ascii="Times New Roman" w:hAnsi="Times New Roman" w:cs="Times New Roman"/>
          <w:color w:val="0070C0"/>
          <w:sz w:val="24"/>
          <w:szCs w:val="24"/>
        </w:rPr>
        <w:t xml:space="preserve"> to Altered Basis Risk</w:t>
      </w:r>
    </w:p>
    <w:p w14:paraId="7B605500" w14:textId="218AE57B" w:rsidR="006A150E" w:rsidRDefault="001031F3" w:rsidP="00C00268">
      <w:pPr>
        <w:spacing w:after="0" w:line="480" w:lineRule="auto"/>
        <w:ind w:firstLine="720"/>
        <w:jc w:val="both"/>
        <w:rPr>
          <w:rFonts w:ascii="Times New Roman" w:hAnsi="Times New Roman" w:cs="Times New Roman"/>
          <w:sz w:val="24"/>
          <w:szCs w:val="24"/>
        </w:rPr>
      </w:pPr>
      <w:r w:rsidRPr="004670B0">
        <w:rPr>
          <w:rFonts w:ascii="Times New Roman" w:hAnsi="Times New Roman" w:cs="Times New Roman"/>
          <w:sz w:val="24"/>
          <w:szCs w:val="24"/>
        </w:rPr>
        <w:t xml:space="preserve">Figure </w:t>
      </w:r>
      <w:r w:rsidR="00E94522">
        <w:rPr>
          <w:rFonts w:ascii="Times New Roman" w:hAnsi="Times New Roman" w:cs="Times New Roman"/>
          <w:sz w:val="24"/>
          <w:szCs w:val="24"/>
        </w:rPr>
        <w:t>9</w:t>
      </w:r>
      <w:r w:rsidRPr="003A3045">
        <w:rPr>
          <w:rFonts w:ascii="Times New Roman" w:hAnsi="Times New Roman" w:cs="Times New Roman"/>
          <w:color w:val="FF0000"/>
          <w:sz w:val="24"/>
          <w:szCs w:val="24"/>
        </w:rPr>
        <w:t xml:space="preserve"> </w:t>
      </w:r>
      <w:r w:rsidR="00E94522">
        <w:rPr>
          <w:rFonts w:ascii="Times New Roman" w:hAnsi="Times New Roman" w:cs="Times New Roman"/>
          <w:sz w:val="24"/>
          <w:szCs w:val="24"/>
        </w:rPr>
        <w:t xml:space="preserve">shows similar tradeoff frontiers as Figure 7a, but </w:t>
      </w:r>
      <w:r w:rsidRPr="003A3045">
        <w:rPr>
          <w:rFonts w:ascii="Times New Roman" w:hAnsi="Times New Roman" w:cs="Times New Roman"/>
          <w:sz w:val="24"/>
          <w:szCs w:val="24"/>
        </w:rPr>
        <w:t xml:space="preserve">for </w:t>
      </w:r>
      <w:r w:rsidR="00C00268">
        <w:rPr>
          <w:rFonts w:ascii="Times New Roman" w:hAnsi="Times New Roman" w:cs="Times New Roman"/>
          <w:sz w:val="24"/>
          <w:szCs w:val="24"/>
        </w:rPr>
        <w:t>several selected</w:t>
      </w:r>
      <w:r w:rsidRPr="003A3045">
        <w:rPr>
          <w:rFonts w:ascii="Times New Roman" w:hAnsi="Times New Roman" w:cs="Times New Roman"/>
          <w:sz w:val="24"/>
          <w:szCs w:val="24"/>
        </w:rPr>
        <w:t xml:space="preserve"> basis risk scenario</w:t>
      </w:r>
      <w:r w:rsidR="00C00268">
        <w:rPr>
          <w:rFonts w:ascii="Times New Roman" w:hAnsi="Times New Roman" w:cs="Times New Roman"/>
          <w:sz w:val="24"/>
          <w:szCs w:val="24"/>
        </w:rPr>
        <w:t>s</w:t>
      </w:r>
      <w:r w:rsidRPr="003A3045">
        <w:rPr>
          <w:rFonts w:ascii="Times New Roman" w:hAnsi="Times New Roman" w:cs="Times New Roman"/>
          <w:sz w:val="24"/>
          <w:szCs w:val="24"/>
        </w:rPr>
        <w:t xml:space="preserve">. </w:t>
      </w:r>
      <w:r w:rsidR="00E62E1B">
        <w:rPr>
          <w:rFonts w:ascii="Times New Roman" w:hAnsi="Times New Roman" w:cs="Times New Roman"/>
          <w:sz w:val="24"/>
          <w:szCs w:val="24"/>
        </w:rPr>
        <w:t xml:space="preserve">Note that contracts are re-optimized for each scenario (e.g. for any given node, new Pareto optimal wind power production volumes are identified for each level of basis risk considered). This </w:t>
      </w:r>
      <w:r w:rsidR="00BF3074">
        <w:rPr>
          <w:rFonts w:ascii="Times New Roman" w:hAnsi="Times New Roman" w:cs="Times New Roman"/>
          <w:sz w:val="24"/>
          <w:szCs w:val="24"/>
        </w:rPr>
        <w:t>assumption would approximate real-world conditions if the parameters of fixed volume swaps could be re-calibrated each year, for example, to address gradual changes in basis risk (e.g. resulting from transmission upgrades).</w:t>
      </w:r>
      <w:r w:rsidR="00E62E1B">
        <w:rPr>
          <w:rFonts w:ascii="Times New Roman" w:hAnsi="Times New Roman" w:cs="Times New Roman"/>
          <w:sz w:val="24"/>
          <w:szCs w:val="24"/>
        </w:rPr>
        <w:t xml:space="preserve"> </w:t>
      </w:r>
      <w:r w:rsidRPr="003A3045">
        <w:rPr>
          <w:rFonts w:ascii="Times New Roman" w:hAnsi="Times New Roman" w:cs="Times New Roman"/>
          <w:sz w:val="24"/>
          <w:szCs w:val="24"/>
        </w:rPr>
        <w:t>As b</w:t>
      </w:r>
      <w:r w:rsidR="0038470D">
        <w:rPr>
          <w:rFonts w:ascii="Times New Roman" w:hAnsi="Times New Roman" w:cs="Times New Roman"/>
          <w:sz w:val="24"/>
          <w:szCs w:val="24"/>
        </w:rPr>
        <w:t>asis risk is gradually decreased</w:t>
      </w:r>
      <w:r w:rsidRPr="003A3045">
        <w:rPr>
          <w:rFonts w:ascii="Times New Roman" w:hAnsi="Times New Roman" w:cs="Times New Roman"/>
          <w:sz w:val="24"/>
          <w:szCs w:val="24"/>
        </w:rPr>
        <w:t>, ranging from “Mean Zero 100”, “Mean Zero 90”, to “Standard Normal” and “No Basis Risk”</w:t>
      </w:r>
      <w:r w:rsidR="00C00268">
        <w:rPr>
          <w:rFonts w:ascii="Times New Roman" w:hAnsi="Times New Roman" w:cs="Times New Roman"/>
          <w:sz w:val="24"/>
          <w:szCs w:val="24"/>
        </w:rPr>
        <w:t xml:space="preserve"> (hub prices = nodal prices)</w:t>
      </w:r>
      <w:r w:rsidRPr="003A3045">
        <w:rPr>
          <w:rFonts w:ascii="Times New Roman" w:hAnsi="Times New Roman" w:cs="Times New Roman"/>
          <w:sz w:val="24"/>
          <w:szCs w:val="24"/>
        </w:rPr>
        <w:t xml:space="preserve">, we see the </w:t>
      </w:r>
      <w:r w:rsidR="00C00268">
        <w:rPr>
          <w:rFonts w:ascii="Times New Roman" w:hAnsi="Times New Roman" w:cs="Times New Roman"/>
          <w:sz w:val="24"/>
          <w:szCs w:val="24"/>
        </w:rPr>
        <w:t xml:space="preserve">nodal </w:t>
      </w:r>
      <w:r w:rsidRPr="003A3045">
        <w:rPr>
          <w:rFonts w:ascii="Times New Roman" w:hAnsi="Times New Roman" w:cs="Times New Roman"/>
          <w:sz w:val="24"/>
          <w:szCs w:val="24"/>
        </w:rPr>
        <w:t xml:space="preserve">differences in </w:t>
      </w:r>
      <w:r w:rsidR="00C00268">
        <w:rPr>
          <w:rFonts w:ascii="Times New Roman" w:hAnsi="Times New Roman" w:cs="Times New Roman"/>
          <w:sz w:val="24"/>
          <w:szCs w:val="24"/>
        </w:rPr>
        <w:t xml:space="preserve">contract </w:t>
      </w:r>
      <w:r w:rsidRPr="003A3045">
        <w:rPr>
          <w:rFonts w:ascii="Times New Roman" w:hAnsi="Times New Roman" w:cs="Times New Roman"/>
          <w:sz w:val="24"/>
          <w:szCs w:val="24"/>
        </w:rPr>
        <w:t xml:space="preserve">performance </w:t>
      </w:r>
      <w:r w:rsidR="00C00268">
        <w:rPr>
          <w:rFonts w:ascii="Times New Roman" w:hAnsi="Times New Roman" w:cs="Times New Roman"/>
          <w:sz w:val="24"/>
          <w:szCs w:val="24"/>
        </w:rPr>
        <w:t xml:space="preserve">frontiers </w:t>
      </w:r>
      <w:r w:rsidRPr="003A3045">
        <w:rPr>
          <w:rFonts w:ascii="Times New Roman" w:hAnsi="Times New Roman" w:cs="Times New Roman"/>
          <w:sz w:val="24"/>
          <w:szCs w:val="24"/>
        </w:rPr>
        <w:t xml:space="preserve">collapse. </w:t>
      </w:r>
      <w:r w:rsidR="00C00268">
        <w:rPr>
          <w:rFonts w:ascii="Times New Roman" w:hAnsi="Times New Roman" w:cs="Times New Roman"/>
          <w:sz w:val="24"/>
          <w:szCs w:val="24"/>
        </w:rPr>
        <w:t>I</w:t>
      </w:r>
      <w:r w:rsidRPr="003A3045">
        <w:rPr>
          <w:rFonts w:ascii="Times New Roman" w:hAnsi="Times New Roman" w:cs="Times New Roman"/>
          <w:sz w:val="24"/>
          <w:szCs w:val="24"/>
        </w:rPr>
        <w:t xml:space="preserve">n theory, </w:t>
      </w:r>
      <w:r w:rsidR="00C00268">
        <w:rPr>
          <w:rFonts w:ascii="Times New Roman" w:hAnsi="Times New Roman" w:cs="Times New Roman"/>
          <w:sz w:val="24"/>
          <w:szCs w:val="24"/>
        </w:rPr>
        <w:t xml:space="preserve">a “No Basis Risk” scenario would occur </w:t>
      </w:r>
      <w:r w:rsidRPr="003A3045">
        <w:rPr>
          <w:rFonts w:ascii="Times New Roman" w:hAnsi="Times New Roman" w:cs="Times New Roman"/>
          <w:sz w:val="24"/>
          <w:szCs w:val="24"/>
        </w:rPr>
        <w:t>if transmission constraints were eliminated across the system, allowing locational marginal prices to equalize across the grid. These conditions would ensure that when the wind power producer experiences nodal prices below the contract strike price (</w:t>
      </w:r>
      <m:oMath>
        <m:r>
          <w:rPr>
            <w:rFonts w:ascii="Cambria Math" w:hAnsi="Cambria Math" w:cs="Times New Roman"/>
            <w:sz w:val="24"/>
            <w:szCs w:val="24"/>
          </w:rPr>
          <m:t>S</m:t>
        </m:r>
      </m:oMath>
      <w:r w:rsidRPr="003A3045">
        <w:rPr>
          <w:rFonts w:ascii="Times New Roman" w:hAnsi="Times New Roman" w:cs="Times New Roman"/>
          <w:sz w:val="24"/>
          <w:szCs w:val="24"/>
        </w:rPr>
        <w:t xml:space="preserve"> in Equation 3), the hub price also reflects these c</w:t>
      </w:r>
      <w:proofErr w:type="spellStart"/>
      <w:r w:rsidR="00C00268">
        <w:rPr>
          <w:rFonts w:ascii="Times New Roman" w:hAnsi="Times New Roman" w:cs="Times New Roman"/>
          <w:sz w:val="24"/>
          <w:szCs w:val="24"/>
        </w:rPr>
        <w:t>onditions</w:t>
      </w:r>
      <w:proofErr w:type="spellEnd"/>
      <w:r w:rsidR="00C00268">
        <w:rPr>
          <w:rFonts w:ascii="Times New Roman" w:hAnsi="Times New Roman" w:cs="Times New Roman"/>
          <w:sz w:val="24"/>
          <w:szCs w:val="24"/>
        </w:rPr>
        <w:t xml:space="preserve"> and triggers a payout. Note however, that even if basis risk is eliminated, </w:t>
      </w:r>
      <w:r w:rsidR="0038470D">
        <w:rPr>
          <w:rFonts w:ascii="Times New Roman" w:hAnsi="Times New Roman" w:cs="Times New Roman"/>
          <w:sz w:val="24"/>
          <w:szCs w:val="24"/>
        </w:rPr>
        <w:t xml:space="preserve">the maximum revenue improvement identified is on the order of $375,000 over </w:t>
      </w:r>
      <w:r w:rsidR="00251850">
        <w:rPr>
          <w:rFonts w:ascii="Times New Roman" w:hAnsi="Times New Roman" w:cs="Times New Roman"/>
          <w:sz w:val="24"/>
          <w:szCs w:val="24"/>
        </w:rPr>
        <w:t>the 10 worst performing months. As basis risk is diminished, some nodes (e.g. ‘OKGEKEENANWIND’) show higher upper bounds in revenue improvement. At the same time, other nodes (most notably ‘</w:t>
      </w:r>
      <w:r w:rsidR="00251850" w:rsidRPr="003A3045">
        <w:rPr>
          <w:rFonts w:ascii="Times New Roman" w:hAnsi="Times New Roman" w:cs="Times New Roman"/>
          <w:sz w:val="24"/>
          <w:szCs w:val="24"/>
        </w:rPr>
        <w:t>WFEC_MOORELAND_2’</w:t>
      </w:r>
      <w:r w:rsidR="00251850">
        <w:rPr>
          <w:rFonts w:ascii="Times New Roman" w:hAnsi="Times New Roman" w:cs="Times New Roman"/>
          <w:sz w:val="24"/>
          <w:szCs w:val="24"/>
        </w:rPr>
        <w:t>, which often exhibited higher average prices than the node) show reduced potential to improve revenue performance under lower basis risk, likely because this would entail lower nodal prices.</w:t>
      </w:r>
    </w:p>
    <w:p w14:paraId="61770613" w14:textId="77777777" w:rsidR="0009719C" w:rsidRPr="003A3045" w:rsidRDefault="0009719C" w:rsidP="0009719C">
      <w:pPr>
        <w:spacing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lastRenderedPageBreak/>
        <w:t xml:space="preserve">For several nodes, </w:t>
      </w:r>
      <w:r>
        <w:rPr>
          <w:rFonts w:ascii="Times New Roman" w:hAnsi="Times New Roman" w:cs="Times New Roman"/>
          <w:sz w:val="24"/>
          <w:szCs w:val="24"/>
        </w:rPr>
        <w:t>we observe some degree of threshold behavior in the position of the contract performance</w:t>
      </w:r>
      <w:r w:rsidRPr="003A3045">
        <w:rPr>
          <w:rFonts w:ascii="Times New Roman" w:hAnsi="Times New Roman" w:cs="Times New Roman"/>
          <w:sz w:val="24"/>
          <w:szCs w:val="24"/>
        </w:rPr>
        <w:t xml:space="preserve"> frontiers</w:t>
      </w:r>
      <w:r>
        <w:rPr>
          <w:rFonts w:ascii="Times New Roman" w:hAnsi="Times New Roman" w:cs="Times New Roman"/>
          <w:sz w:val="24"/>
          <w:szCs w:val="24"/>
        </w:rPr>
        <w:t>. For example, starting at the “No Basis Risk” scenario (Figure 9F), and gradually adding more basis risk (moving backwards through the alphabet, from Figure 9E to Figure 9C), the performance frontiers mostly retain their shape and position, thought divergence across nodes increases. For some nodes</w:t>
      </w:r>
      <w:r w:rsidRPr="003A3045">
        <w:rPr>
          <w:rFonts w:ascii="Times New Roman" w:hAnsi="Times New Roman" w:cs="Times New Roman"/>
          <w:sz w:val="24"/>
          <w:szCs w:val="24"/>
        </w:rPr>
        <w:t xml:space="preserve">, </w:t>
      </w:r>
      <w:r>
        <w:rPr>
          <w:rFonts w:ascii="Times New Roman" w:hAnsi="Times New Roman" w:cs="Times New Roman"/>
          <w:sz w:val="24"/>
          <w:szCs w:val="24"/>
        </w:rPr>
        <w:t xml:space="preserve">we find that </w:t>
      </w:r>
      <w:r w:rsidRPr="003A3045">
        <w:rPr>
          <w:rFonts w:ascii="Times New Roman" w:hAnsi="Times New Roman" w:cs="Times New Roman"/>
          <w:sz w:val="24"/>
          <w:szCs w:val="24"/>
        </w:rPr>
        <w:t xml:space="preserve">allowing up to 70% or even 80% of mean adjusted basis risk still permits the position of the tradeoff frontiers to remain fairly stable across all nodes. The relatively robust performance of the fixed volume swap contracts at levels of basis risk below </w:t>
      </w:r>
      <w:r>
        <w:rPr>
          <w:rFonts w:ascii="Times New Roman" w:hAnsi="Times New Roman" w:cs="Times New Roman"/>
          <w:sz w:val="24"/>
          <w:szCs w:val="24"/>
        </w:rPr>
        <w:t>7</w:t>
      </w:r>
      <w:r w:rsidRPr="003A3045">
        <w:rPr>
          <w:rFonts w:ascii="Times New Roman" w:hAnsi="Times New Roman" w:cs="Times New Roman"/>
          <w:sz w:val="24"/>
          <w:szCs w:val="24"/>
        </w:rPr>
        <w:t xml:space="preserve">0% for most nodes suggests that completely eliminating basis risk may not be not necessary for the fixed volume price swap to perform at a near optimal level. Reducing the standard deviation of the difference between nodal and hub prices only 20-30% could substantially improve contract performance in many cases. In theory, this would come in the form of targeted transmission upgrades to reduce congestion in areas with large wind power penetration into the grid. </w:t>
      </w:r>
    </w:p>
    <w:p w14:paraId="5D400176" w14:textId="1DB76486" w:rsidR="00A6092D" w:rsidRPr="00A6092D" w:rsidRDefault="003B170F" w:rsidP="00A6092D">
      <w:pPr>
        <w:spacing w:before="240" w:after="240" w:line="240" w:lineRule="auto"/>
        <w:jc w:val="center"/>
        <w:rPr>
          <w:rFonts w:ascii="Times New Roman" w:hAnsi="Times New Roman" w:cs="Times New Roman"/>
          <w:sz w:val="20"/>
          <w:szCs w:val="24"/>
        </w:rPr>
      </w:pPr>
      <w:r w:rsidRPr="00A6092D">
        <w:rPr>
          <w:rFonts w:ascii="Times New Roman" w:hAnsi="Times New Roman" w:cs="Times New Roman"/>
          <w:noProof/>
          <w:sz w:val="24"/>
          <w:szCs w:val="24"/>
        </w:rPr>
        <w:lastRenderedPageBreak/>
        <mc:AlternateContent>
          <mc:Choice Requires="wps">
            <w:drawing>
              <wp:anchor distT="45720" distB="45720" distL="114300" distR="114300" simplePos="0" relativeHeight="251671552" behindDoc="0" locked="0" layoutInCell="1" allowOverlap="1" wp14:anchorId="7EF60EE9" wp14:editId="2A27F652">
                <wp:simplePos x="0" y="0"/>
                <wp:positionH relativeFrom="margin">
                  <wp:posOffset>449580</wp:posOffset>
                </wp:positionH>
                <wp:positionV relativeFrom="paragraph">
                  <wp:posOffset>4914900</wp:posOffset>
                </wp:positionV>
                <wp:extent cx="5158740" cy="292100"/>
                <wp:effectExtent l="0" t="0" r="2286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292100"/>
                        </a:xfrm>
                        <a:prstGeom prst="rect">
                          <a:avLst/>
                        </a:prstGeom>
                        <a:solidFill>
                          <a:srgbClr val="FFFFFF"/>
                        </a:solidFill>
                        <a:ln w="9525">
                          <a:solidFill>
                            <a:schemeClr val="bg1"/>
                          </a:solidFill>
                          <a:miter lim="800000"/>
                          <a:headEnd/>
                          <a:tailEnd/>
                        </a:ln>
                      </wps:spPr>
                      <wps:txbx>
                        <w:txbxContent>
                          <w:p w14:paraId="74CC1EE3" w14:textId="31029377" w:rsidR="001E2C5A" w:rsidRDefault="00592799">
                            <w:r>
                              <w:rPr>
                                <w:rFonts w:ascii="Times New Roman" w:hAnsi="Times New Roman" w:cs="Times New Roman"/>
                                <w:b/>
                                <w:sz w:val="20"/>
                                <w:szCs w:val="24"/>
                              </w:rPr>
                              <w:t>Figure 9</w:t>
                            </w:r>
                            <w:r w:rsidR="001E2C5A" w:rsidRPr="00251062">
                              <w:rPr>
                                <w:rFonts w:ascii="Times New Roman" w:hAnsi="Times New Roman" w:cs="Times New Roman"/>
                                <w:sz w:val="20"/>
                                <w:szCs w:val="24"/>
                              </w:rPr>
                              <w:t xml:space="preserve">. </w:t>
                            </w:r>
                            <w:r w:rsidR="001E2C5A">
                              <w:rPr>
                                <w:rFonts w:ascii="Times New Roman" w:hAnsi="Times New Roman" w:cs="Times New Roman"/>
                                <w:sz w:val="20"/>
                                <w:szCs w:val="24"/>
                              </w:rPr>
                              <w:t>Contract performance</w:t>
                            </w:r>
                            <w:r w:rsidR="001E2C5A" w:rsidRPr="00251062">
                              <w:rPr>
                                <w:rFonts w:ascii="Times New Roman" w:hAnsi="Times New Roman" w:cs="Times New Roman"/>
                                <w:sz w:val="20"/>
                                <w:szCs w:val="24"/>
                              </w:rPr>
                              <w:t xml:space="preserve"> frontiers for each node across six </w:t>
                            </w:r>
                            <w:r w:rsidR="001E2C5A">
                              <w:rPr>
                                <w:rFonts w:ascii="Times New Roman" w:hAnsi="Times New Roman" w:cs="Times New Roman"/>
                                <w:sz w:val="20"/>
                                <w:szCs w:val="24"/>
                              </w:rPr>
                              <w:t>selected</w:t>
                            </w:r>
                            <w:r w:rsidR="001E2C5A" w:rsidRPr="00251062">
                              <w:rPr>
                                <w:rFonts w:ascii="Times New Roman" w:hAnsi="Times New Roman" w:cs="Times New Roman"/>
                                <w:sz w:val="20"/>
                                <w:szCs w:val="24"/>
                              </w:rPr>
                              <w:t xml:space="preserve"> basis risk scenarios</w:t>
                            </w:r>
                            <w:r w:rsidR="003B170F">
                              <w:rPr>
                                <w:rFonts w:ascii="Times New Roman" w:hAnsi="Times New Roman" w:cs="Times New Roman"/>
                                <w:sz w:val="20"/>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F60EE9" id="_x0000_t202" coordsize="21600,21600" o:spt="202" path="m,l,21600r21600,l21600,xe">
                <v:stroke joinstyle="miter"/>
                <v:path gradientshapeok="t" o:connecttype="rect"/>
              </v:shapetype>
              <v:shape id="Text Box 2" o:spid="_x0000_s1026" type="#_x0000_t202" style="position:absolute;left:0;text-align:left;margin-left:35.4pt;margin-top:387pt;width:406.2pt;height:23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" strokecolor="white [3212]">
                <v:textbox>
                  <w:txbxContent>
                    <w:p w14:paraId="74CC1EE3" w14:textId="31029377" w:rsidR="001E2C5A" w:rsidRDefault="00592799">
                      <w:r>
                        <w:rPr>
                          <w:rFonts w:ascii="Times New Roman" w:hAnsi="Times New Roman" w:cs="Times New Roman"/>
                          <w:b/>
                          <w:sz w:val="20"/>
                          <w:szCs w:val="24"/>
                        </w:rPr>
                        <w:t>Figure 9</w:t>
                      </w:r>
                      <w:r w:rsidR="001E2C5A" w:rsidRPr="00251062">
                        <w:rPr>
                          <w:rFonts w:ascii="Times New Roman" w:hAnsi="Times New Roman" w:cs="Times New Roman"/>
                          <w:sz w:val="20"/>
                          <w:szCs w:val="24"/>
                        </w:rPr>
                        <w:t xml:space="preserve">. </w:t>
                      </w:r>
                      <w:r w:rsidR="001E2C5A">
                        <w:rPr>
                          <w:rFonts w:ascii="Times New Roman" w:hAnsi="Times New Roman" w:cs="Times New Roman"/>
                          <w:sz w:val="20"/>
                          <w:szCs w:val="24"/>
                        </w:rPr>
                        <w:t>Contract performance</w:t>
                      </w:r>
                      <w:r w:rsidR="001E2C5A" w:rsidRPr="00251062">
                        <w:rPr>
                          <w:rFonts w:ascii="Times New Roman" w:hAnsi="Times New Roman" w:cs="Times New Roman"/>
                          <w:sz w:val="20"/>
                          <w:szCs w:val="24"/>
                        </w:rPr>
                        <w:t xml:space="preserve"> frontiers for each node across six </w:t>
                      </w:r>
                      <w:r w:rsidR="001E2C5A">
                        <w:rPr>
                          <w:rFonts w:ascii="Times New Roman" w:hAnsi="Times New Roman" w:cs="Times New Roman"/>
                          <w:sz w:val="20"/>
                          <w:szCs w:val="24"/>
                        </w:rPr>
                        <w:t>selected</w:t>
                      </w:r>
                      <w:r w:rsidR="001E2C5A" w:rsidRPr="00251062">
                        <w:rPr>
                          <w:rFonts w:ascii="Times New Roman" w:hAnsi="Times New Roman" w:cs="Times New Roman"/>
                          <w:sz w:val="20"/>
                          <w:szCs w:val="24"/>
                        </w:rPr>
                        <w:t xml:space="preserve"> basis risk scenarios</w:t>
                      </w:r>
                      <w:r w:rsidR="003B170F">
                        <w:rPr>
                          <w:rFonts w:ascii="Times New Roman" w:hAnsi="Times New Roman" w:cs="Times New Roman"/>
                          <w:sz w:val="20"/>
                          <w:szCs w:val="24"/>
                        </w:rPr>
                        <w:t>.</w:t>
                      </w:r>
                    </w:p>
                  </w:txbxContent>
                </v:textbox>
                <w10:wrap type="topAndBottom" anchorx="margin"/>
              </v:shape>
            </w:pict>
          </mc:Fallback>
        </mc:AlternateContent>
      </w:r>
      <w:r w:rsidRPr="003B170F">
        <w:rPr>
          <w:rFonts w:ascii="Times New Roman" w:hAnsi="Times New Roman" w:cs="Times New Roman"/>
          <w:sz w:val="20"/>
          <w:szCs w:val="24"/>
        </w:rPr>
        <w:drawing>
          <wp:inline distT="0" distB="0" distL="0" distR="0" wp14:anchorId="0B3ADC96" wp14:editId="28B2DB72">
            <wp:extent cx="6309360" cy="482346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cstate="print">
                      <a:extLst>
                        <a:ext uri="{28A0092B-C50C-407E-A947-70E740481C1C}">
                          <a14:useLocalDpi xmlns:a14="http://schemas.microsoft.com/office/drawing/2010/main" val="0"/>
                        </a:ext>
                      </a:extLst>
                    </a:blip>
                    <a:srcRect t="8401" b="4221"/>
                    <a:stretch/>
                  </pic:blipFill>
                  <pic:spPr bwMode="auto">
                    <a:xfrm>
                      <a:off x="0" y="0"/>
                      <a:ext cx="6309360" cy="4823460"/>
                    </a:xfrm>
                    <a:prstGeom prst="rect">
                      <a:avLst/>
                    </a:prstGeom>
                    <a:ln>
                      <a:noFill/>
                    </a:ln>
                    <a:extLst>
                      <a:ext uri="{53640926-AAD7-44D8-BBD7-CCE9431645EC}">
                        <a14:shadowObscured xmlns:a14="http://schemas.microsoft.com/office/drawing/2010/main"/>
                      </a:ext>
                    </a:extLst>
                  </pic:spPr>
                </pic:pic>
              </a:graphicData>
            </a:graphic>
          </wp:inline>
        </w:drawing>
      </w:r>
    </w:p>
    <w:p w14:paraId="2484B0D0" w14:textId="77777777" w:rsidR="003B170F" w:rsidRDefault="003B170F" w:rsidP="002A3343">
      <w:pPr>
        <w:spacing w:after="0" w:line="480" w:lineRule="auto"/>
        <w:ind w:firstLine="720"/>
        <w:jc w:val="both"/>
        <w:rPr>
          <w:rFonts w:ascii="Times New Roman" w:hAnsi="Times New Roman" w:cs="Times New Roman"/>
          <w:sz w:val="24"/>
          <w:szCs w:val="24"/>
        </w:rPr>
      </w:pPr>
    </w:p>
    <w:p w14:paraId="131B0831" w14:textId="375A769A" w:rsidR="002A3343" w:rsidRDefault="001031F3" w:rsidP="002A334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However, </w:t>
      </w:r>
      <w:r w:rsidR="00666581">
        <w:rPr>
          <w:rFonts w:ascii="Times New Roman" w:hAnsi="Times New Roman" w:cs="Times New Roman"/>
          <w:sz w:val="24"/>
          <w:szCs w:val="24"/>
        </w:rPr>
        <w:t>there is</w:t>
      </w:r>
      <w:r w:rsidRPr="003A3045">
        <w:rPr>
          <w:rFonts w:ascii="Times New Roman" w:hAnsi="Times New Roman" w:cs="Times New Roman"/>
          <w:sz w:val="24"/>
          <w:szCs w:val="24"/>
        </w:rPr>
        <w:t xml:space="preserve"> a tipping point beyond which basis risk appears to significantly worsen the tradeoff frontiers, at least in terms of maximum floor improvement (y-axis). For example, at 90% of actual basis risk, the floor improvement of the worst 10 performing months is cut in half for most nodes, relative to the No Basis Risk scenario, even as the cost (in terms of reduced revenues) remains the same. At “Mean Zero 100,” floor improvement does not exceed $100,000 for most nodes, </w:t>
      </w:r>
      <w:r w:rsidR="002A3343">
        <w:rPr>
          <w:rFonts w:ascii="Times New Roman" w:hAnsi="Times New Roman" w:cs="Times New Roman"/>
          <w:sz w:val="24"/>
          <w:szCs w:val="24"/>
        </w:rPr>
        <w:t>with</w:t>
      </w:r>
      <w:r w:rsidRPr="003A3045">
        <w:rPr>
          <w:rFonts w:ascii="Times New Roman" w:hAnsi="Times New Roman" w:cs="Times New Roman"/>
          <w:sz w:val="24"/>
          <w:szCs w:val="24"/>
        </w:rPr>
        <w:t xml:space="preserve"> the contracts </w:t>
      </w:r>
      <w:r w:rsidR="002A3343">
        <w:rPr>
          <w:rFonts w:ascii="Times New Roman" w:hAnsi="Times New Roman" w:cs="Times New Roman"/>
          <w:sz w:val="24"/>
          <w:szCs w:val="24"/>
        </w:rPr>
        <w:t xml:space="preserve">appearing </w:t>
      </w:r>
      <w:r w:rsidRPr="003A3045">
        <w:rPr>
          <w:rFonts w:ascii="Times New Roman" w:hAnsi="Times New Roman" w:cs="Times New Roman"/>
          <w:sz w:val="24"/>
          <w:szCs w:val="24"/>
        </w:rPr>
        <w:t xml:space="preserve">much less cost effective. </w:t>
      </w:r>
    </w:p>
    <w:p w14:paraId="254C45C6" w14:textId="649454EF" w:rsidR="006A150E" w:rsidRDefault="001031F3" w:rsidP="0066658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The results of our analysis also show that groupings</w:t>
      </w:r>
      <w:r w:rsidR="00666581">
        <w:rPr>
          <w:rFonts w:ascii="Times New Roman" w:hAnsi="Times New Roman" w:cs="Times New Roman"/>
          <w:sz w:val="24"/>
          <w:szCs w:val="24"/>
        </w:rPr>
        <w:t xml:space="preserve"> </w:t>
      </w:r>
      <w:r w:rsidRPr="003A3045">
        <w:rPr>
          <w:rFonts w:ascii="Times New Roman" w:hAnsi="Times New Roman" w:cs="Times New Roman"/>
          <w:sz w:val="24"/>
          <w:szCs w:val="24"/>
        </w:rPr>
        <w:t xml:space="preserve">of nodes react differently to changing basis risk. The two major groupings of nodes in the case of our study are those beginning with “OKGE” and “WFEC.” The WFEC grouping of nodes actually increases floor improvement in higher basis risk </w:t>
      </w:r>
      <w:r w:rsidRPr="003A3045">
        <w:rPr>
          <w:rFonts w:ascii="Times New Roman" w:hAnsi="Times New Roman" w:cs="Times New Roman"/>
          <w:sz w:val="24"/>
          <w:szCs w:val="24"/>
        </w:rPr>
        <w:lastRenderedPageBreak/>
        <w:t xml:space="preserve">scenarios. This grouping of nodes tends to experience significantly higher </w:t>
      </w:r>
      <w:r w:rsidR="00B624E4">
        <w:rPr>
          <w:rFonts w:ascii="Times New Roman" w:hAnsi="Times New Roman" w:cs="Times New Roman"/>
          <w:sz w:val="24"/>
          <w:szCs w:val="24"/>
        </w:rPr>
        <w:t>electricity</w:t>
      </w:r>
      <w:r w:rsidRPr="003A3045">
        <w:rPr>
          <w:rFonts w:ascii="Times New Roman" w:hAnsi="Times New Roman" w:cs="Times New Roman"/>
          <w:sz w:val="24"/>
          <w:szCs w:val="24"/>
        </w:rPr>
        <w:t xml:space="preserve"> prices compared to the OKGE</w:t>
      </w:r>
      <w:r w:rsidR="00666581">
        <w:rPr>
          <w:rFonts w:ascii="Times New Roman" w:hAnsi="Times New Roman" w:cs="Times New Roman"/>
          <w:sz w:val="24"/>
          <w:szCs w:val="24"/>
        </w:rPr>
        <w:t xml:space="preserve"> grouping of nodes during the 5-</w:t>
      </w:r>
      <w:r w:rsidRPr="003A3045">
        <w:rPr>
          <w:rFonts w:ascii="Times New Roman" w:hAnsi="Times New Roman" w:cs="Times New Roman"/>
          <w:sz w:val="24"/>
          <w:szCs w:val="24"/>
        </w:rPr>
        <w:t xml:space="preserve">year </w:t>
      </w:r>
      <w:r w:rsidR="00666581">
        <w:rPr>
          <w:rFonts w:ascii="Times New Roman" w:hAnsi="Times New Roman" w:cs="Times New Roman"/>
          <w:sz w:val="24"/>
          <w:szCs w:val="24"/>
        </w:rPr>
        <w:t>study period</w:t>
      </w:r>
      <w:r w:rsidRPr="003A3045">
        <w:rPr>
          <w:rFonts w:ascii="Times New Roman" w:hAnsi="Times New Roman" w:cs="Times New Roman"/>
          <w:sz w:val="24"/>
          <w:szCs w:val="24"/>
        </w:rPr>
        <w:t xml:space="preserve">, even exceeding the hub price in March, April, and May, on average </w:t>
      </w:r>
      <w:r w:rsidRPr="00666581">
        <w:rPr>
          <w:rFonts w:ascii="Times New Roman" w:hAnsi="Times New Roman" w:cs="Times New Roman"/>
          <w:sz w:val="24"/>
          <w:szCs w:val="24"/>
        </w:rPr>
        <w:t xml:space="preserve">(see Figure </w:t>
      </w:r>
      <w:r w:rsidR="005C7BAE">
        <w:rPr>
          <w:rFonts w:ascii="Times New Roman" w:hAnsi="Times New Roman" w:cs="Times New Roman"/>
          <w:sz w:val="24"/>
          <w:szCs w:val="24"/>
        </w:rPr>
        <w:t>4)</w:t>
      </w:r>
      <w:r w:rsidRPr="00666581">
        <w:rPr>
          <w:rFonts w:ascii="Times New Roman" w:hAnsi="Times New Roman" w:cs="Times New Roman"/>
          <w:sz w:val="24"/>
          <w:szCs w:val="24"/>
        </w:rPr>
        <w:t>.</w:t>
      </w:r>
      <w:r w:rsidR="00666581">
        <w:rPr>
          <w:rFonts w:ascii="Times New Roman" w:hAnsi="Times New Roman" w:cs="Times New Roman"/>
          <w:sz w:val="24"/>
          <w:szCs w:val="24"/>
        </w:rPr>
        <w:t xml:space="preserve"> </w:t>
      </w:r>
      <w:r w:rsidRPr="003A3045">
        <w:rPr>
          <w:rFonts w:ascii="Times New Roman" w:hAnsi="Times New Roman" w:cs="Times New Roman"/>
          <w:sz w:val="24"/>
          <w:szCs w:val="24"/>
        </w:rPr>
        <w:t xml:space="preserve">The results of our model show that nodes </w:t>
      </w:r>
      <w:r w:rsidR="005C7BAE">
        <w:rPr>
          <w:rFonts w:ascii="Times New Roman" w:hAnsi="Times New Roman" w:cs="Times New Roman"/>
          <w:sz w:val="24"/>
          <w:szCs w:val="24"/>
        </w:rPr>
        <w:t xml:space="preserve">with higher prices </w:t>
      </w:r>
      <w:r w:rsidR="0009719C">
        <w:rPr>
          <w:rFonts w:ascii="Times New Roman" w:hAnsi="Times New Roman" w:cs="Times New Roman"/>
          <w:sz w:val="24"/>
          <w:szCs w:val="24"/>
        </w:rPr>
        <w:t xml:space="preserve">generally </w:t>
      </w:r>
      <w:r w:rsidR="005C7BAE">
        <w:rPr>
          <w:rFonts w:ascii="Times New Roman" w:hAnsi="Times New Roman" w:cs="Times New Roman"/>
          <w:sz w:val="24"/>
          <w:szCs w:val="24"/>
        </w:rPr>
        <w:t xml:space="preserve">demonstrate </w:t>
      </w:r>
      <w:r w:rsidRPr="003A3045">
        <w:rPr>
          <w:rFonts w:ascii="Times New Roman" w:hAnsi="Times New Roman" w:cs="Times New Roman"/>
          <w:sz w:val="24"/>
          <w:szCs w:val="24"/>
        </w:rPr>
        <w:t>higher</w:t>
      </w:r>
      <w:r w:rsidR="005C7BAE">
        <w:rPr>
          <w:rFonts w:ascii="Times New Roman" w:hAnsi="Times New Roman" w:cs="Times New Roman"/>
          <w:sz w:val="24"/>
          <w:szCs w:val="24"/>
        </w:rPr>
        <w:t xml:space="preserve"> maximum</w:t>
      </w:r>
      <w:r w:rsidRPr="003A3045">
        <w:rPr>
          <w:rFonts w:ascii="Times New Roman" w:hAnsi="Times New Roman" w:cs="Times New Roman"/>
          <w:sz w:val="24"/>
          <w:szCs w:val="24"/>
        </w:rPr>
        <w:t xml:space="preserve"> floor improvement </w:t>
      </w:r>
      <w:r w:rsidR="005C7BAE">
        <w:rPr>
          <w:rFonts w:ascii="Times New Roman" w:hAnsi="Times New Roman" w:cs="Times New Roman"/>
          <w:sz w:val="24"/>
          <w:szCs w:val="24"/>
        </w:rPr>
        <w:t xml:space="preserve">through the use of fixed volume swaps </w:t>
      </w:r>
      <w:r w:rsidR="0009719C">
        <w:rPr>
          <w:rFonts w:ascii="Times New Roman" w:hAnsi="Times New Roman" w:cs="Times New Roman"/>
          <w:sz w:val="24"/>
          <w:szCs w:val="24"/>
        </w:rPr>
        <w:t>– a somewhat</w:t>
      </w:r>
      <w:r w:rsidR="005C7BAE">
        <w:rPr>
          <w:rFonts w:ascii="Times New Roman" w:hAnsi="Times New Roman" w:cs="Times New Roman"/>
          <w:sz w:val="24"/>
          <w:szCs w:val="24"/>
        </w:rPr>
        <w:t xml:space="preserve"> unexpected result</w:t>
      </w:r>
      <w:r w:rsidR="0009719C">
        <w:rPr>
          <w:rFonts w:ascii="Times New Roman" w:hAnsi="Times New Roman" w:cs="Times New Roman"/>
          <w:sz w:val="24"/>
          <w:szCs w:val="24"/>
        </w:rPr>
        <w:t>,</w:t>
      </w:r>
      <w:r w:rsidR="005C7BAE">
        <w:rPr>
          <w:rFonts w:ascii="Times New Roman" w:hAnsi="Times New Roman" w:cs="Times New Roman"/>
          <w:sz w:val="24"/>
          <w:szCs w:val="24"/>
        </w:rPr>
        <w:t xml:space="preserve"> given the designed purpose of the swamps</w:t>
      </w:r>
      <w:r w:rsidR="0009719C">
        <w:rPr>
          <w:rFonts w:ascii="Times New Roman" w:hAnsi="Times New Roman" w:cs="Times New Roman"/>
          <w:sz w:val="24"/>
          <w:szCs w:val="24"/>
        </w:rPr>
        <w:t xml:space="preserve"> to protect against periods of low prices</w:t>
      </w:r>
      <w:r w:rsidR="005C7BAE">
        <w:rPr>
          <w:rFonts w:ascii="Times New Roman" w:hAnsi="Times New Roman" w:cs="Times New Roman"/>
          <w:sz w:val="24"/>
          <w:szCs w:val="24"/>
        </w:rPr>
        <w:t xml:space="preserve">. </w:t>
      </w:r>
      <w:commentRangeStart w:id="16"/>
      <w:r w:rsidR="0009719C">
        <w:rPr>
          <w:rFonts w:ascii="Times New Roman" w:hAnsi="Times New Roman" w:cs="Times New Roman"/>
          <w:sz w:val="24"/>
          <w:szCs w:val="24"/>
        </w:rPr>
        <w:t xml:space="preserve">This phenomenon could be due to someone reduced levels of basis risk at higher priced nodes, may allow the contract payments (which are triggered on hub prices) to more accurately reflect local price conditions.  </w:t>
      </w:r>
      <w:commentRangeEnd w:id="16"/>
      <w:r w:rsidR="0009719C">
        <w:rPr>
          <w:rStyle w:val="CommentReference"/>
        </w:rPr>
        <w:commentReference w:id="16"/>
      </w:r>
    </w:p>
    <w:p w14:paraId="41005EC2" w14:textId="4A0FB404" w:rsidR="006A150E" w:rsidRDefault="0009719C" w:rsidP="0009719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A3 in the appendix shows similar information as Figure 9, but with the contract performance fron</w:t>
      </w:r>
      <w:r w:rsidR="00E62E1B">
        <w:rPr>
          <w:rFonts w:ascii="Times New Roman" w:hAnsi="Times New Roman" w:cs="Times New Roman"/>
          <w:sz w:val="24"/>
          <w:szCs w:val="24"/>
        </w:rPr>
        <w:t>tiers grouped by node, instead of basis risk scenario. This provides an addition</w:t>
      </w:r>
      <w:r w:rsidR="00BF3074">
        <w:rPr>
          <w:rFonts w:ascii="Times New Roman" w:hAnsi="Times New Roman" w:cs="Times New Roman"/>
          <w:sz w:val="24"/>
          <w:szCs w:val="24"/>
        </w:rPr>
        <w:t>al</w:t>
      </w:r>
      <w:r w:rsidR="00E62E1B">
        <w:rPr>
          <w:rFonts w:ascii="Times New Roman" w:hAnsi="Times New Roman" w:cs="Times New Roman"/>
          <w:sz w:val="24"/>
          <w:szCs w:val="24"/>
        </w:rPr>
        <w:t xml:space="preserve"> way to observe how gradual changes in basis risk may (or may not</w:t>
      </w:r>
      <w:r w:rsidR="00BF3074">
        <w:rPr>
          <w:rFonts w:ascii="Times New Roman" w:hAnsi="Times New Roman" w:cs="Times New Roman"/>
          <w:sz w:val="24"/>
          <w:szCs w:val="24"/>
        </w:rPr>
        <w:t>, in some cases</w:t>
      </w:r>
      <w:r w:rsidR="00E62E1B">
        <w:rPr>
          <w:rFonts w:ascii="Times New Roman" w:hAnsi="Times New Roman" w:cs="Times New Roman"/>
          <w:sz w:val="24"/>
          <w:szCs w:val="24"/>
        </w:rPr>
        <w:t xml:space="preserve">) disrupt the performance of fixed volume swap contracts. </w:t>
      </w:r>
      <w:r w:rsidR="00BF3074">
        <w:rPr>
          <w:rFonts w:ascii="Times New Roman" w:hAnsi="Times New Roman" w:cs="Times New Roman"/>
          <w:sz w:val="24"/>
          <w:szCs w:val="24"/>
        </w:rPr>
        <w:t xml:space="preserve">For example, the shape and position of the performance frontiers at some nodes appears quite persistent (with contract recalibration), even as basis risk is dramatically altered. We also see the results differ by node family, with OKGE nodes generally showing increased maximum floor performance as basis risk declines, while the WFEC nodes show the </w:t>
      </w:r>
      <w:commentRangeStart w:id="17"/>
      <w:r w:rsidR="00BF3074">
        <w:rPr>
          <w:rFonts w:ascii="Times New Roman" w:hAnsi="Times New Roman" w:cs="Times New Roman"/>
          <w:sz w:val="24"/>
          <w:szCs w:val="24"/>
        </w:rPr>
        <w:t>opposite</w:t>
      </w:r>
      <w:commentRangeEnd w:id="17"/>
      <w:r w:rsidR="00BF3074">
        <w:rPr>
          <w:rStyle w:val="CommentReference"/>
        </w:rPr>
        <w:commentReference w:id="17"/>
      </w:r>
      <w:r w:rsidR="00BF3074">
        <w:rPr>
          <w:rFonts w:ascii="Times New Roman" w:hAnsi="Times New Roman" w:cs="Times New Roman"/>
          <w:sz w:val="24"/>
          <w:szCs w:val="24"/>
        </w:rPr>
        <w:t>.</w:t>
      </w:r>
    </w:p>
    <w:p w14:paraId="5779CD54" w14:textId="77777777" w:rsidR="00BF3074" w:rsidRDefault="00BF3074" w:rsidP="0009719C">
      <w:pPr>
        <w:spacing w:after="0" w:line="480" w:lineRule="auto"/>
        <w:ind w:firstLine="720"/>
        <w:jc w:val="both"/>
        <w:rPr>
          <w:rFonts w:ascii="Times New Roman" w:hAnsi="Times New Roman" w:cs="Times New Roman"/>
          <w:sz w:val="24"/>
          <w:szCs w:val="24"/>
        </w:rPr>
      </w:pPr>
    </w:p>
    <w:p w14:paraId="6FAF659D" w14:textId="77777777" w:rsidR="00765783" w:rsidRPr="00765783" w:rsidRDefault="00765783" w:rsidP="00765783">
      <w:pPr>
        <w:spacing w:line="480" w:lineRule="auto"/>
        <w:jc w:val="both"/>
        <w:rPr>
          <w:rFonts w:ascii="Times New Roman" w:hAnsi="Times New Roman" w:cs="Times New Roman"/>
          <w:color w:val="0070C0"/>
          <w:szCs w:val="24"/>
        </w:rPr>
      </w:pPr>
    </w:p>
    <w:p w14:paraId="50892F7F" w14:textId="7A55675A" w:rsidR="00765783" w:rsidRPr="00765783" w:rsidRDefault="00765783" w:rsidP="00765783">
      <w:pPr>
        <w:pStyle w:val="ListParagraph"/>
        <w:numPr>
          <w:ilvl w:val="0"/>
          <w:numId w:val="4"/>
        </w:numPr>
        <w:spacing w:line="480" w:lineRule="auto"/>
        <w:jc w:val="both"/>
        <w:rPr>
          <w:rFonts w:ascii="Times New Roman" w:hAnsi="Times New Roman" w:cs="Times New Roman"/>
          <w:color w:val="0070C0"/>
          <w:sz w:val="36"/>
          <w:szCs w:val="24"/>
        </w:rPr>
      </w:pPr>
      <w:r w:rsidRPr="00765783">
        <w:rPr>
          <w:rFonts w:ascii="Times New Roman" w:hAnsi="Times New Roman" w:cs="Times New Roman"/>
          <w:color w:val="0070C0"/>
          <w:sz w:val="32"/>
          <w:szCs w:val="24"/>
        </w:rPr>
        <w:t>Conclusions</w:t>
      </w:r>
    </w:p>
    <w:p w14:paraId="1EADD86B" w14:textId="02DAF9BD" w:rsidR="00592799" w:rsidRPr="00592799" w:rsidRDefault="00592799" w:rsidP="00592799">
      <w:pPr>
        <w:spacing w:line="480" w:lineRule="auto"/>
        <w:ind w:firstLine="360"/>
        <w:jc w:val="both"/>
        <w:rPr>
          <w:rFonts w:ascii="Times New Roman" w:hAnsi="Times New Roman" w:cs="Times New Roman"/>
          <w:sz w:val="24"/>
          <w:szCs w:val="24"/>
        </w:rPr>
      </w:pPr>
      <w:commentRangeStart w:id="18"/>
      <w:r w:rsidRPr="00592799">
        <w:rPr>
          <w:rFonts w:ascii="Times New Roman" w:hAnsi="Times New Roman" w:cs="Times New Roman"/>
          <w:sz w:val="24"/>
          <w:szCs w:val="24"/>
        </w:rPr>
        <w:t>Our</w:t>
      </w:r>
      <w:commentRangeEnd w:id="18"/>
      <w:r w:rsidR="00BF3074">
        <w:rPr>
          <w:rStyle w:val="CommentReference"/>
        </w:rPr>
        <w:commentReference w:id="18"/>
      </w:r>
      <w:r w:rsidRPr="00592799">
        <w:rPr>
          <w:rFonts w:ascii="Times New Roman" w:hAnsi="Times New Roman" w:cs="Times New Roman"/>
          <w:sz w:val="24"/>
          <w:szCs w:val="24"/>
        </w:rPr>
        <w:t xml:space="preserve"> model uses hourly wind production, and hourly hub and nodal prices to predict hedge targets that optimize floor improvement of the 10 worst performing months as well as percentage of maximum profits to the developer. The model analyzed different levels of basis risk and predicted optimal hedge targets for each basis risk scenario. In certain months, there were meaningful differences in the amount of energy hedged depending on the level of basis risk and in other months the amount hedged was relatively constant. Generally speaking, all basis risk scenarios hedged a similar amount in all months </w:t>
      </w:r>
      <w:r w:rsidRPr="00592799">
        <w:rPr>
          <w:rFonts w:ascii="Times New Roman" w:hAnsi="Times New Roman" w:cs="Times New Roman"/>
          <w:sz w:val="24"/>
          <w:szCs w:val="24"/>
        </w:rPr>
        <w:lastRenderedPageBreak/>
        <w:t xml:space="preserve">until the “mean zero 90” and “mean zero” scenarios, in which the model predicted the project should hedge little to no wind production in all months. The model also differentiated between peak and off-peak hedge targets when calculating the amount to be hedged. </w:t>
      </w:r>
    </w:p>
    <w:p w14:paraId="38A7787D" w14:textId="77777777" w:rsidR="006A150E" w:rsidRPr="003A3045" w:rsidRDefault="006A150E">
      <w:pPr>
        <w:pStyle w:val="Heading1"/>
        <w:rPr>
          <w:rFonts w:ascii="Times New Roman" w:hAnsi="Times New Roman" w:cs="Times New Roman"/>
          <w:sz w:val="24"/>
          <w:szCs w:val="24"/>
        </w:rPr>
      </w:pPr>
    </w:p>
    <w:p w14:paraId="0BC613ED" w14:textId="77777777" w:rsidR="006A150E" w:rsidRPr="003A3045" w:rsidRDefault="006A150E">
      <w:pPr>
        <w:rPr>
          <w:rFonts w:ascii="Times New Roman" w:hAnsi="Times New Roman" w:cs="Times New Roman"/>
          <w:sz w:val="24"/>
          <w:szCs w:val="24"/>
        </w:rPr>
      </w:pPr>
    </w:p>
    <w:p w14:paraId="48F72DA2" w14:textId="4A3B88DB" w:rsidR="006A150E" w:rsidRDefault="001031F3" w:rsidP="00765783">
      <w:pPr>
        <w:pStyle w:val="Heading1"/>
        <w:numPr>
          <w:ilvl w:val="0"/>
          <w:numId w:val="4"/>
        </w:numPr>
        <w:rPr>
          <w:rFonts w:ascii="Times New Roman" w:hAnsi="Times New Roman" w:cs="Times New Roman"/>
          <w:szCs w:val="24"/>
        </w:rPr>
      </w:pPr>
      <w:r w:rsidRPr="00765783">
        <w:rPr>
          <w:rFonts w:ascii="Times New Roman" w:hAnsi="Times New Roman" w:cs="Times New Roman"/>
          <w:szCs w:val="24"/>
        </w:rPr>
        <w:t>References</w:t>
      </w:r>
    </w:p>
    <w:p w14:paraId="4B3BA526" w14:textId="77777777" w:rsidR="00765783" w:rsidRPr="00765783" w:rsidRDefault="00765783" w:rsidP="00765783">
      <w:pPr>
        <w:pStyle w:val="ListParagraph"/>
      </w:pPr>
    </w:p>
    <w:p w14:paraId="4D9E8514" w14:textId="77777777" w:rsidR="006A150E" w:rsidRPr="003A3045" w:rsidRDefault="001031F3">
      <w:pPr>
        <w:spacing w:after="0" w:line="240" w:lineRule="auto"/>
        <w:rPr>
          <w:rFonts w:ascii="Times New Roman" w:hAnsi="Times New Roman" w:cs="Times New Roman"/>
          <w:sz w:val="24"/>
          <w:szCs w:val="24"/>
        </w:rPr>
      </w:pPr>
      <w:commentRangeStart w:id="19"/>
      <w:r w:rsidRPr="003A3045">
        <w:rPr>
          <w:rFonts w:ascii="Times New Roman" w:hAnsi="Times New Roman" w:cs="Times New Roman"/>
          <w:sz w:val="24"/>
          <w:szCs w:val="24"/>
        </w:rPr>
        <w:t>1</w:t>
      </w:r>
      <w:commentRangeEnd w:id="19"/>
      <w:r w:rsidR="00592799">
        <w:rPr>
          <w:rStyle w:val="CommentReference"/>
        </w:rPr>
        <w:commentReference w:id="19"/>
      </w:r>
      <w:r w:rsidRPr="003A3045">
        <w:rPr>
          <w:rFonts w:ascii="Times New Roman" w:hAnsi="Times New Roman" w:cs="Times New Roman"/>
          <w:sz w:val="24"/>
          <w:szCs w:val="24"/>
        </w:rPr>
        <w:t xml:space="preserve">] The Paris Agreement. (2015, December 12). United Nations Framework Convention on Climate Change. Retrieved from: </w:t>
      </w:r>
      <w:hyperlink r:id="rId16">
        <w:r w:rsidRPr="003A3045">
          <w:rPr>
            <w:rFonts w:ascii="Times New Roman" w:hAnsi="Times New Roman" w:cs="Times New Roman"/>
            <w:color w:val="1155CC"/>
            <w:sz w:val="24"/>
            <w:szCs w:val="24"/>
            <w:u w:val="single"/>
          </w:rPr>
          <w:t>https://unfccc.int/process-and-meetings/the-paris-agreement/the-paris-agreement</w:t>
        </w:r>
      </w:hyperlink>
      <w:r w:rsidRPr="003A3045">
        <w:rPr>
          <w:rFonts w:ascii="Times New Roman" w:hAnsi="Times New Roman" w:cs="Times New Roman"/>
          <w:sz w:val="24"/>
          <w:szCs w:val="24"/>
        </w:rPr>
        <w:t xml:space="preserve">.  </w:t>
      </w:r>
    </w:p>
    <w:p w14:paraId="55643950" w14:textId="77777777" w:rsidR="006A150E" w:rsidRPr="003A3045" w:rsidRDefault="006A150E">
      <w:pPr>
        <w:spacing w:after="0" w:line="240" w:lineRule="auto"/>
        <w:rPr>
          <w:rFonts w:ascii="Times New Roman" w:hAnsi="Times New Roman" w:cs="Times New Roman"/>
          <w:sz w:val="24"/>
          <w:szCs w:val="24"/>
        </w:rPr>
      </w:pPr>
    </w:p>
    <w:p w14:paraId="00F7A53B"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2] IPCC Special Report on Global Warming of 1.5°C. (June 2019). Intergovernmental Panel on Climate Change. Retrieved from: https://www.ipcc.ch/site/assets/uploads/sites/2/2019/06/SR15_Full_Report_Low_Res.pdf.</w:t>
      </w:r>
    </w:p>
    <w:p w14:paraId="378A82E1" w14:textId="77777777" w:rsidR="006A150E" w:rsidRPr="003A3045" w:rsidRDefault="006A150E">
      <w:pPr>
        <w:spacing w:after="0" w:line="240" w:lineRule="auto"/>
        <w:rPr>
          <w:rFonts w:ascii="Times New Roman" w:hAnsi="Times New Roman" w:cs="Times New Roman"/>
          <w:sz w:val="24"/>
          <w:szCs w:val="24"/>
        </w:rPr>
      </w:pPr>
    </w:p>
    <w:p w14:paraId="57CBBF4A"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3] </w:t>
      </w:r>
      <w:proofErr w:type="spellStart"/>
      <w:r w:rsidRPr="003A3045">
        <w:rPr>
          <w:rFonts w:ascii="Times New Roman" w:hAnsi="Times New Roman" w:cs="Times New Roman"/>
          <w:sz w:val="24"/>
          <w:szCs w:val="24"/>
        </w:rPr>
        <w:t>Sukunta</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Manussawee</w:t>
      </w:r>
      <w:proofErr w:type="spellEnd"/>
      <w:r w:rsidRPr="003A3045">
        <w:rPr>
          <w:rFonts w:ascii="Times New Roman" w:hAnsi="Times New Roman" w:cs="Times New Roman"/>
          <w:sz w:val="24"/>
          <w:szCs w:val="24"/>
        </w:rPr>
        <w:t xml:space="preserve">. U.S. Energy Information Administration. (2020, March 6). EIA’s Long-Term Power Plant Projections Trade </w:t>
      </w:r>
      <w:proofErr w:type="gramStart"/>
      <w:r w:rsidRPr="003A3045">
        <w:rPr>
          <w:rFonts w:ascii="Times New Roman" w:hAnsi="Times New Roman" w:cs="Times New Roman"/>
          <w:sz w:val="24"/>
          <w:szCs w:val="24"/>
        </w:rPr>
        <w:t>Off</w:t>
      </w:r>
      <w:proofErr w:type="gramEnd"/>
      <w:r w:rsidRPr="003A3045">
        <w:rPr>
          <w:rFonts w:ascii="Times New Roman" w:hAnsi="Times New Roman" w:cs="Times New Roman"/>
          <w:sz w:val="24"/>
          <w:szCs w:val="24"/>
        </w:rPr>
        <w:t xml:space="preserve"> the Cost and Value of New Capacity. Last accessed: 2020, December 11. Retrieved from: </w:t>
      </w:r>
      <w:hyperlink r:id="rId17">
        <w:r w:rsidRPr="003A3045">
          <w:rPr>
            <w:rFonts w:ascii="Times New Roman" w:hAnsi="Times New Roman" w:cs="Times New Roman"/>
            <w:color w:val="1155CC"/>
            <w:sz w:val="24"/>
            <w:szCs w:val="24"/>
            <w:u w:val="single"/>
          </w:rPr>
          <w:t>https://www.eia.gov/todayinenergy/detail.php?id=43095</w:t>
        </w:r>
      </w:hyperlink>
    </w:p>
    <w:p w14:paraId="3E765F1D" w14:textId="77777777" w:rsidR="006A150E" w:rsidRPr="003A3045" w:rsidRDefault="006A150E">
      <w:pPr>
        <w:spacing w:after="0" w:line="240" w:lineRule="auto"/>
        <w:rPr>
          <w:rFonts w:ascii="Times New Roman" w:hAnsi="Times New Roman" w:cs="Times New Roman"/>
          <w:sz w:val="24"/>
          <w:szCs w:val="24"/>
        </w:rPr>
      </w:pPr>
    </w:p>
    <w:p w14:paraId="5E2B9E38"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4] Renewables Account for Most New U.S. Electricity Generating Capacity in 2021. (2021, January 11). U.S. Energy Information Administration. Retrieved from: https://www.eia.gov/todayinenergy/detail.php?id=46416.</w:t>
      </w:r>
    </w:p>
    <w:p w14:paraId="4A61BD82" w14:textId="77777777" w:rsidR="006A150E" w:rsidRPr="003A3045" w:rsidRDefault="001031F3">
      <w:pPr>
        <w:pStyle w:val="Heading1"/>
        <w:spacing w:after="240"/>
        <w:rPr>
          <w:rFonts w:ascii="Times New Roman" w:hAnsi="Times New Roman" w:cs="Times New Roman"/>
          <w:color w:val="000000"/>
          <w:sz w:val="24"/>
          <w:szCs w:val="24"/>
        </w:rPr>
      </w:pPr>
      <w:bookmarkStart w:id="20" w:name="_3znysh7" w:colFirst="0" w:colLast="0"/>
      <w:bookmarkEnd w:id="20"/>
      <w:r w:rsidRPr="003A3045">
        <w:rPr>
          <w:rFonts w:ascii="Times New Roman" w:hAnsi="Times New Roman" w:cs="Times New Roman"/>
          <w:color w:val="000000"/>
          <w:sz w:val="24"/>
          <w:szCs w:val="24"/>
        </w:rPr>
        <w:t>5] Bartlett, J. (2019). Reducing Risk in Merchant Wind and Solar Projects through Financial Hedges.       Resources for the Future (2019, February 22). https://www.rff.org/publications/working-papers/reducing-risk-merchant-wind-and-solar-projects-through-financial-hedges/</w:t>
      </w:r>
    </w:p>
    <w:p w14:paraId="22B00509" w14:textId="77777777" w:rsidR="006A150E" w:rsidRPr="003A3045" w:rsidRDefault="001031F3">
      <w:pPr>
        <w:pStyle w:val="Heading1"/>
        <w:spacing w:after="240"/>
        <w:rPr>
          <w:rFonts w:ascii="Times New Roman" w:hAnsi="Times New Roman" w:cs="Times New Roman"/>
          <w:color w:val="000000"/>
          <w:sz w:val="24"/>
          <w:szCs w:val="24"/>
        </w:rPr>
      </w:pPr>
      <w:bookmarkStart w:id="21" w:name="_2et92p0" w:colFirst="0" w:colLast="0"/>
      <w:bookmarkEnd w:id="21"/>
      <w:r w:rsidRPr="003A3045">
        <w:rPr>
          <w:rFonts w:ascii="Times New Roman" w:hAnsi="Times New Roman" w:cs="Times New Roman"/>
          <w:color w:val="000000"/>
          <w:sz w:val="24"/>
          <w:szCs w:val="24"/>
        </w:rPr>
        <w:t xml:space="preserve">6] Fast Facts: An Overview of the SPP System. Southwest Power Pool (2020). Retrieved from: </w:t>
      </w:r>
      <w:hyperlink r:id="rId18">
        <w:r w:rsidRPr="003A3045">
          <w:rPr>
            <w:rFonts w:ascii="Times New Roman" w:hAnsi="Times New Roman" w:cs="Times New Roman"/>
            <w:color w:val="1155CC"/>
            <w:sz w:val="24"/>
            <w:szCs w:val="24"/>
            <w:u w:val="single"/>
          </w:rPr>
          <w:t>https://www.spp.org/about-us/fast-facts</w:t>
        </w:r>
      </w:hyperlink>
      <w:hyperlink r:id="rId19">
        <w:r w:rsidRPr="003A3045">
          <w:rPr>
            <w:rFonts w:ascii="Times New Roman" w:hAnsi="Times New Roman" w:cs="Times New Roman"/>
            <w:color w:val="1155CC"/>
            <w:sz w:val="24"/>
            <w:szCs w:val="24"/>
            <w:u w:val="single"/>
          </w:rPr>
          <w:t>/</w:t>
        </w:r>
      </w:hyperlink>
    </w:p>
    <w:p w14:paraId="55BDF7D2" w14:textId="77777777" w:rsidR="006A150E" w:rsidRPr="003A3045" w:rsidRDefault="001031F3">
      <w:pPr>
        <w:rPr>
          <w:rFonts w:ascii="Times New Roman" w:hAnsi="Times New Roman" w:cs="Times New Roman"/>
          <w:sz w:val="24"/>
          <w:szCs w:val="24"/>
        </w:rPr>
      </w:pPr>
      <w:r w:rsidRPr="003A3045">
        <w:rPr>
          <w:rFonts w:ascii="Times New Roman" w:hAnsi="Times New Roman" w:cs="Times New Roman"/>
          <w:sz w:val="24"/>
          <w:szCs w:val="24"/>
        </w:rPr>
        <w:t xml:space="preserve">7] </w:t>
      </w:r>
      <w:r w:rsidRPr="003A3045">
        <w:rPr>
          <w:rFonts w:ascii="Times New Roman" w:hAnsi="Times New Roman" w:cs="Times New Roman"/>
          <w:color w:val="333333"/>
          <w:sz w:val="24"/>
          <w:szCs w:val="24"/>
        </w:rPr>
        <w:t xml:space="preserve">SPP becomes first regional grid operator with wind as No. 1 annual fuel source, considers electric storage participation in markets, approves 2021 transmission plan. (2021, January 26). Southwest Power Pool. Retrieved from: </w:t>
      </w:r>
      <w:hyperlink r:id="rId20">
        <w:r w:rsidRPr="003A3045">
          <w:rPr>
            <w:rFonts w:ascii="Times New Roman" w:hAnsi="Times New Roman" w:cs="Times New Roman"/>
            <w:color w:val="1155CC"/>
            <w:sz w:val="24"/>
            <w:szCs w:val="24"/>
            <w:u w:val="single"/>
          </w:rPr>
          <w:t>https://spp.org/newsroom/press-releases/spp-becomes-first-regional-grid-operator-with-wind-as-no-1-annual-fuel-source-considers-electric-storage-participation-in-markets-approves-2021-transmission-plan/</w:t>
        </w:r>
      </w:hyperlink>
      <w:r w:rsidRPr="003A3045">
        <w:rPr>
          <w:rFonts w:ascii="Times New Roman" w:hAnsi="Times New Roman" w:cs="Times New Roman"/>
          <w:color w:val="333333"/>
          <w:sz w:val="24"/>
          <w:szCs w:val="24"/>
        </w:rPr>
        <w:t xml:space="preserve">. </w:t>
      </w:r>
    </w:p>
    <w:p w14:paraId="73D90D0D"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8] 2020 SPP Transmission Expansion Plan Report. (2020, January 14). Southwest Power Pool. Retrieved from:https://www.spp.org/documents/56611/2020%20spp%20transmission%20expansion%20plan%20report.pdf</w:t>
      </w:r>
    </w:p>
    <w:p w14:paraId="68D69CCA" w14:textId="77777777" w:rsidR="006A150E" w:rsidRPr="003A3045" w:rsidRDefault="006A150E">
      <w:pPr>
        <w:spacing w:after="0" w:line="240" w:lineRule="auto"/>
        <w:rPr>
          <w:rFonts w:ascii="Times New Roman" w:hAnsi="Times New Roman" w:cs="Times New Roman"/>
          <w:sz w:val="24"/>
          <w:szCs w:val="24"/>
        </w:rPr>
      </w:pPr>
    </w:p>
    <w:p w14:paraId="0C49CEF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lastRenderedPageBreak/>
        <w:t xml:space="preserve">9] Electric Storage Resources White Paper. (2020, January 7). Southwest Power Pool. Last accessed: 2020, December 11. Retrieved from: </w:t>
      </w:r>
      <w:hyperlink r:id="rId21">
        <w:r w:rsidRPr="003A3045">
          <w:rPr>
            <w:rFonts w:ascii="Times New Roman" w:hAnsi="Times New Roman" w:cs="Times New Roman"/>
            <w:color w:val="0000FF"/>
            <w:sz w:val="24"/>
            <w:szCs w:val="24"/>
            <w:u w:val="single"/>
          </w:rPr>
          <w:t>https://www.documentcloud.org/documents/6745871-Electric-Storage-Resource-White-Paper.html</w:t>
        </w:r>
      </w:hyperlink>
    </w:p>
    <w:p w14:paraId="0695D4EB" w14:textId="77777777" w:rsidR="006A150E" w:rsidRPr="003A3045" w:rsidRDefault="006A150E">
      <w:pPr>
        <w:spacing w:after="0" w:line="240" w:lineRule="auto"/>
        <w:rPr>
          <w:rFonts w:ascii="Times New Roman" w:hAnsi="Times New Roman" w:cs="Times New Roman"/>
          <w:sz w:val="24"/>
          <w:szCs w:val="24"/>
        </w:rPr>
      </w:pPr>
    </w:p>
    <w:p w14:paraId="3D15E02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10</w:t>
      </w:r>
      <w:proofErr w:type="gramStart"/>
      <w:r w:rsidRPr="003A3045">
        <w:rPr>
          <w:rFonts w:ascii="Times New Roman" w:hAnsi="Times New Roman" w:cs="Times New Roman"/>
          <w:sz w:val="24"/>
          <w:szCs w:val="24"/>
        </w:rPr>
        <w:t>]  Lazard’s</w:t>
      </w:r>
      <w:proofErr w:type="gram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Levelized</w:t>
      </w:r>
      <w:proofErr w:type="spellEnd"/>
      <w:r w:rsidRPr="003A3045">
        <w:rPr>
          <w:rFonts w:ascii="Times New Roman" w:hAnsi="Times New Roman" w:cs="Times New Roman"/>
          <w:sz w:val="24"/>
          <w:szCs w:val="24"/>
        </w:rPr>
        <w:t xml:space="preserve"> Cost of Storage Analysis - Version 5.0. Lazard. Last accessed: 2020, December 11. Retrieved from: https://www.lazard.com/media/451087/lazards-levelized-cost-of-storage-version-50-vf.pdf</w:t>
      </w:r>
    </w:p>
    <w:p w14:paraId="0B4565DB" w14:textId="77777777" w:rsidR="006A150E" w:rsidRPr="003A3045" w:rsidRDefault="006A150E">
      <w:pPr>
        <w:spacing w:after="0" w:line="240" w:lineRule="auto"/>
        <w:rPr>
          <w:rFonts w:ascii="Times New Roman" w:hAnsi="Times New Roman" w:cs="Times New Roman"/>
          <w:sz w:val="24"/>
          <w:szCs w:val="24"/>
        </w:rPr>
      </w:pPr>
    </w:p>
    <w:p w14:paraId="006137B0"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11] Energy Storage Options for North Carolina. (2019, February 2). NC State Energy Storage Team. Last accessed: 2020, December 11.  Retrieved from: </w:t>
      </w:r>
      <w:hyperlink r:id="rId22">
        <w:r w:rsidRPr="003A3045">
          <w:rPr>
            <w:rFonts w:ascii="Times New Roman" w:hAnsi="Times New Roman" w:cs="Times New Roman"/>
            <w:color w:val="1155CC"/>
            <w:sz w:val="24"/>
            <w:szCs w:val="24"/>
            <w:u w:val="single"/>
          </w:rPr>
          <w:t>https://energy.ncsu.edu/storage/wp-content/uploads/sites/2/2019/02/NC-Storage-Study-FINAL.pdf</w:t>
        </w:r>
      </w:hyperlink>
    </w:p>
    <w:p w14:paraId="2CA20619" w14:textId="77777777" w:rsidR="006A150E" w:rsidRPr="003A3045" w:rsidRDefault="006A150E">
      <w:pPr>
        <w:spacing w:after="0" w:line="240" w:lineRule="auto"/>
        <w:rPr>
          <w:rFonts w:ascii="Times New Roman" w:hAnsi="Times New Roman" w:cs="Times New Roman"/>
          <w:sz w:val="24"/>
          <w:szCs w:val="24"/>
        </w:rPr>
      </w:pPr>
    </w:p>
    <w:p w14:paraId="5ED0B88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12] Guido Francesco </w:t>
      </w:r>
      <w:proofErr w:type="spellStart"/>
      <w:r w:rsidRPr="003A3045">
        <w:rPr>
          <w:rFonts w:ascii="Times New Roman" w:hAnsi="Times New Roman" w:cs="Times New Roman"/>
          <w:sz w:val="24"/>
          <w:szCs w:val="24"/>
        </w:rPr>
        <w:t>Frate</w:t>
      </w:r>
      <w:proofErr w:type="spellEnd"/>
      <w:r w:rsidRPr="003A3045">
        <w:rPr>
          <w:rFonts w:ascii="Times New Roman" w:hAnsi="Times New Roman" w:cs="Times New Roman"/>
          <w:sz w:val="24"/>
          <w:szCs w:val="24"/>
        </w:rPr>
        <w:t xml:space="preserve">, Lorenzo Ferrari, Umberto </w:t>
      </w:r>
      <w:proofErr w:type="spellStart"/>
      <w:r w:rsidRPr="003A3045">
        <w:rPr>
          <w:rFonts w:ascii="Times New Roman" w:hAnsi="Times New Roman" w:cs="Times New Roman"/>
          <w:sz w:val="24"/>
          <w:szCs w:val="24"/>
        </w:rPr>
        <w:t>Desideri</w:t>
      </w:r>
      <w:proofErr w:type="spellEnd"/>
      <w:r w:rsidRPr="003A3045">
        <w:rPr>
          <w:rFonts w:ascii="Times New Roman" w:hAnsi="Times New Roman" w:cs="Times New Roman"/>
          <w:sz w:val="24"/>
          <w:szCs w:val="24"/>
        </w:rPr>
        <w:t>,</w:t>
      </w:r>
    </w:p>
    <w:p w14:paraId="084444A0"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Energy storage for grid-scale applications: Technology review and economic feasibility analysis,</w:t>
      </w:r>
    </w:p>
    <w:p w14:paraId="3E097455"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Renewable Energy, Volume 163 (January 2021), Pages 1754-1772, ISSN 0960-1481,</w:t>
      </w:r>
    </w:p>
    <w:p w14:paraId="0BC0C24A" w14:textId="77777777" w:rsidR="006A150E" w:rsidRPr="003A3045" w:rsidRDefault="003B170F">
      <w:pPr>
        <w:spacing w:after="0" w:line="240" w:lineRule="auto"/>
        <w:rPr>
          <w:rFonts w:ascii="Times New Roman" w:hAnsi="Times New Roman" w:cs="Times New Roman"/>
          <w:sz w:val="24"/>
          <w:szCs w:val="24"/>
        </w:rPr>
      </w:pPr>
      <w:hyperlink r:id="rId23">
        <w:r w:rsidR="001031F3" w:rsidRPr="003A3045">
          <w:rPr>
            <w:rFonts w:ascii="Times New Roman" w:hAnsi="Times New Roman" w:cs="Times New Roman"/>
            <w:color w:val="1155CC"/>
            <w:sz w:val="24"/>
            <w:szCs w:val="24"/>
            <w:u w:val="single"/>
          </w:rPr>
          <w:t>https://doi.org/10.1016/j.renene.2020.10.070</w:t>
        </w:r>
      </w:hyperlink>
      <w:r w:rsidR="001031F3" w:rsidRPr="003A3045">
        <w:rPr>
          <w:rFonts w:ascii="Times New Roman" w:hAnsi="Times New Roman" w:cs="Times New Roman"/>
          <w:sz w:val="24"/>
          <w:szCs w:val="24"/>
        </w:rPr>
        <w:t>.</w:t>
      </w:r>
    </w:p>
    <w:p w14:paraId="7CEA4973" w14:textId="77777777" w:rsidR="006A150E" w:rsidRPr="003A3045" w:rsidRDefault="006A150E">
      <w:pPr>
        <w:spacing w:after="0" w:line="240" w:lineRule="auto"/>
        <w:rPr>
          <w:rFonts w:ascii="Times New Roman" w:hAnsi="Times New Roman" w:cs="Times New Roman"/>
          <w:sz w:val="24"/>
          <w:szCs w:val="24"/>
        </w:rPr>
      </w:pPr>
    </w:p>
    <w:p w14:paraId="4310C64D"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13] Mehdi </w:t>
      </w:r>
      <w:proofErr w:type="spellStart"/>
      <w:r w:rsidRPr="003A3045">
        <w:rPr>
          <w:rFonts w:ascii="Times New Roman" w:hAnsi="Times New Roman" w:cs="Times New Roman"/>
          <w:sz w:val="24"/>
          <w:szCs w:val="24"/>
        </w:rPr>
        <w:t>Jafari</w:t>
      </w:r>
      <w:proofErr w:type="spellEnd"/>
      <w:r w:rsidRPr="003A3045">
        <w:rPr>
          <w:rFonts w:ascii="Times New Roman" w:hAnsi="Times New Roman" w:cs="Times New Roman"/>
          <w:sz w:val="24"/>
          <w:szCs w:val="24"/>
        </w:rPr>
        <w:t xml:space="preserve">, Magnus </w:t>
      </w:r>
      <w:proofErr w:type="spellStart"/>
      <w:r w:rsidRPr="003A3045">
        <w:rPr>
          <w:rFonts w:ascii="Times New Roman" w:hAnsi="Times New Roman" w:cs="Times New Roman"/>
          <w:sz w:val="24"/>
          <w:szCs w:val="24"/>
        </w:rPr>
        <w:t>Korpås</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Audun</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Botterud</w:t>
      </w:r>
      <w:proofErr w:type="spellEnd"/>
      <w:r w:rsidRPr="003A3045">
        <w:rPr>
          <w:rFonts w:ascii="Times New Roman" w:hAnsi="Times New Roman" w:cs="Times New Roman"/>
          <w:sz w:val="24"/>
          <w:szCs w:val="24"/>
        </w:rPr>
        <w:t xml:space="preserve">, Power system </w:t>
      </w:r>
      <w:proofErr w:type="spellStart"/>
      <w:r w:rsidRPr="003A3045">
        <w:rPr>
          <w:rFonts w:ascii="Times New Roman" w:hAnsi="Times New Roman" w:cs="Times New Roman"/>
          <w:sz w:val="24"/>
          <w:szCs w:val="24"/>
        </w:rPr>
        <w:t>decarbonization</w:t>
      </w:r>
      <w:proofErr w:type="spellEnd"/>
      <w:r w:rsidRPr="003A3045">
        <w:rPr>
          <w:rFonts w:ascii="Times New Roman" w:hAnsi="Times New Roman" w:cs="Times New Roman"/>
          <w:sz w:val="24"/>
          <w:szCs w:val="24"/>
        </w:rPr>
        <w:t xml:space="preserve">: Impacts of energy storage duration and </w:t>
      </w:r>
      <w:proofErr w:type="spellStart"/>
      <w:r w:rsidRPr="003A3045">
        <w:rPr>
          <w:rFonts w:ascii="Times New Roman" w:hAnsi="Times New Roman" w:cs="Times New Roman"/>
          <w:sz w:val="24"/>
          <w:szCs w:val="24"/>
        </w:rPr>
        <w:t>interannual</w:t>
      </w:r>
      <w:proofErr w:type="spellEnd"/>
      <w:r w:rsidRPr="003A3045">
        <w:rPr>
          <w:rFonts w:ascii="Times New Roman" w:hAnsi="Times New Roman" w:cs="Times New Roman"/>
          <w:sz w:val="24"/>
          <w:szCs w:val="24"/>
        </w:rPr>
        <w:t xml:space="preserve"> renewables variability, Renewable Energy, Volume 156, (August 2020), Pages 1171-1185, ISSN 0960-1481. </w:t>
      </w:r>
      <w:hyperlink r:id="rId24">
        <w:r w:rsidRPr="003A3045">
          <w:rPr>
            <w:rFonts w:ascii="Times New Roman" w:hAnsi="Times New Roman" w:cs="Times New Roman"/>
            <w:color w:val="1155CC"/>
            <w:sz w:val="24"/>
            <w:szCs w:val="24"/>
            <w:u w:val="single"/>
          </w:rPr>
          <w:t>https://doi.org/10.1016/j.renene.2020.04.144</w:t>
        </w:r>
      </w:hyperlink>
      <w:r w:rsidRPr="003A3045">
        <w:rPr>
          <w:rFonts w:ascii="Times New Roman" w:hAnsi="Times New Roman" w:cs="Times New Roman"/>
          <w:sz w:val="24"/>
          <w:szCs w:val="24"/>
        </w:rPr>
        <w:t>.</w:t>
      </w:r>
    </w:p>
    <w:p w14:paraId="759445D2" w14:textId="77777777" w:rsidR="006A150E" w:rsidRPr="003A3045" w:rsidRDefault="006A150E">
      <w:pPr>
        <w:spacing w:after="0" w:line="240" w:lineRule="auto"/>
        <w:rPr>
          <w:rFonts w:ascii="Times New Roman" w:hAnsi="Times New Roman" w:cs="Times New Roman"/>
          <w:sz w:val="24"/>
          <w:szCs w:val="24"/>
        </w:rPr>
      </w:pPr>
    </w:p>
    <w:p w14:paraId="54477EED"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14] Wei-qi Zhang, Xin-</w:t>
      </w:r>
      <w:proofErr w:type="spellStart"/>
      <w:r w:rsidRPr="003A3045">
        <w:rPr>
          <w:rFonts w:ascii="Times New Roman" w:hAnsi="Times New Roman" w:cs="Times New Roman"/>
          <w:sz w:val="24"/>
          <w:szCs w:val="24"/>
        </w:rPr>
        <w:t>yan</w:t>
      </w:r>
      <w:proofErr w:type="spellEnd"/>
      <w:r w:rsidRPr="003A3045">
        <w:rPr>
          <w:rFonts w:ascii="Times New Roman" w:hAnsi="Times New Roman" w:cs="Times New Roman"/>
          <w:sz w:val="24"/>
          <w:szCs w:val="24"/>
        </w:rPr>
        <w:t xml:space="preserve"> Zhang, Shao-</w:t>
      </w:r>
      <w:proofErr w:type="spellStart"/>
      <w:r w:rsidRPr="003A3045">
        <w:rPr>
          <w:rFonts w:ascii="Times New Roman" w:hAnsi="Times New Roman" w:cs="Times New Roman"/>
          <w:sz w:val="24"/>
          <w:szCs w:val="24"/>
        </w:rPr>
        <w:t>wei</w:t>
      </w:r>
      <w:proofErr w:type="spellEnd"/>
      <w:r w:rsidRPr="003A3045">
        <w:rPr>
          <w:rFonts w:ascii="Times New Roman" w:hAnsi="Times New Roman" w:cs="Times New Roman"/>
          <w:sz w:val="24"/>
          <w:szCs w:val="24"/>
        </w:rPr>
        <w:t xml:space="preserve"> Huang, Yu-kai Xia, Xiao-</w:t>
      </w:r>
      <w:proofErr w:type="spellStart"/>
      <w:r w:rsidRPr="003A3045">
        <w:rPr>
          <w:rFonts w:ascii="Times New Roman" w:hAnsi="Times New Roman" w:cs="Times New Roman"/>
          <w:sz w:val="24"/>
          <w:szCs w:val="24"/>
        </w:rPr>
        <w:t>chao</w:t>
      </w:r>
      <w:proofErr w:type="spellEnd"/>
      <w:r w:rsidRPr="003A3045">
        <w:rPr>
          <w:rFonts w:ascii="Times New Roman" w:hAnsi="Times New Roman" w:cs="Times New Roman"/>
          <w:sz w:val="24"/>
          <w:szCs w:val="24"/>
        </w:rPr>
        <w:t xml:space="preserve"> Fan, Sheng-</w:t>
      </w:r>
      <w:proofErr w:type="spellStart"/>
      <w:r w:rsidRPr="003A3045">
        <w:rPr>
          <w:rFonts w:ascii="Times New Roman" w:hAnsi="Times New Roman" w:cs="Times New Roman"/>
          <w:sz w:val="24"/>
          <w:szCs w:val="24"/>
        </w:rPr>
        <w:t>wei</w:t>
      </w:r>
      <w:proofErr w:type="spellEnd"/>
      <w:r w:rsidRPr="003A3045">
        <w:rPr>
          <w:rFonts w:ascii="Times New Roman" w:hAnsi="Times New Roman" w:cs="Times New Roman"/>
          <w:sz w:val="24"/>
          <w:szCs w:val="24"/>
        </w:rPr>
        <w:t xml:space="preserve"> Mei,</w:t>
      </w:r>
    </w:p>
    <w:p w14:paraId="55DD2AD4"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Evolution of a transmission network with high proportion of renewable energy in the future, Renewable Energy, Volume 102, Part B, (March 2017), Pages 372-379, ISSN 0960-1481. </w:t>
      </w:r>
      <w:hyperlink r:id="rId25">
        <w:r w:rsidRPr="003A3045">
          <w:rPr>
            <w:rFonts w:ascii="Times New Roman" w:hAnsi="Times New Roman" w:cs="Times New Roman"/>
            <w:color w:val="1155CC"/>
            <w:sz w:val="24"/>
            <w:szCs w:val="24"/>
            <w:u w:val="single"/>
          </w:rPr>
          <w:t>https://doi.org/10.1016/j.renene.2016.10.057</w:t>
        </w:r>
      </w:hyperlink>
      <w:r w:rsidRPr="003A3045">
        <w:rPr>
          <w:rFonts w:ascii="Times New Roman" w:hAnsi="Times New Roman" w:cs="Times New Roman"/>
          <w:sz w:val="24"/>
          <w:szCs w:val="24"/>
        </w:rPr>
        <w:t>.</w:t>
      </w:r>
    </w:p>
    <w:p w14:paraId="20C0F3F7" w14:textId="77777777" w:rsidR="006A150E" w:rsidRPr="003A3045" w:rsidRDefault="006A150E">
      <w:pPr>
        <w:spacing w:after="0" w:line="240" w:lineRule="auto"/>
        <w:rPr>
          <w:rFonts w:ascii="Times New Roman" w:hAnsi="Times New Roman" w:cs="Times New Roman"/>
          <w:sz w:val="24"/>
          <w:szCs w:val="24"/>
        </w:rPr>
      </w:pPr>
    </w:p>
    <w:p w14:paraId="255C0241"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15] Mohammad </w:t>
      </w:r>
      <w:proofErr w:type="spellStart"/>
      <w:r w:rsidRPr="003A3045">
        <w:rPr>
          <w:rFonts w:ascii="Times New Roman" w:hAnsi="Times New Roman" w:cs="Times New Roman"/>
          <w:sz w:val="24"/>
          <w:szCs w:val="24"/>
        </w:rPr>
        <w:t>Javad</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Poursalimi</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Jaghargh</w:t>
      </w:r>
      <w:proofErr w:type="spellEnd"/>
      <w:r w:rsidRPr="003A3045">
        <w:rPr>
          <w:rFonts w:ascii="Times New Roman" w:hAnsi="Times New Roman" w:cs="Times New Roman"/>
          <w:sz w:val="24"/>
          <w:szCs w:val="24"/>
        </w:rPr>
        <w:t xml:space="preserve">, Habib </w:t>
      </w:r>
      <w:proofErr w:type="spellStart"/>
      <w:r w:rsidRPr="003A3045">
        <w:rPr>
          <w:rFonts w:ascii="Times New Roman" w:hAnsi="Times New Roman" w:cs="Times New Roman"/>
          <w:sz w:val="24"/>
          <w:szCs w:val="24"/>
        </w:rPr>
        <w:t>Rajabi</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Mashhadi</w:t>
      </w:r>
      <w:proofErr w:type="spellEnd"/>
      <w:r w:rsidRPr="003A3045">
        <w:rPr>
          <w:rFonts w:ascii="Times New Roman" w:hAnsi="Times New Roman" w:cs="Times New Roman"/>
          <w:sz w:val="24"/>
          <w:szCs w:val="24"/>
        </w:rPr>
        <w:t xml:space="preserve">, An analytical approach to estimate structural and behavioral impact of renewable energy power plants on LMP, Renewable Energy, Volume 163, (January 2021), Pages 1012-1022, ISSN 0960-1481. </w:t>
      </w:r>
      <w:hyperlink r:id="rId26">
        <w:r w:rsidRPr="003A3045">
          <w:rPr>
            <w:rFonts w:ascii="Times New Roman" w:hAnsi="Times New Roman" w:cs="Times New Roman"/>
            <w:color w:val="1155CC"/>
            <w:sz w:val="24"/>
            <w:szCs w:val="24"/>
            <w:u w:val="single"/>
          </w:rPr>
          <w:t>https://doi.org/10.1016/j.renene.2020.08.089</w:t>
        </w:r>
      </w:hyperlink>
      <w:r w:rsidRPr="003A3045">
        <w:rPr>
          <w:rFonts w:ascii="Times New Roman" w:hAnsi="Times New Roman" w:cs="Times New Roman"/>
          <w:sz w:val="24"/>
          <w:szCs w:val="24"/>
        </w:rPr>
        <w:t>.</w:t>
      </w:r>
    </w:p>
    <w:p w14:paraId="55CF41F1" w14:textId="77777777" w:rsidR="006A150E" w:rsidRPr="003A3045" w:rsidRDefault="006A150E">
      <w:pPr>
        <w:spacing w:after="0" w:line="240" w:lineRule="auto"/>
        <w:rPr>
          <w:rFonts w:ascii="Times New Roman" w:hAnsi="Times New Roman" w:cs="Times New Roman"/>
          <w:sz w:val="24"/>
          <w:szCs w:val="24"/>
        </w:rPr>
      </w:pPr>
    </w:p>
    <w:p w14:paraId="0B219B96"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16] Matthew D. Leonard, </w:t>
      </w:r>
      <w:proofErr w:type="spellStart"/>
      <w:r w:rsidRPr="003A3045">
        <w:rPr>
          <w:rFonts w:ascii="Times New Roman" w:hAnsi="Times New Roman" w:cs="Times New Roman"/>
          <w:sz w:val="24"/>
          <w:szCs w:val="24"/>
        </w:rPr>
        <w:t>Efstathios</w:t>
      </w:r>
      <w:proofErr w:type="spellEnd"/>
      <w:r w:rsidRPr="003A3045">
        <w:rPr>
          <w:rFonts w:ascii="Times New Roman" w:hAnsi="Times New Roman" w:cs="Times New Roman"/>
          <w:sz w:val="24"/>
          <w:szCs w:val="24"/>
        </w:rPr>
        <w:t xml:space="preserve"> E. </w:t>
      </w:r>
      <w:proofErr w:type="spellStart"/>
      <w:r w:rsidRPr="003A3045">
        <w:rPr>
          <w:rFonts w:ascii="Times New Roman" w:hAnsi="Times New Roman" w:cs="Times New Roman"/>
          <w:sz w:val="24"/>
          <w:szCs w:val="24"/>
        </w:rPr>
        <w:t>Michaelides</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Dimitrios</w:t>
      </w:r>
      <w:proofErr w:type="spellEnd"/>
      <w:r w:rsidRPr="003A3045">
        <w:rPr>
          <w:rFonts w:ascii="Times New Roman" w:hAnsi="Times New Roman" w:cs="Times New Roman"/>
          <w:sz w:val="24"/>
          <w:szCs w:val="24"/>
        </w:rPr>
        <w:t xml:space="preserve"> N. </w:t>
      </w:r>
      <w:proofErr w:type="spellStart"/>
      <w:r w:rsidRPr="003A3045">
        <w:rPr>
          <w:rFonts w:ascii="Times New Roman" w:hAnsi="Times New Roman" w:cs="Times New Roman"/>
          <w:sz w:val="24"/>
          <w:szCs w:val="24"/>
        </w:rPr>
        <w:t>Michaelides</w:t>
      </w:r>
      <w:proofErr w:type="spellEnd"/>
      <w:r w:rsidRPr="003A3045">
        <w:rPr>
          <w:rFonts w:ascii="Times New Roman" w:hAnsi="Times New Roman" w:cs="Times New Roman"/>
          <w:sz w:val="24"/>
          <w:szCs w:val="24"/>
        </w:rPr>
        <w:t xml:space="preserve">, Energy storage needs for the substitution of fossil fuel power plants with renewables, Renewable Energy, Volume 145 (January 2020), Pages 951-962, ISSN 0960-1481. </w:t>
      </w:r>
      <w:hyperlink r:id="rId27">
        <w:r w:rsidRPr="003A3045">
          <w:rPr>
            <w:rFonts w:ascii="Times New Roman" w:hAnsi="Times New Roman" w:cs="Times New Roman"/>
            <w:color w:val="1155CC"/>
            <w:sz w:val="24"/>
            <w:szCs w:val="24"/>
            <w:u w:val="single"/>
          </w:rPr>
          <w:t>https://doi.org/10.1016/j.renene.2019.06.066</w:t>
        </w:r>
      </w:hyperlink>
      <w:r w:rsidRPr="003A3045">
        <w:rPr>
          <w:rFonts w:ascii="Times New Roman" w:hAnsi="Times New Roman" w:cs="Times New Roman"/>
          <w:sz w:val="24"/>
          <w:szCs w:val="24"/>
        </w:rPr>
        <w:t>.</w:t>
      </w:r>
    </w:p>
    <w:p w14:paraId="235A8596" w14:textId="77777777" w:rsidR="006A150E" w:rsidRPr="003A3045" w:rsidRDefault="006A150E">
      <w:pPr>
        <w:spacing w:after="0" w:line="240" w:lineRule="auto"/>
        <w:rPr>
          <w:rFonts w:ascii="Times New Roman" w:hAnsi="Times New Roman" w:cs="Times New Roman"/>
          <w:sz w:val="24"/>
          <w:szCs w:val="24"/>
        </w:rPr>
      </w:pPr>
    </w:p>
    <w:p w14:paraId="62C398E4"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17] </w:t>
      </w:r>
      <w:proofErr w:type="spellStart"/>
      <w:r w:rsidRPr="003A3045">
        <w:rPr>
          <w:rFonts w:ascii="Times New Roman" w:hAnsi="Times New Roman" w:cs="Times New Roman"/>
          <w:sz w:val="24"/>
          <w:szCs w:val="24"/>
        </w:rPr>
        <w:t>Thanaporn</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Sriyakul</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Kittisak</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Jermsittiparsert</w:t>
      </w:r>
      <w:proofErr w:type="spellEnd"/>
      <w:r w:rsidRPr="003A3045">
        <w:rPr>
          <w:rFonts w:ascii="Times New Roman" w:hAnsi="Times New Roman" w:cs="Times New Roman"/>
          <w:sz w:val="24"/>
          <w:szCs w:val="24"/>
        </w:rPr>
        <w:t xml:space="preserve">, Risk-controlled economic performance of compressed air energy storage and wind generation in day-ahead, intraday and balancing markets, Renewable Energy, Volume 165, Part 1 (January 2021), Pages 182-193, ISSN 0960-1481. </w:t>
      </w:r>
      <w:hyperlink r:id="rId28">
        <w:r w:rsidRPr="003A3045">
          <w:rPr>
            <w:rFonts w:ascii="Times New Roman" w:hAnsi="Times New Roman" w:cs="Times New Roman"/>
            <w:color w:val="1155CC"/>
            <w:sz w:val="24"/>
            <w:szCs w:val="24"/>
            <w:u w:val="single"/>
          </w:rPr>
          <w:t>https://doi.org/10.1016/j.renene.2020.11.025</w:t>
        </w:r>
      </w:hyperlink>
      <w:r w:rsidRPr="003A3045">
        <w:rPr>
          <w:rFonts w:ascii="Times New Roman" w:hAnsi="Times New Roman" w:cs="Times New Roman"/>
          <w:sz w:val="24"/>
          <w:szCs w:val="24"/>
        </w:rPr>
        <w:t>.</w:t>
      </w:r>
    </w:p>
    <w:p w14:paraId="04CD5506" w14:textId="77777777" w:rsidR="006A150E" w:rsidRPr="003A3045" w:rsidRDefault="006A150E">
      <w:pPr>
        <w:spacing w:after="0" w:line="240" w:lineRule="auto"/>
        <w:rPr>
          <w:rFonts w:ascii="Times New Roman" w:hAnsi="Times New Roman" w:cs="Times New Roman"/>
          <w:sz w:val="24"/>
          <w:szCs w:val="24"/>
        </w:rPr>
      </w:pPr>
    </w:p>
    <w:p w14:paraId="544373C3"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18) </w:t>
      </w:r>
      <w:proofErr w:type="spellStart"/>
      <w:r w:rsidRPr="003A3045">
        <w:rPr>
          <w:rFonts w:ascii="Times New Roman" w:hAnsi="Times New Roman" w:cs="Times New Roman"/>
          <w:sz w:val="24"/>
          <w:szCs w:val="24"/>
        </w:rPr>
        <w:t>Igbinovia</w:t>
      </w:r>
      <w:proofErr w:type="spellEnd"/>
      <w:r w:rsidRPr="003A3045">
        <w:rPr>
          <w:rFonts w:ascii="Times New Roman" w:hAnsi="Times New Roman" w:cs="Times New Roman"/>
          <w:sz w:val="24"/>
          <w:szCs w:val="24"/>
        </w:rPr>
        <w:t xml:space="preserve">, Famous &amp; </w:t>
      </w:r>
      <w:proofErr w:type="spellStart"/>
      <w:r w:rsidRPr="003A3045">
        <w:rPr>
          <w:rFonts w:ascii="Times New Roman" w:hAnsi="Times New Roman" w:cs="Times New Roman"/>
          <w:sz w:val="24"/>
          <w:szCs w:val="24"/>
        </w:rPr>
        <w:t>Křupka</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Jiří</w:t>
      </w:r>
      <w:proofErr w:type="spellEnd"/>
      <w:r w:rsidRPr="003A3045">
        <w:rPr>
          <w:rFonts w:ascii="Times New Roman" w:hAnsi="Times New Roman" w:cs="Times New Roman"/>
          <w:sz w:val="24"/>
          <w:szCs w:val="24"/>
        </w:rPr>
        <w:t>. (August 2019). An Appraisal of Multi Objective Evolutionary Algorithm for Possible Optimization of Renewable Energy Systems. Research Gate. https://www.researchgate.net/publication/337945634</w:t>
      </w:r>
    </w:p>
    <w:p w14:paraId="3ABCDC9A" w14:textId="77777777" w:rsidR="006A150E" w:rsidRPr="003A3045" w:rsidRDefault="006A150E">
      <w:pPr>
        <w:spacing w:after="0" w:line="240" w:lineRule="auto"/>
        <w:rPr>
          <w:rFonts w:ascii="Times New Roman" w:hAnsi="Times New Roman" w:cs="Times New Roman"/>
          <w:sz w:val="24"/>
          <w:szCs w:val="24"/>
        </w:rPr>
      </w:pPr>
    </w:p>
    <w:p w14:paraId="7A67D4D6"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19) Geoffrey </w:t>
      </w:r>
      <w:proofErr w:type="spellStart"/>
      <w:r w:rsidRPr="003A3045">
        <w:rPr>
          <w:rFonts w:ascii="Times New Roman" w:hAnsi="Times New Roman" w:cs="Times New Roman"/>
          <w:sz w:val="24"/>
          <w:szCs w:val="24"/>
        </w:rPr>
        <w:t>McD</w:t>
      </w:r>
      <w:proofErr w:type="spellEnd"/>
      <w:r w:rsidRPr="003A3045">
        <w:rPr>
          <w:rFonts w:ascii="Times New Roman" w:hAnsi="Times New Roman" w:cs="Times New Roman"/>
          <w:sz w:val="24"/>
          <w:szCs w:val="24"/>
        </w:rPr>
        <w:t>. Lewis, High value wind: A method to explore the relationship between wind speed and electricity locational marginal price, Renewable Energy, Volume 33, Issue 8 (August 2008), Pages 1843-1853, ISSN 0960-1481, https://doi.org/10.1016/j.renene.2007.09.016.</w:t>
      </w:r>
    </w:p>
    <w:p w14:paraId="7C5D0E39" w14:textId="77777777" w:rsidR="006A150E" w:rsidRPr="003A3045" w:rsidRDefault="006A150E">
      <w:pPr>
        <w:spacing w:after="0" w:line="240" w:lineRule="auto"/>
        <w:rPr>
          <w:rFonts w:ascii="Times New Roman" w:hAnsi="Times New Roman" w:cs="Times New Roman"/>
          <w:sz w:val="24"/>
          <w:szCs w:val="24"/>
        </w:rPr>
      </w:pPr>
    </w:p>
    <w:p w14:paraId="18F7A3E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lastRenderedPageBreak/>
        <w:t xml:space="preserve">20) Lee Taylor, Adam Reeve, Tim Belden. The “P99 Hedge” That Wasn’t. </w:t>
      </w:r>
      <w:proofErr w:type="spellStart"/>
      <w:r w:rsidRPr="003A3045">
        <w:rPr>
          <w:rFonts w:ascii="Times New Roman" w:hAnsi="Times New Roman" w:cs="Times New Roman"/>
          <w:sz w:val="24"/>
          <w:szCs w:val="24"/>
        </w:rPr>
        <w:t>Resurety</w:t>
      </w:r>
      <w:proofErr w:type="spellEnd"/>
      <w:r w:rsidRPr="003A3045">
        <w:rPr>
          <w:rFonts w:ascii="Times New Roman" w:hAnsi="Times New Roman" w:cs="Times New Roman"/>
          <w:sz w:val="24"/>
          <w:szCs w:val="24"/>
        </w:rPr>
        <w:t xml:space="preserve"> (May 2018). Retrieved from: </w:t>
      </w:r>
      <w:hyperlink r:id="rId29">
        <w:r w:rsidRPr="003A3045">
          <w:rPr>
            <w:rFonts w:ascii="Times New Roman" w:hAnsi="Times New Roman" w:cs="Times New Roman"/>
            <w:color w:val="1155CC"/>
            <w:sz w:val="24"/>
            <w:szCs w:val="24"/>
            <w:u w:val="single"/>
          </w:rPr>
          <w:t>https://resurety.com/uploads/The-P99-Hedge-That-Wasnt-a-REsurety-and-Energy-GPS-White-Paper.pdf</w:t>
        </w:r>
      </w:hyperlink>
      <w:r w:rsidRPr="003A3045">
        <w:rPr>
          <w:rFonts w:ascii="Times New Roman" w:hAnsi="Times New Roman" w:cs="Times New Roman"/>
          <w:sz w:val="24"/>
          <w:szCs w:val="24"/>
        </w:rPr>
        <w:t>.</w:t>
      </w:r>
    </w:p>
    <w:p w14:paraId="6F57D737" w14:textId="77777777" w:rsidR="006A150E" w:rsidRPr="003A3045" w:rsidRDefault="006A150E">
      <w:pPr>
        <w:spacing w:after="0" w:line="240" w:lineRule="auto"/>
        <w:rPr>
          <w:rFonts w:ascii="Times New Roman" w:hAnsi="Times New Roman" w:cs="Times New Roman"/>
          <w:sz w:val="24"/>
          <w:szCs w:val="24"/>
        </w:rPr>
      </w:pPr>
    </w:p>
    <w:p w14:paraId="17E85451"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21) Short Term Energy Outlook. (2021, January 12). U.S. Energy Information Administration. Retrieved from: </w:t>
      </w:r>
      <w:hyperlink r:id="rId30">
        <w:r w:rsidRPr="003A3045">
          <w:rPr>
            <w:rFonts w:ascii="Times New Roman" w:hAnsi="Times New Roman" w:cs="Times New Roman"/>
            <w:color w:val="1155CC"/>
            <w:sz w:val="24"/>
            <w:szCs w:val="24"/>
            <w:u w:val="single"/>
          </w:rPr>
          <w:t>https://www.eia.gov/outlooks/steo/</w:t>
        </w:r>
      </w:hyperlink>
      <w:r w:rsidRPr="003A3045">
        <w:rPr>
          <w:rFonts w:ascii="Times New Roman" w:hAnsi="Times New Roman" w:cs="Times New Roman"/>
          <w:sz w:val="24"/>
          <w:szCs w:val="24"/>
        </w:rPr>
        <w:t>.</w:t>
      </w:r>
    </w:p>
    <w:p w14:paraId="46F75A4D" w14:textId="77777777" w:rsidR="006A150E" w:rsidRPr="003A3045" w:rsidRDefault="006A150E">
      <w:pPr>
        <w:spacing w:after="0" w:line="240" w:lineRule="auto"/>
        <w:rPr>
          <w:rFonts w:ascii="Times New Roman" w:hAnsi="Times New Roman" w:cs="Times New Roman"/>
          <w:sz w:val="24"/>
          <w:szCs w:val="24"/>
        </w:rPr>
      </w:pPr>
    </w:p>
    <w:p w14:paraId="1A5022A1" w14:textId="77777777" w:rsidR="006A150E" w:rsidRPr="003A3045" w:rsidRDefault="001031F3">
      <w:pPr>
        <w:spacing w:after="0" w:line="240" w:lineRule="auto"/>
        <w:rPr>
          <w:rFonts w:ascii="Times New Roman" w:hAnsi="Times New Roman" w:cs="Times New Roman"/>
          <w:color w:val="333333"/>
          <w:sz w:val="24"/>
          <w:szCs w:val="24"/>
        </w:rPr>
      </w:pPr>
      <w:r w:rsidRPr="003A3045">
        <w:rPr>
          <w:rFonts w:ascii="Times New Roman" w:hAnsi="Times New Roman" w:cs="Times New Roman"/>
          <w:sz w:val="24"/>
          <w:szCs w:val="24"/>
        </w:rPr>
        <w:t xml:space="preserve">22) </w:t>
      </w:r>
      <w:r w:rsidRPr="003A3045">
        <w:rPr>
          <w:rFonts w:ascii="Times New Roman" w:hAnsi="Times New Roman" w:cs="Times New Roman"/>
          <w:color w:val="333333"/>
          <w:sz w:val="24"/>
          <w:szCs w:val="24"/>
        </w:rPr>
        <w:t xml:space="preserve">SPP becomes first regional grid operator with wind as No. 1 annual fuel source, considers electric storage participation in markets, approves 2021 transmission plan. (2021, January 26). Southwest Power Pool. Retrieved from: </w:t>
      </w:r>
      <w:hyperlink r:id="rId31">
        <w:r w:rsidRPr="003A3045">
          <w:rPr>
            <w:rFonts w:ascii="Times New Roman" w:hAnsi="Times New Roman" w:cs="Times New Roman"/>
            <w:color w:val="1155CC"/>
            <w:sz w:val="24"/>
            <w:szCs w:val="24"/>
            <w:u w:val="single"/>
          </w:rPr>
          <w:t>https://spp.org/newsroom/press-releases/spp-becomes-first-regional-grid-operator-with-wind-as-no-1-annual-fuel-source-considers-electric-storage-participation-in-markets-approves-2021-transmission-plan/</w:t>
        </w:r>
      </w:hyperlink>
      <w:r w:rsidRPr="003A3045">
        <w:rPr>
          <w:rFonts w:ascii="Times New Roman" w:hAnsi="Times New Roman" w:cs="Times New Roman"/>
          <w:color w:val="333333"/>
          <w:sz w:val="24"/>
          <w:szCs w:val="24"/>
        </w:rPr>
        <w:t>.</w:t>
      </w:r>
    </w:p>
    <w:p w14:paraId="0F4D281F" w14:textId="77777777" w:rsidR="006A150E" w:rsidRPr="003A3045" w:rsidRDefault="006A150E">
      <w:pPr>
        <w:spacing w:after="0" w:line="240" w:lineRule="auto"/>
        <w:rPr>
          <w:rFonts w:ascii="Times New Roman" w:hAnsi="Times New Roman" w:cs="Times New Roman"/>
          <w:color w:val="333333"/>
          <w:sz w:val="24"/>
          <w:szCs w:val="24"/>
        </w:rPr>
      </w:pPr>
    </w:p>
    <w:p w14:paraId="1E08F87E" w14:textId="77777777" w:rsidR="006A150E" w:rsidRPr="003A3045" w:rsidRDefault="001031F3">
      <w:pPr>
        <w:spacing w:after="0" w:line="240" w:lineRule="auto"/>
        <w:rPr>
          <w:rFonts w:ascii="Times New Roman" w:hAnsi="Times New Roman" w:cs="Times New Roman"/>
          <w:color w:val="333333"/>
          <w:sz w:val="24"/>
          <w:szCs w:val="24"/>
        </w:rPr>
      </w:pPr>
      <w:r w:rsidRPr="003A3045">
        <w:rPr>
          <w:rFonts w:ascii="Times New Roman" w:hAnsi="Times New Roman" w:cs="Times New Roman"/>
          <w:color w:val="333333"/>
          <w:sz w:val="24"/>
          <w:szCs w:val="24"/>
        </w:rPr>
        <w:t xml:space="preserve">23] Yang, Charles &amp; Brockett, Patrick &amp; Wen, Min-Ming. (2009). Basis risk and hedging efficiency of weather derivatives. Journal of Risk Finance, The. 10. 517-536. 10.1108/15265940911001411. </w:t>
      </w:r>
    </w:p>
    <w:p w14:paraId="5931BB56" w14:textId="77777777" w:rsidR="006A150E" w:rsidRPr="003A3045" w:rsidRDefault="006A150E">
      <w:pPr>
        <w:spacing w:after="0" w:line="240" w:lineRule="auto"/>
        <w:rPr>
          <w:rFonts w:ascii="Times New Roman" w:hAnsi="Times New Roman" w:cs="Times New Roman"/>
          <w:sz w:val="24"/>
          <w:szCs w:val="24"/>
        </w:rPr>
      </w:pPr>
    </w:p>
    <w:p w14:paraId="63ECA99B"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24] Cheng-Ta Chu, Adam D. Hawkes, Optimal mix of climate-related energy in global electricity systems, Renewable Energy, Volume 160, 2020, Pages 955-963, ISSN 0960-1481, https://doi.org/10.1016/j.renene.2020.06.104.</w:t>
      </w:r>
    </w:p>
    <w:p w14:paraId="09339792" w14:textId="77777777" w:rsidR="006A150E" w:rsidRPr="003A3045" w:rsidRDefault="006A150E">
      <w:pPr>
        <w:spacing w:after="0" w:line="240" w:lineRule="auto"/>
        <w:rPr>
          <w:rFonts w:ascii="Times New Roman" w:hAnsi="Times New Roman" w:cs="Times New Roman"/>
          <w:sz w:val="24"/>
          <w:szCs w:val="24"/>
        </w:rPr>
      </w:pPr>
    </w:p>
    <w:p w14:paraId="1B4A83F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25] Platypus NSGA-II Model. Genetic Multi-Objective Optimization Algorithm. Retrieved from: https://platypus.readthedocs.io/en/latest/getting-started.html.</w:t>
      </w:r>
    </w:p>
    <w:p w14:paraId="14B5A952" w14:textId="77777777" w:rsidR="006A150E" w:rsidRPr="003A3045" w:rsidRDefault="006A150E">
      <w:pPr>
        <w:spacing w:after="0" w:line="240" w:lineRule="auto"/>
        <w:rPr>
          <w:rFonts w:ascii="Times New Roman" w:hAnsi="Times New Roman" w:cs="Times New Roman"/>
          <w:sz w:val="24"/>
          <w:szCs w:val="24"/>
        </w:rPr>
      </w:pPr>
    </w:p>
    <w:p w14:paraId="182D7BAB" w14:textId="77777777" w:rsidR="006A150E" w:rsidRPr="003A3045" w:rsidRDefault="006A150E">
      <w:pPr>
        <w:spacing w:after="0" w:line="240" w:lineRule="auto"/>
        <w:rPr>
          <w:rFonts w:ascii="Times New Roman" w:hAnsi="Times New Roman" w:cs="Times New Roman"/>
          <w:color w:val="6FA8DC"/>
          <w:sz w:val="24"/>
          <w:szCs w:val="24"/>
        </w:rPr>
      </w:pPr>
    </w:p>
    <w:p w14:paraId="23EE1089" w14:textId="77777777" w:rsidR="006A150E" w:rsidRPr="003A3045" w:rsidRDefault="006A150E">
      <w:pPr>
        <w:spacing w:after="0" w:line="240" w:lineRule="auto"/>
        <w:rPr>
          <w:rFonts w:ascii="Times New Roman" w:hAnsi="Times New Roman" w:cs="Times New Roman"/>
          <w:color w:val="6FA8DC"/>
          <w:sz w:val="24"/>
          <w:szCs w:val="24"/>
        </w:rPr>
      </w:pPr>
    </w:p>
    <w:p w14:paraId="7EFD2132" w14:textId="77777777" w:rsidR="006A150E" w:rsidRPr="003A3045" w:rsidRDefault="006A150E">
      <w:pPr>
        <w:spacing w:after="0" w:line="240" w:lineRule="auto"/>
        <w:rPr>
          <w:rFonts w:ascii="Times New Roman" w:hAnsi="Times New Roman" w:cs="Times New Roman"/>
          <w:color w:val="6FA8DC"/>
          <w:sz w:val="24"/>
          <w:szCs w:val="24"/>
        </w:rPr>
      </w:pPr>
    </w:p>
    <w:p w14:paraId="4FEF7BAA" w14:textId="5A21612F" w:rsidR="006A150E" w:rsidRDefault="006A150E">
      <w:pPr>
        <w:spacing w:after="0" w:line="240" w:lineRule="auto"/>
        <w:rPr>
          <w:rFonts w:ascii="Times New Roman" w:hAnsi="Times New Roman" w:cs="Times New Roman"/>
          <w:color w:val="6FA8DC"/>
          <w:sz w:val="24"/>
          <w:szCs w:val="24"/>
        </w:rPr>
      </w:pPr>
    </w:p>
    <w:p w14:paraId="4D9A2728" w14:textId="710A0890" w:rsidR="003B170F" w:rsidRDefault="003B170F">
      <w:pPr>
        <w:spacing w:after="0" w:line="240" w:lineRule="auto"/>
        <w:rPr>
          <w:rFonts w:ascii="Times New Roman" w:hAnsi="Times New Roman" w:cs="Times New Roman"/>
          <w:color w:val="6FA8DC"/>
          <w:sz w:val="24"/>
          <w:szCs w:val="24"/>
        </w:rPr>
      </w:pPr>
    </w:p>
    <w:p w14:paraId="28F77E17" w14:textId="39AD02E9" w:rsidR="003B170F" w:rsidRDefault="003B170F">
      <w:pPr>
        <w:spacing w:after="0" w:line="240" w:lineRule="auto"/>
        <w:rPr>
          <w:rFonts w:ascii="Times New Roman" w:hAnsi="Times New Roman" w:cs="Times New Roman"/>
          <w:color w:val="6FA8DC"/>
          <w:sz w:val="24"/>
          <w:szCs w:val="24"/>
        </w:rPr>
      </w:pPr>
    </w:p>
    <w:p w14:paraId="3D557438" w14:textId="12585E71" w:rsidR="003B170F" w:rsidRDefault="003B170F">
      <w:pPr>
        <w:spacing w:after="0" w:line="240" w:lineRule="auto"/>
        <w:rPr>
          <w:rFonts w:ascii="Times New Roman" w:hAnsi="Times New Roman" w:cs="Times New Roman"/>
          <w:color w:val="6FA8DC"/>
          <w:sz w:val="24"/>
          <w:szCs w:val="24"/>
        </w:rPr>
      </w:pPr>
    </w:p>
    <w:p w14:paraId="632BBD36" w14:textId="2006A83F" w:rsidR="003B170F" w:rsidRDefault="003B170F">
      <w:pPr>
        <w:spacing w:after="0" w:line="240" w:lineRule="auto"/>
        <w:rPr>
          <w:rFonts w:ascii="Times New Roman" w:hAnsi="Times New Roman" w:cs="Times New Roman"/>
          <w:color w:val="6FA8DC"/>
          <w:sz w:val="24"/>
          <w:szCs w:val="24"/>
        </w:rPr>
      </w:pPr>
    </w:p>
    <w:p w14:paraId="3A713461" w14:textId="23F34F9F" w:rsidR="003B170F" w:rsidRDefault="003B170F">
      <w:pPr>
        <w:spacing w:after="0" w:line="240" w:lineRule="auto"/>
        <w:rPr>
          <w:rFonts w:ascii="Times New Roman" w:hAnsi="Times New Roman" w:cs="Times New Roman"/>
          <w:color w:val="6FA8DC"/>
          <w:sz w:val="24"/>
          <w:szCs w:val="24"/>
        </w:rPr>
      </w:pPr>
    </w:p>
    <w:p w14:paraId="48424D32" w14:textId="3298471D" w:rsidR="003B170F" w:rsidRDefault="003B170F">
      <w:pPr>
        <w:spacing w:after="0" w:line="240" w:lineRule="auto"/>
        <w:rPr>
          <w:rFonts w:ascii="Times New Roman" w:hAnsi="Times New Roman" w:cs="Times New Roman"/>
          <w:color w:val="6FA8DC"/>
          <w:sz w:val="24"/>
          <w:szCs w:val="24"/>
        </w:rPr>
      </w:pPr>
    </w:p>
    <w:p w14:paraId="16ECF61C" w14:textId="1BAA4A18" w:rsidR="003B170F" w:rsidRDefault="003B170F">
      <w:pPr>
        <w:spacing w:after="0" w:line="240" w:lineRule="auto"/>
        <w:rPr>
          <w:rFonts w:ascii="Times New Roman" w:hAnsi="Times New Roman" w:cs="Times New Roman"/>
          <w:color w:val="6FA8DC"/>
          <w:sz w:val="24"/>
          <w:szCs w:val="24"/>
        </w:rPr>
      </w:pPr>
    </w:p>
    <w:p w14:paraId="6EE93DDA" w14:textId="04F6CAD0" w:rsidR="003B170F" w:rsidRDefault="003B170F">
      <w:pPr>
        <w:spacing w:after="0" w:line="240" w:lineRule="auto"/>
        <w:rPr>
          <w:rFonts w:ascii="Times New Roman" w:hAnsi="Times New Roman" w:cs="Times New Roman"/>
          <w:color w:val="6FA8DC"/>
          <w:sz w:val="24"/>
          <w:szCs w:val="24"/>
        </w:rPr>
      </w:pPr>
    </w:p>
    <w:p w14:paraId="0ACF2F5C" w14:textId="49588CD3" w:rsidR="003B170F" w:rsidRDefault="003B170F">
      <w:pPr>
        <w:spacing w:after="0" w:line="240" w:lineRule="auto"/>
        <w:rPr>
          <w:rFonts w:ascii="Times New Roman" w:hAnsi="Times New Roman" w:cs="Times New Roman"/>
          <w:color w:val="6FA8DC"/>
          <w:sz w:val="24"/>
          <w:szCs w:val="24"/>
        </w:rPr>
      </w:pPr>
    </w:p>
    <w:p w14:paraId="651F6187" w14:textId="7FED60F0" w:rsidR="003B170F" w:rsidRDefault="003B170F">
      <w:pPr>
        <w:spacing w:after="0" w:line="240" w:lineRule="auto"/>
        <w:rPr>
          <w:rFonts w:ascii="Times New Roman" w:hAnsi="Times New Roman" w:cs="Times New Roman"/>
          <w:color w:val="6FA8DC"/>
          <w:sz w:val="24"/>
          <w:szCs w:val="24"/>
        </w:rPr>
      </w:pPr>
    </w:p>
    <w:p w14:paraId="50ACE2C7" w14:textId="1384D56C" w:rsidR="003B170F" w:rsidRDefault="003B170F">
      <w:pPr>
        <w:spacing w:after="0" w:line="240" w:lineRule="auto"/>
        <w:rPr>
          <w:rFonts w:ascii="Times New Roman" w:hAnsi="Times New Roman" w:cs="Times New Roman"/>
          <w:color w:val="6FA8DC"/>
          <w:sz w:val="24"/>
          <w:szCs w:val="24"/>
        </w:rPr>
      </w:pPr>
    </w:p>
    <w:p w14:paraId="69FC3DA4" w14:textId="0CD59945" w:rsidR="003B170F" w:rsidRDefault="003B170F">
      <w:pPr>
        <w:spacing w:after="0" w:line="240" w:lineRule="auto"/>
        <w:rPr>
          <w:rFonts w:ascii="Times New Roman" w:hAnsi="Times New Roman" w:cs="Times New Roman"/>
          <w:color w:val="6FA8DC"/>
          <w:sz w:val="24"/>
          <w:szCs w:val="24"/>
        </w:rPr>
      </w:pPr>
    </w:p>
    <w:p w14:paraId="796593A0" w14:textId="48DD5DBB" w:rsidR="003B170F" w:rsidRDefault="003B170F">
      <w:pPr>
        <w:spacing w:after="0" w:line="240" w:lineRule="auto"/>
        <w:rPr>
          <w:rFonts w:ascii="Times New Roman" w:hAnsi="Times New Roman" w:cs="Times New Roman"/>
          <w:color w:val="6FA8DC"/>
          <w:sz w:val="24"/>
          <w:szCs w:val="24"/>
        </w:rPr>
      </w:pPr>
    </w:p>
    <w:p w14:paraId="6F61AB78" w14:textId="10FC00F3" w:rsidR="003B170F" w:rsidRDefault="003B170F">
      <w:pPr>
        <w:spacing w:after="0" w:line="240" w:lineRule="auto"/>
        <w:rPr>
          <w:rFonts w:ascii="Times New Roman" w:hAnsi="Times New Roman" w:cs="Times New Roman"/>
          <w:color w:val="6FA8DC"/>
          <w:sz w:val="24"/>
          <w:szCs w:val="24"/>
        </w:rPr>
      </w:pPr>
    </w:p>
    <w:p w14:paraId="2EBD228D" w14:textId="28E33E83" w:rsidR="003B170F" w:rsidRDefault="003B170F">
      <w:pPr>
        <w:spacing w:after="0" w:line="240" w:lineRule="auto"/>
        <w:rPr>
          <w:rFonts w:ascii="Times New Roman" w:hAnsi="Times New Roman" w:cs="Times New Roman"/>
          <w:color w:val="6FA8DC"/>
          <w:sz w:val="24"/>
          <w:szCs w:val="24"/>
        </w:rPr>
      </w:pPr>
    </w:p>
    <w:p w14:paraId="30E1DF6A" w14:textId="6444A558" w:rsidR="003B170F" w:rsidRDefault="003B170F">
      <w:pPr>
        <w:spacing w:after="0" w:line="240" w:lineRule="auto"/>
        <w:rPr>
          <w:rFonts w:ascii="Times New Roman" w:hAnsi="Times New Roman" w:cs="Times New Roman"/>
          <w:color w:val="6FA8DC"/>
          <w:sz w:val="24"/>
          <w:szCs w:val="24"/>
        </w:rPr>
      </w:pPr>
    </w:p>
    <w:p w14:paraId="388817E1" w14:textId="5808F6B1" w:rsidR="003B170F" w:rsidRDefault="003B170F">
      <w:pPr>
        <w:spacing w:after="0" w:line="240" w:lineRule="auto"/>
        <w:rPr>
          <w:rFonts w:ascii="Times New Roman" w:hAnsi="Times New Roman" w:cs="Times New Roman"/>
          <w:color w:val="6FA8DC"/>
          <w:sz w:val="24"/>
          <w:szCs w:val="24"/>
        </w:rPr>
      </w:pPr>
    </w:p>
    <w:p w14:paraId="6AECC9FA" w14:textId="190D6852" w:rsidR="003B170F" w:rsidRDefault="003B170F">
      <w:pPr>
        <w:spacing w:after="0" w:line="240" w:lineRule="auto"/>
        <w:rPr>
          <w:rFonts w:ascii="Times New Roman" w:hAnsi="Times New Roman" w:cs="Times New Roman"/>
          <w:color w:val="6FA8DC"/>
          <w:sz w:val="24"/>
          <w:szCs w:val="24"/>
        </w:rPr>
      </w:pPr>
    </w:p>
    <w:p w14:paraId="3267C5DE" w14:textId="521E9257" w:rsidR="003B170F" w:rsidRDefault="003B170F">
      <w:pPr>
        <w:spacing w:after="0" w:line="240" w:lineRule="auto"/>
        <w:rPr>
          <w:rFonts w:ascii="Times New Roman" w:hAnsi="Times New Roman" w:cs="Times New Roman"/>
          <w:color w:val="6FA8DC"/>
          <w:sz w:val="24"/>
          <w:szCs w:val="24"/>
        </w:rPr>
      </w:pPr>
    </w:p>
    <w:p w14:paraId="79E0F263" w14:textId="45BFB78D" w:rsidR="003B170F" w:rsidRDefault="003B170F">
      <w:pPr>
        <w:spacing w:after="0" w:line="240" w:lineRule="auto"/>
        <w:rPr>
          <w:rFonts w:ascii="Times New Roman" w:hAnsi="Times New Roman" w:cs="Times New Roman"/>
          <w:color w:val="6FA8DC"/>
          <w:sz w:val="24"/>
          <w:szCs w:val="24"/>
        </w:rPr>
      </w:pPr>
    </w:p>
    <w:p w14:paraId="66F1722A" w14:textId="77777777" w:rsidR="003B170F" w:rsidRPr="003A3045" w:rsidRDefault="003B170F">
      <w:pPr>
        <w:spacing w:after="0" w:line="240" w:lineRule="auto"/>
        <w:rPr>
          <w:rFonts w:ascii="Times New Roman" w:hAnsi="Times New Roman" w:cs="Times New Roman"/>
          <w:color w:val="6FA8DC"/>
          <w:sz w:val="24"/>
          <w:szCs w:val="24"/>
        </w:rPr>
      </w:pPr>
    </w:p>
    <w:p w14:paraId="31681661" w14:textId="77777777" w:rsidR="006A150E" w:rsidRPr="003A3045" w:rsidRDefault="006A150E">
      <w:pPr>
        <w:spacing w:after="0" w:line="240" w:lineRule="auto"/>
        <w:rPr>
          <w:rFonts w:ascii="Times New Roman" w:hAnsi="Times New Roman" w:cs="Times New Roman"/>
          <w:color w:val="6FA8DC"/>
          <w:sz w:val="24"/>
          <w:szCs w:val="24"/>
        </w:rPr>
      </w:pPr>
    </w:p>
    <w:p w14:paraId="737E3878" w14:textId="77777777" w:rsidR="006A150E" w:rsidRPr="00F04775" w:rsidRDefault="001031F3">
      <w:pPr>
        <w:spacing w:after="0" w:line="240" w:lineRule="auto"/>
        <w:rPr>
          <w:rFonts w:ascii="Times New Roman" w:hAnsi="Times New Roman" w:cs="Times New Roman"/>
          <w:color w:val="0070C0"/>
          <w:sz w:val="32"/>
          <w:szCs w:val="24"/>
        </w:rPr>
      </w:pPr>
      <w:r w:rsidRPr="00F04775">
        <w:rPr>
          <w:rFonts w:ascii="Times New Roman" w:hAnsi="Times New Roman" w:cs="Times New Roman"/>
          <w:color w:val="0070C0"/>
          <w:sz w:val="32"/>
          <w:szCs w:val="24"/>
        </w:rPr>
        <w:lastRenderedPageBreak/>
        <w:t>Appendix</w:t>
      </w:r>
    </w:p>
    <w:p w14:paraId="4C4955D2" w14:textId="5D8F179F" w:rsidR="006A150E" w:rsidRDefault="006A150E">
      <w:pPr>
        <w:spacing w:after="0" w:line="240" w:lineRule="auto"/>
        <w:rPr>
          <w:rFonts w:ascii="Times New Roman" w:hAnsi="Times New Roman" w:cs="Times New Roman"/>
          <w:sz w:val="24"/>
          <w:szCs w:val="24"/>
        </w:rPr>
      </w:pPr>
    </w:p>
    <w:p w14:paraId="558A1543" w14:textId="2D5E97C3" w:rsidR="00786A4D" w:rsidRDefault="00786A4D">
      <w:pPr>
        <w:spacing w:after="0" w:line="240" w:lineRule="auto"/>
        <w:rPr>
          <w:rFonts w:ascii="Times New Roman" w:hAnsi="Times New Roman" w:cs="Times New Roman"/>
          <w:sz w:val="24"/>
          <w:szCs w:val="24"/>
        </w:rPr>
      </w:pPr>
    </w:p>
    <w:p w14:paraId="20F0E750" w14:textId="77777777" w:rsidR="00786A4D" w:rsidRPr="003A3045" w:rsidRDefault="00786A4D">
      <w:pPr>
        <w:spacing w:after="0" w:line="240" w:lineRule="auto"/>
        <w:rPr>
          <w:rFonts w:ascii="Times New Roman" w:hAnsi="Times New Roman" w:cs="Times New Roman"/>
          <w:sz w:val="24"/>
          <w:szCs w:val="24"/>
        </w:rPr>
      </w:pPr>
    </w:p>
    <w:p w14:paraId="346E2771" w14:textId="57B59C35" w:rsidR="006A150E" w:rsidRPr="003A3045" w:rsidRDefault="006A150E">
      <w:pPr>
        <w:spacing w:after="0" w:line="240" w:lineRule="auto"/>
        <w:rPr>
          <w:rFonts w:ascii="Times New Roman" w:hAnsi="Times New Roman" w:cs="Times New Roman"/>
          <w:sz w:val="24"/>
          <w:szCs w:val="24"/>
        </w:rPr>
      </w:pPr>
    </w:p>
    <w:p w14:paraId="00EBDED7" w14:textId="6D368D1F" w:rsidR="006A150E" w:rsidRPr="003A3045" w:rsidRDefault="006A150E">
      <w:pPr>
        <w:spacing w:after="0" w:line="240" w:lineRule="auto"/>
        <w:rPr>
          <w:rFonts w:ascii="Times New Roman" w:hAnsi="Times New Roman" w:cs="Times New Roman"/>
          <w:sz w:val="24"/>
          <w:szCs w:val="24"/>
        </w:rPr>
      </w:pPr>
    </w:p>
    <w:p w14:paraId="73D087D6" w14:textId="77777777" w:rsidR="006A150E" w:rsidRPr="003A3045" w:rsidRDefault="006A150E">
      <w:pPr>
        <w:spacing w:after="0" w:line="240" w:lineRule="auto"/>
        <w:rPr>
          <w:rFonts w:ascii="Times New Roman" w:hAnsi="Times New Roman" w:cs="Times New Roman"/>
          <w:sz w:val="24"/>
          <w:szCs w:val="24"/>
        </w:rPr>
      </w:pPr>
    </w:p>
    <w:p w14:paraId="21F8239E" w14:textId="0B9EFB17" w:rsidR="006A150E" w:rsidRPr="003A3045" w:rsidRDefault="003B170F">
      <w:pPr>
        <w:spacing w:after="0" w:line="240" w:lineRule="auto"/>
        <w:rPr>
          <w:rFonts w:ascii="Times New Roman" w:hAnsi="Times New Roman" w:cs="Times New Roman"/>
          <w:sz w:val="24"/>
          <w:szCs w:val="24"/>
        </w:rPr>
      </w:pPr>
      <w:r>
        <w:rPr>
          <w:rFonts w:ascii="Times New Roman" w:hAnsi="Times New Roman" w:cs="Times New Roman"/>
          <w:b/>
          <w:sz w:val="24"/>
          <w:szCs w:val="24"/>
        </w:rPr>
        <w:t>Figure A1</w:t>
      </w:r>
      <w:r w:rsidR="001031F3" w:rsidRPr="003A3045">
        <w:rPr>
          <w:rFonts w:ascii="Times New Roman" w:hAnsi="Times New Roman" w:cs="Times New Roman"/>
          <w:b/>
          <w:sz w:val="24"/>
          <w:szCs w:val="24"/>
        </w:rPr>
        <w:t xml:space="preserve">: </w:t>
      </w:r>
      <w:r w:rsidR="001031F3" w:rsidRPr="003A3045">
        <w:rPr>
          <w:rFonts w:ascii="Times New Roman" w:hAnsi="Times New Roman" w:cs="Times New Roman"/>
          <w:sz w:val="24"/>
          <w:szCs w:val="24"/>
        </w:rPr>
        <w:t>Monthly revenues for the wind</w:t>
      </w:r>
      <w:r>
        <w:rPr>
          <w:rFonts w:ascii="Times New Roman" w:hAnsi="Times New Roman" w:cs="Times New Roman"/>
          <w:sz w:val="24"/>
          <w:szCs w:val="24"/>
        </w:rPr>
        <w:t xml:space="preserve"> power producer und</w:t>
      </w:r>
      <w:bookmarkStart w:id="22" w:name="_GoBack"/>
      <w:bookmarkEnd w:id="22"/>
      <w:r>
        <w:rPr>
          <w:rFonts w:ascii="Times New Roman" w:hAnsi="Times New Roman" w:cs="Times New Roman"/>
          <w:sz w:val="24"/>
          <w:szCs w:val="24"/>
        </w:rPr>
        <w:t>er</w:t>
      </w:r>
      <w:r w:rsidR="001031F3" w:rsidRPr="003A3045">
        <w:rPr>
          <w:rFonts w:ascii="Times New Roman" w:hAnsi="Times New Roman" w:cs="Times New Roman"/>
          <w:sz w:val="24"/>
          <w:szCs w:val="24"/>
        </w:rPr>
        <w:t xml:space="preserve"> observed basis risk</w:t>
      </w:r>
      <w:r>
        <w:rPr>
          <w:rFonts w:ascii="Times New Roman" w:hAnsi="Times New Roman" w:cs="Times New Roman"/>
          <w:sz w:val="24"/>
          <w:szCs w:val="24"/>
        </w:rPr>
        <w:t>.</w:t>
      </w:r>
    </w:p>
    <w:p w14:paraId="477B219D" w14:textId="11A46586" w:rsidR="006A150E" w:rsidRDefault="006A150E">
      <w:pPr>
        <w:spacing w:after="0" w:line="240" w:lineRule="auto"/>
        <w:rPr>
          <w:rFonts w:ascii="Times New Roman" w:hAnsi="Times New Roman" w:cs="Times New Roman"/>
          <w:sz w:val="24"/>
          <w:szCs w:val="24"/>
        </w:rPr>
      </w:pPr>
    </w:p>
    <w:p w14:paraId="6AD78E82" w14:textId="6A830058" w:rsidR="0009719C" w:rsidRDefault="0009719C">
      <w:pPr>
        <w:spacing w:after="0" w:line="240" w:lineRule="auto"/>
        <w:rPr>
          <w:rFonts w:ascii="Times New Roman" w:hAnsi="Times New Roman" w:cs="Times New Roman"/>
          <w:sz w:val="24"/>
          <w:szCs w:val="24"/>
        </w:rPr>
      </w:pPr>
    </w:p>
    <w:p w14:paraId="3EB11832" w14:textId="2AFA030B" w:rsidR="0009719C" w:rsidRDefault="0009719C">
      <w:pPr>
        <w:spacing w:after="0" w:line="240" w:lineRule="auto"/>
        <w:rPr>
          <w:rFonts w:ascii="Times New Roman" w:hAnsi="Times New Roman" w:cs="Times New Roman"/>
          <w:sz w:val="24"/>
          <w:szCs w:val="24"/>
        </w:rPr>
      </w:pPr>
    </w:p>
    <w:p w14:paraId="54537E68" w14:textId="5260883C" w:rsidR="0009719C" w:rsidRDefault="0009719C">
      <w:pPr>
        <w:spacing w:after="0" w:line="240" w:lineRule="auto"/>
        <w:rPr>
          <w:rFonts w:ascii="Times New Roman" w:hAnsi="Times New Roman" w:cs="Times New Roman"/>
          <w:sz w:val="24"/>
          <w:szCs w:val="24"/>
        </w:rPr>
      </w:pPr>
    </w:p>
    <w:p w14:paraId="5C573D63" w14:textId="02006BB4" w:rsidR="0009719C" w:rsidRDefault="0009719C">
      <w:pPr>
        <w:spacing w:after="0" w:line="240" w:lineRule="auto"/>
        <w:rPr>
          <w:rFonts w:ascii="Times New Roman" w:hAnsi="Times New Roman" w:cs="Times New Roman"/>
          <w:sz w:val="24"/>
          <w:szCs w:val="24"/>
        </w:rPr>
      </w:pPr>
    </w:p>
    <w:p w14:paraId="65309ADA" w14:textId="14B17B76" w:rsidR="0009719C" w:rsidRDefault="0009719C">
      <w:pPr>
        <w:spacing w:after="0" w:line="240" w:lineRule="auto"/>
        <w:rPr>
          <w:rFonts w:ascii="Times New Roman" w:hAnsi="Times New Roman" w:cs="Times New Roman"/>
          <w:sz w:val="24"/>
          <w:szCs w:val="24"/>
        </w:rPr>
      </w:pPr>
    </w:p>
    <w:p w14:paraId="77DA1550" w14:textId="047087CA" w:rsidR="0009719C" w:rsidRDefault="0009719C">
      <w:pPr>
        <w:spacing w:after="0" w:line="240" w:lineRule="auto"/>
        <w:rPr>
          <w:rFonts w:ascii="Times New Roman" w:hAnsi="Times New Roman" w:cs="Times New Roman"/>
          <w:sz w:val="24"/>
          <w:szCs w:val="24"/>
        </w:rPr>
      </w:pPr>
    </w:p>
    <w:p w14:paraId="6C160F3F" w14:textId="2553CCF0" w:rsidR="0009719C" w:rsidRDefault="0009719C">
      <w:pPr>
        <w:spacing w:after="0" w:line="240" w:lineRule="auto"/>
        <w:rPr>
          <w:rFonts w:ascii="Times New Roman" w:hAnsi="Times New Roman" w:cs="Times New Roman"/>
          <w:sz w:val="24"/>
          <w:szCs w:val="24"/>
        </w:rPr>
      </w:pPr>
    </w:p>
    <w:p w14:paraId="1AE9E024" w14:textId="19488D76" w:rsidR="0009719C" w:rsidRDefault="0009719C">
      <w:pPr>
        <w:spacing w:after="0" w:line="240" w:lineRule="auto"/>
        <w:rPr>
          <w:rFonts w:ascii="Times New Roman" w:hAnsi="Times New Roman" w:cs="Times New Roman"/>
          <w:sz w:val="24"/>
          <w:szCs w:val="24"/>
        </w:rPr>
      </w:pPr>
    </w:p>
    <w:p w14:paraId="0F67AD2E" w14:textId="77777777" w:rsidR="0009719C" w:rsidRDefault="0009719C">
      <w:pPr>
        <w:spacing w:after="0" w:line="240" w:lineRule="auto"/>
        <w:rPr>
          <w:rFonts w:ascii="Times New Roman" w:hAnsi="Times New Roman" w:cs="Times New Roman"/>
          <w:sz w:val="24"/>
          <w:szCs w:val="24"/>
        </w:rPr>
      </w:pPr>
    </w:p>
    <w:p w14:paraId="0BD1208B" w14:textId="3B0C1B10" w:rsidR="0009719C" w:rsidRDefault="0009719C">
      <w:pPr>
        <w:spacing w:after="0" w:line="240" w:lineRule="auto"/>
        <w:rPr>
          <w:rFonts w:ascii="Times New Roman" w:hAnsi="Times New Roman" w:cs="Times New Roman"/>
          <w:sz w:val="24"/>
          <w:szCs w:val="24"/>
        </w:rPr>
      </w:pPr>
      <w:r w:rsidRPr="003A3045">
        <w:rPr>
          <w:rFonts w:ascii="Times New Roman" w:hAnsi="Times New Roman" w:cs="Times New Roman"/>
          <w:b/>
          <w:noProof/>
          <w:sz w:val="24"/>
          <w:szCs w:val="24"/>
        </w:rPr>
        <w:drawing>
          <wp:inline distT="114300" distB="114300" distL="114300" distR="114300" wp14:anchorId="5A770BA7" wp14:editId="10597169">
            <wp:extent cx="6413500" cy="3282950"/>
            <wp:effectExtent l="0" t="0" r="635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6413500" cy="3282950"/>
                    </a:xfrm>
                    <a:prstGeom prst="rect">
                      <a:avLst/>
                    </a:prstGeom>
                    <a:ln/>
                  </pic:spPr>
                </pic:pic>
              </a:graphicData>
            </a:graphic>
          </wp:inline>
        </w:drawing>
      </w:r>
    </w:p>
    <w:p w14:paraId="7F304B1D" w14:textId="7ABE8DB2" w:rsidR="0009719C" w:rsidRDefault="0009719C">
      <w:pPr>
        <w:spacing w:after="0" w:line="240" w:lineRule="auto"/>
        <w:rPr>
          <w:rFonts w:ascii="Times New Roman" w:hAnsi="Times New Roman" w:cs="Times New Roman"/>
          <w:sz w:val="24"/>
          <w:szCs w:val="24"/>
        </w:rPr>
      </w:pPr>
    </w:p>
    <w:p w14:paraId="7B4ED0BC" w14:textId="19AAABDE" w:rsidR="0009719C" w:rsidRDefault="0009719C">
      <w:pPr>
        <w:spacing w:after="0" w:line="240" w:lineRule="auto"/>
        <w:rPr>
          <w:rFonts w:ascii="Times New Roman" w:hAnsi="Times New Roman" w:cs="Times New Roman"/>
          <w:sz w:val="24"/>
          <w:szCs w:val="24"/>
        </w:rPr>
      </w:pPr>
    </w:p>
    <w:p w14:paraId="439028F5" w14:textId="0C801985" w:rsidR="0009719C" w:rsidRPr="003A3045" w:rsidRDefault="0009719C">
      <w:pPr>
        <w:spacing w:after="0" w:line="240" w:lineRule="auto"/>
        <w:rPr>
          <w:rFonts w:ascii="Times New Roman" w:hAnsi="Times New Roman" w:cs="Times New Roman"/>
          <w:sz w:val="24"/>
          <w:szCs w:val="24"/>
        </w:rPr>
      </w:pPr>
      <w:r w:rsidRPr="00CB060C">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295FC6FA" wp14:editId="1739816A">
            <wp:simplePos x="0" y="0"/>
            <wp:positionH relativeFrom="column">
              <wp:posOffset>812800</wp:posOffset>
            </wp:positionH>
            <wp:positionV relativeFrom="paragraph">
              <wp:posOffset>292100</wp:posOffset>
            </wp:positionV>
            <wp:extent cx="4559300" cy="57461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59300" cy="5746115"/>
                    </a:xfrm>
                    <a:prstGeom prst="rect">
                      <a:avLst/>
                    </a:prstGeom>
                  </pic:spPr>
                </pic:pic>
              </a:graphicData>
            </a:graphic>
            <wp14:sizeRelH relativeFrom="margin">
              <wp14:pctWidth>0</wp14:pctWidth>
            </wp14:sizeRelH>
            <wp14:sizeRelV relativeFrom="margin">
              <wp14:pctHeight>0</wp14:pctHeight>
            </wp14:sizeRelV>
          </wp:anchor>
        </w:drawing>
      </w:r>
    </w:p>
    <w:sectPr w:rsidR="0009719C" w:rsidRPr="003A3045">
      <w:pgSz w:w="12240" w:h="15840"/>
      <w:pgMar w:top="1152" w:right="1152" w:bottom="1152" w:left="1152"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ordan Kern" w:date="2020-11-09T17:00:00Z" w:initials="">
    <w:p w14:paraId="4CB35D2A" w14:textId="77777777" w:rsidR="001E2C5A" w:rsidRDefault="001E2C5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think we should target the journal Renewable Energy. I would go ahead and read through the author guidelines for information about how to structure the article and any specific requirements.</w:t>
      </w:r>
    </w:p>
    <w:p w14:paraId="180A057A" w14:textId="77777777" w:rsidR="001E2C5A" w:rsidRDefault="001E2C5A">
      <w:pPr>
        <w:widowControl w:val="0"/>
        <w:pBdr>
          <w:top w:val="nil"/>
          <w:left w:val="nil"/>
          <w:bottom w:val="nil"/>
          <w:right w:val="nil"/>
          <w:between w:val="nil"/>
        </w:pBdr>
        <w:spacing w:after="0" w:line="240" w:lineRule="auto"/>
        <w:rPr>
          <w:rFonts w:ascii="Arial" w:eastAsia="Arial" w:hAnsi="Arial" w:cs="Arial"/>
          <w:color w:val="000000"/>
        </w:rPr>
      </w:pPr>
    </w:p>
    <w:p w14:paraId="5380DE67" w14:textId="77777777" w:rsidR="001E2C5A" w:rsidRDefault="001E2C5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https://www.elsevier.com/journals/renewable-energy/0960-1481/guide-for-authors</w:t>
      </w:r>
    </w:p>
  </w:comment>
  <w:comment w:id="2" w:author="Jordan Kern" w:date="2021-02-24T02:27:00Z" w:initials="JK">
    <w:p w14:paraId="4C33175D" w14:textId="6438E2B4" w:rsidR="00197C0D" w:rsidRDefault="00197C0D">
      <w:pPr>
        <w:pStyle w:val="CommentText"/>
      </w:pPr>
      <w:r>
        <w:rPr>
          <w:rStyle w:val="CommentReference"/>
        </w:rPr>
        <w:annotationRef/>
      </w:r>
      <w:r>
        <w:t xml:space="preserve">Zach, please take a crack at this. It is good practice. You get 200-250 words to summarize the whole shebang. </w:t>
      </w:r>
    </w:p>
  </w:comment>
  <w:comment w:id="3" w:author="Jordan Kern" w:date="2020-11-09T17:04:00Z" w:initials="">
    <w:p w14:paraId="11E10165" w14:textId="77777777" w:rsidR="001E2C5A" w:rsidRDefault="001E2C5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Probably want several more references throughout. Total for entire paper should be between 30-40.</w:t>
      </w:r>
    </w:p>
  </w:comment>
  <w:comment w:id="4" w:author="Jordan Kern" w:date="2021-02-19T10:03:00Z" w:initials="JK">
    <w:p w14:paraId="7FFF2959" w14:textId="77777777" w:rsidR="001E2C5A" w:rsidRDefault="001E2C5A">
      <w:pPr>
        <w:pStyle w:val="CommentText"/>
      </w:pPr>
      <w:r>
        <w:rPr>
          <w:rStyle w:val="CommentReference"/>
        </w:rPr>
        <w:annotationRef/>
      </w:r>
      <w:r>
        <w:t>Just re-upping this comment. This needs to be done.</w:t>
      </w:r>
    </w:p>
  </w:comment>
  <w:comment w:id="6" w:author="Jordan Kern" w:date="2021-02-20T01:55:00Z" w:initials="JK">
    <w:p w14:paraId="47204CA4" w14:textId="17F2580D" w:rsidR="001E2C5A" w:rsidRDefault="001E2C5A">
      <w:pPr>
        <w:pStyle w:val="CommentText"/>
      </w:pPr>
      <w:r>
        <w:rPr>
          <w:rStyle w:val="CommentReference"/>
        </w:rPr>
        <w:annotationRef/>
      </w:r>
      <w:r>
        <w:t xml:space="preserve">Right here, I think you should have 1-2 sentences describing any previous research that has dealt with fixed volume swaps or financial hedging for wind developers more broadly. </w:t>
      </w:r>
    </w:p>
    <w:p w14:paraId="4728B43A" w14:textId="7F96F62C" w:rsidR="001E2C5A" w:rsidRDefault="001E2C5A">
      <w:pPr>
        <w:pStyle w:val="CommentText"/>
      </w:pPr>
    </w:p>
    <w:p w14:paraId="5D6F05C5" w14:textId="28CC1539" w:rsidR="001E2C5A" w:rsidRDefault="001E2C5A">
      <w:pPr>
        <w:pStyle w:val="CommentText"/>
      </w:pPr>
      <w:r>
        <w:t>We have to make the case briefly that your work is filling a “gap in knowledge” that the existing literature is not addressing.</w:t>
      </w:r>
    </w:p>
  </w:comment>
  <w:comment w:id="8" w:author="Jordan Kern" w:date="2021-02-19T10:39:00Z" w:initials="JK">
    <w:p w14:paraId="4F3686E4" w14:textId="593EAA34" w:rsidR="001E2C5A" w:rsidRDefault="001E2C5A">
      <w:pPr>
        <w:pStyle w:val="CommentText"/>
      </w:pPr>
      <w:r>
        <w:rPr>
          <w:rStyle w:val="CommentReference"/>
        </w:rPr>
        <w:annotationRef/>
      </w:r>
      <w:r>
        <w:t>Should this be 6?</w:t>
      </w:r>
    </w:p>
  </w:comment>
  <w:comment w:id="9" w:author="Jordan Kern" w:date="2021-02-20T00:06:00Z" w:initials="JK">
    <w:p w14:paraId="46C856D8" w14:textId="55348740" w:rsidR="001E2C5A" w:rsidRDefault="001E2C5A">
      <w:pPr>
        <w:pStyle w:val="CommentText"/>
      </w:pPr>
      <w:r>
        <w:rPr>
          <w:rStyle w:val="CommentReference"/>
        </w:rPr>
        <w:annotationRef/>
      </w:r>
      <w:r>
        <w:t xml:space="preserve">I like where you’re going with this, but probably not the right place for it. </w:t>
      </w:r>
    </w:p>
    <w:p w14:paraId="5B357798" w14:textId="2D39D7CA" w:rsidR="001E2C5A" w:rsidRDefault="001E2C5A">
      <w:pPr>
        <w:pStyle w:val="CommentText"/>
      </w:pPr>
    </w:p>
    <w:p w14:paraId="1F18247F" w14:textId="06536F21" w:rsidR="001E2C5A" w:rsidRDefault="001E2C5A">
      <w:pPr>
        <w:pStyle w:val="CommentText"/>
      </w:pPr>
      <w:r>
        <w:t>Discussion and/or conclusions?</w:t>
      </w:r>
    </w:p>
    <w:p w14:paraId="49DAF3BE" w14:textId="6FC5A70C" w:rsidR="001E2C5A" w:rsidRDefault="001E2C5A">
      <w:pPr>
        <w:pStyle w:val="CommentText"/>
      </w:pPr>
    </w:p>
    <w:p w14:paraId="0CA66E33" w14:textId="67DE514C" w:rsidR="001E2C5A" w:rsidRPr="00170933" w:rsidRDefault="001E2C5A">
      <w:pPr>
        <w:pStyle w:val="CommentText"/>
        <w:rPr>
          <w:i/>
        </w:rPr>
      </w:pPr>
      <w:r w:rsidRPr="00170933">
        <w:rPr>
          <w:rFonts w:ascii="Times New Roman" w:hAnsi="Times New Roman" w:cs="Times New Roman"/>
          <w:i/>
          <w:sz w:val="24"/>
          <w:szCs w:val="24"/>
        </w:rPr>
        <w:t>While this is a monthly time step, covariance risk is generally thought of as occurring on daily or hourly time steps. Wind farms must sell electricity during the time of day when lots of other wind farms are also generating, this depressing prices. This trend is seen with concentrated penetration of solar in California as well. If covariance risk is sustained over long periods of time, then it becomes exceedingly difficult for wind projects to secure revenues on the wholesale market. Should this happen at scale, projects that are built today may wind up becoming insolvent towards the middle or end of the project’s life, leaving the future of renewables in the U.S. in jeopardy.</w:t>
      </w:r>
    </w:p>
  </w:comment>
  <w:comment w:id="10" w:author="Jordan Kern" w:date="2021-02-20T00:23:00Z" w:initials="JK">
    <w:p w14:paraId="66CBB3E4" w14:textId="77777777" w:rsidR="001E2C5A" w:rsidRDefault="001E2C5A" w:rsidP="007743C4">
      <w:pPr>
        <w:spacing w:before="40" w:after="0" w:line="480" w:lineRule="auto"/>
        <w:ind w:firstLine="720"/>
        <w:jc w:val="both"/>
        <w:rPr>
          <w:rFonts w:ascii="Times New Roman" w:hAnsi="Times New Roman" w:cs="Times New Roman"/>
          <w:sz w:val="24"/>
          <w:szCs w:val="24"/>
        </w:rPr>
      </w:pPr>
      <w:r>
        <w:rPr>
          <w:rStyle w:val="CommentReference"/>
        </w:rPr>
        <w:annotationRef/>
      </w:r>
      <w:r>
        <w:rPr>
          <w:rFonts w:ascii="Times New Roman" w:hAnsi="Times New Roman" w:cs="Times New Roman"/>
          <w:sz w:val="24"/>
          <w:szCs w:val="24"/>
        </w:rPr>
        <w:t>Much of this is correct, I think, but in other parts less so. Let’s talk through this, because I think there are interesting points here. In general though, we don’t want to make big sweeping statements without a lot of citations, evidence to back it up; and probably not here at the end of methods. Better to bring some of these issues up in the discussion.</w:t>
      </w:r>
    </w:p>
    <w:p w14:paraId="2FC11D47" w14:textId="77777777" w:rsidR="001E2C5A" w:rsidRDefault="001E2C5A" w:rsidP="007743C4">
      <w:pPr>
        <w:spacing w:before="40" w:after="0" w:line="480" w:lineRule="auto"/>
        <w:ind w:firstLine="720"/>
        <w:jc w:val="both"/>
        <w:rPr>
          <w:rFonts w:ascii="Times New Roman" w:hAnsi="Times New Roman" w:cs="Times New Roman"/>
          <w:sz w:val="24"/>
          <w:szCs w:val="24"/>
        </w:rPr>
      </w:pPr>
    </w:p>
    <w:p w14:paraId="1E8CF267" w14:textId="77777777" w:rsidR="001E2C5A" w:rsidRPr="00170933" w:rsidRDefault="001E2C5A" w:rsidP="007743C4">
      <w:pPr>
        <w:spacing w:before="40" w:after="0" w:line="480" w:lineRule="auto"/>
        <w:ind w:firstLine="720"/>
        <w:jc w:val="both"/>
        <w:rPr>
          <w:rFonts w:ascii="Times New Roman" w:hAnsi="Times New Roman" w:cs="Times New Roman"/>
          <w:i/>
          <w:sz w:val="24"/>
          <w:szCs w:val="24"/>
        </w:rPr>
      </w:pPr>
      <w:r w:rsidRPr="00170933">
        <w:rPr>
          <w:rFonts w:ascii="Times New Roman" w:hAnsi="Times New Roman" w:cs="Times New Roman"/>
          <w:i/>
          <w:sz w:val="24"/>
          <w:szCs w:val="24"/>
        </w:rPr>
        <w:t xml:space="preserve">As wind gains a greater market share in SPP, diurnal and seasonal wind patterns will have a broadening impact on market prices, and consequently wind projects will have to adjust their risk exposure. Diurnal and seasonal periods of increased demand is also likely to affect basis risk. If market-wide demand is low, it becomes more likely that wind power from our site won’t be needed because demand is being met by traditional generators. Our wind then gets stuck at the node, driving prices at our node lower while prices at the hub remain stable. </w:t>
      </w:r>
    </w:p>
    <w:p w14:paraId="203C2972" w14:textId="77777777" w:rsidR="001E2C5A" w:rsidRDefault="001E2C5A" w:rsidP="007743C4">
      <w:pPr>
        <w:pStyle w:val="CommentText"/>
      </w:pPr>
    </w:p>
  </w:comment>
  <w:comment w:id="11" w:author="Jordan Kern" w:date="2021-02-20T02:24:00Z" w:initials="JK">
    <w:p w14:paraId="16BB29D8" w14:textId="6105375E" w:rsidR="001E2C5A" w:rsidRDefault="001E2C5A">
      <w:pPr>
        <w:pStyle w:val="CommentText"/>
      </w:pPr>
      <w:r>
        <w:rPr>
          <w:rStyle w:val="CommentReference"/>
        </w:rPr>
        <w:annotationRef/>
      </w:r>
      <w:r>
        <w:t xml:space="preserve">We skipped a lot of references to get here, I think. </w:t>
      </w:r>
    </w:p>
    <w:p w14:paraId="2029FDCC" w14:textId="05FA3D20" w:rsidR="001E2C5A" w:rsidRDefault="001E2C5A">
      <w:pPr>
        <w:pStyle w:val="CommentText"/>
      </w:pPr>
    </w:p>
    <w:p w14:paraId="6C07A913" w14:textId="0C9A87C9" w:rsidR="001E2C5A" w:rsidRDefault="001E2C5A">
      <w:pPr>
        <w:pStyle w:val="CommentText"/>
      </w:pPr>
      <w:r>
        <w:t xml:space="preserve">Are you using reference software (like </w:t>
      </w:r>
      <w:proofErr w:type="spellStart"/>
      <w:r>
        <w:t>Mendeley</w:t>
      </w:r>
      <w:proofErr w:type="spellEnd"/>
      <w:r>
        <w:t>)?</w:t>
      </w:r>
    </w:p>
  </w:comment>
  <w:comment w:id="13" w:author="Jordan Kern" w:date="2021-02-23T01:07:00Z" w:initials="JK">
    <w:p w14:paraId="2C9A6DDB" w14:textId="77777777" w:rsidR="001E2C5A" w:rsidRDefault="001E2C5A" w:rsidP="00CB3B35">
      <w:pPr>
        <w:pStyle w:val="CommentText"/>
      </w:pPr>
      <w:r>
        <w:rPr>
          <w:rStyle w:val="CommentReference"/>
        </w:rPr>
        <w:annotationRef/>
      </w:r>
      <w:r>
        <w:t>Fill in.</w:t>
      </w:r>
    </w:p>
  </w:comment>
  <w:comment w:id="14" w:author="Jordan Kern" w:date="2021-02-23T17:59:00Z" w:initials="JK">
    <w:p w14:paraId="31DFC5A3" w14:textId="7C5677B4" w:rsidR="001E2C5A" w:rsidRDefault="001E2C5A">
      <w:pPr>
        <w:pStyle w:val="CommentText"/>
      </w:pPr>
      <w:r>
        <w:rPr>
          <w:rStyle w:val="CommentReference"/>
        </w:rPr>
        <w:annotationRef/>
      </w:r>
      <w:r>
        <w:t>Zach, confirm number.</w:t>
      </w:r>
    </w:p>
  </w:comment>
  <w:comment w:id="15" w:author="Jordan Kern" w:date="2021-02-24T01:10:00Z" w:initials="JK">
    <w:p w14:paraId="5DC3E225" w14:textId="52E0D0E5" w:rsidR="00126393" w:rsidRDefault="00126393">
      <w:pPr>
        <w:pStyle w:val="CommentText"/>
      </w:pPr>
      <w:r>
        <w:rPr>
          <w:rStyle w:val="CommentReference"/>
        </w:rPr>
        <w:annotationRef/>
      </w:r>
      <w:r w:rsidR="00D443FC">
        <w:t xml:space="preserve">In preparation for your defense, I would work </w:t>
      </w:r>
      <w:r>
        <w:t xml:space="preserve">on explaining how differences in nodal prices affect the hedging targets, and how that affects floor improvement. </w:t>
      </w:r>
    </w:p>
    <w:p w14:paraId="555410BD" w14:textId="1512FA08" w:rsidR="00126393" w:rsidRDefault="00126393">
      <w:pPr>
        <w:pStyle w:val="CommentText"/>
      </w:pPr>
    </w:p>
    <w:p w14:paraId="7FC70D40" w14:textId="7AE890F5" w:rsidR="00126393" w:rsidRDefault="00126393">
      <w:pPr>
        <w:pStyle w:val="CommentText"/>
      </w:pPr>
      <w:r>
        <w:t>That seems key.</w:t>
      </w:r>
    </w:p>
    <w:p w14:paraId="470DEE1B" w14:textId="7C74593F" w:rsidR="00D443FC" w:rsidRDefault="00D443FC">
      <w:pPr>
        <w:pStyle w:val="CommentText"/>
      </w:pPr>
    </w:p>
    <w:p w14:paraId="1690C51E" w14:textId="66E8B47F" w:rsidR="00D443FC" w:rsidRDefault="00D443FC">
      <w:pPr>
        <w:pStyle w:val="CommentText"/>
      </w:pPr>
      <w:r>
        <w:t xml:space="preserve">The titles seem mislabeled. There are two WFEC_MOORELAND_2s.  </w:t>
      </w:r>
    </w:p>
  </w:comment>
  <w:comment w:id="16" w:author="Jordan Kern" w:date="2021-02-24T02:01:00Z" w:initials="JK">
    <w:p w14:paraId="298B4990" w14:textId="6CD2C7B9" w:rsidR="0009719C" w:rsidRDefault="0009719C">
      <w:pPr>
        <w:pStyle w:val="CommentText"/>
      </w:pPr>
      <w:r>
        <w:rPr>
          <w:rStyle w:val="CommentReference"/>
        </w:rPr>
        <w:annotationRef/>
      </w:r>
      <w:r>
        <w:t>Alternative theories?</w:t>
      </w:r>
    </w:p>
  </w:comment>
  <w:comment w:id="17" w:author="Jordan Kern" w:date="2021-02-24T02:23:00Z" w:initials="JK">
    <w:p w14:paraId="76C6E694" w14:textId="65F418A2" w:rsidR="00BF3074" w:rsidRDefault="00BF3074">
      <w:pPr>
        <w:pStyle w:val="CommentText"/>
      </w:pPr>
      <w:r>
        <w:rPr>
          <w:rStyle w:val="CommentReference"/>
        </w:rPr>
        <w:annotationRef/>
      </w:r>
      <w:r>
        <w:t>Offer some insights here about the role of transmission (reduced basis risk) in improving contract performance?</w:t>
      </w:r>
    </w:p>
    <w:p w14:paraId="6061E56D" w14:textId="26AB79FD" w:rsidR="00BF3074" w:rsidRDefault="00BF3074">
      <w:pPr>
        <w:pStyle w:val="CommentText"/>
      </w:pPr>
    </w:p>
    <w:p w14:paraId="1B73AE43" w14:textId="32BE35C5" w:rsidR="00BF3074" w:rsidRDefault="00BF3074">
      <w:pPr>
        <w:pStyle w:val="CommentText"/>
      </w:pPr>
      <w:r>
        <w:t>You essentially looked at two separate interventions to make the contracts better:</w:t>
      </w:r>
    </w:p>
    <w:p w14:paraId="462187E7" w14:textId="0F6791BF" w:rsidR="00BF3074" w:rsidRDefault="00BF3074">
      <w:pPr>
        <w:pStyle w:val="CommentText"/>
      </w:pPr>
    </w:p>
    <w:p w14:paraId="134F0449" w14:textId="5316A50B" w:rsidR="00BF3074" w:rsidRDefault="00BF3074" w:rsidP="00BF3074">
      <w:pPr>
        <w:pStyle w:val="CommentText"/>
        <w:numPr>
          <w:ilvl w:val="0"/>
          <w:numId w:val="3"/>
        </w:numPr>
      </w:pPr>
      <w:r>
        <w:t>Shape risk (altered hedge targets)</w:t>
      </w:r>
    </w:p>
    <w:p w14:paraId="26C687B1" w14:textId="4BF41F79" w:rsidR="00BF3074" w:rsidRDefault="00BF3074" w:rsidP="00BF3074">
      <w:pPr>
        <w:pStyle w:val="CommentText"/>
        <w:numPr>
          <w:ilvl w:val="0"/>
          <w:numId w:val="3"/>
        </w:numPr>
      </w:pPr>
      <w:r>
        <w:t>Basis risk (better transmission)</w:t>
      </w:r>
    </w:p>
    <w:p w14:paraId="6F682FE2" w14:textId="0B01E385" w:rsidR="00BF3074" w:rsidRDefault="00BF3074" w:rsidP="00BF3074">
      <w:pPr>
        <w:pStyle w:val="CommentText"/>
      </w:pPr>
    </w:p>
    <w:p w14:paraId="628226E0" w14:textId="556F7DAC" w:rsidR="00BF3074" w:rsidRDefault="00BF3074" w:rsidP="00BF3074">
      <w:pPr>
        <w:pStyle w:val="CommentText"/>
      </w:pPr>
      <w:r>
        <w:t xml:space="preserve">Which seems more effective? Which seems more plausible (i.e., within the wind power producers’ control). Does that make one easier to recommend here? </w:t>
      </w:r>
    </w:p>
    <w:p w14:paraId="31351829" w14:textId="5CECAD37" w:rsidR="00BF3074" w:rsidRDefault="00BF3074" w:rsidP="00BF3074">
      <w:pPr>
        <w:pStyle w:val="CommentText"/>
      </w:pPr>
    </w:p>
    <w:p w14:paraId="7EBE0C64" w14:textId="42DDBE76" w:rsidR="00BF3074" w:rsidRDefault="00BF3074" w:rsidP="00BF3074">
      <w:pPr>
        <w:pStyle w:val="CommentText"/>
      </w:pPr>
      <w:r>
        <w:t>Talk about this. You’re the expert. Share some wisdom.</w:t>
      </w:r>
    </w:p>
  </w:comment>
  <w:comment w:id="18" w:author="Jordan Kern" w:date="2021-02-24T02:25:00Z" w:initials="JK">
    <w:p w14:paraId="4FE08843" w14:textId="152A57CA" w:rsidR="00BF3074" w:rsidRDefault="00BF3074">
      <w:pPr>
        <w:pStyle w:val="CommentText"/>
      </w:pPr>
      <w:r>
        <w:rPr>
          <w:rStyle w:val="CommentReference"/>
        </w:rPr>
        <w:annotationRef/>
      </w:r>
      <w:r>
        <w:t xml:space="preserve">This doesn’t need to be a lengthy section, but it needs to be more substantial than this. Start somewhat narrow, like you have already done (a quick overview of the purpose, experimental design, and results), but then get to some larger take </w:t>
      </w:r>
      <w:proofErr w:type="spellStart"/>
      <w:r>
        <w:t>aways</w:t>
      </w:r>
      <w:proofErr w:type="spellEnd"/>
      <w:r>
        <w:t>, ideas for future work, follow-up studies, how this information should be used by real-world practitioners, etc.</w:t>
      </w:r>
    </w:p>
  </w:comment>
  <w:comment w:id="19" w:author="Jordan Kern" w:date="2021-02-24T00:58:00Z" w:initials="JK">
    <w:p w14:paraId="25AB76F1" w14:textId="138AFFF1" w:rsidR="00592799" w:rsidRDefault="00592799">
      <w:pPr>
        <w:pStyle w:val="CommentText"/>
      </w:pPr>
      <w:r>
        <w:rPr>
          <w:rStyle w:val="CommentReference"/>
        </w:rPr>
        <w:annotationRef/>
      </w:r>
      <w:r>
        <w:t>Slightly weird formatting here.</w:t>
      </w:r>
    </w:p>
    <w:p w14:paraId="568977C6" w14:textId="72C4BBBF" w:rsidR="00A725A3" w:rsidRDefault="00A725A3">
      <w:pPr>
        <w:pStyle w:val="CommentText"/>
      </w:pPr>
    </w:p>
    <w:p w14:paraId="28D6CD7A" w14:textId="11ABDA9A" w:rsidR="00A725A3" w:rsidRDefault="00A725A3">
      <w:pPr>
        <w:pStyle w:val="CommentText"/>
      </w:pPr>
      <w:r>
        <w:t xml:space="preserve">I would strongly recommend using reference software. </w:t>
      </w:r>
      <w:proofErr w:type="spellStart"/>
      <w:r>
        <w:t>Mendeley</w:t>
      </w:r>
      <w:proofErr w:type="spellEnd"/>
      <w:r>
        <w:t xml:space="preserve"> is free, and there is a ‘write-and-cite’ plug-in for Microsoft Word.</w:t>
      </w:r>
    </w:p>
    <w:p w14:paraId="08EE0EB4" w14:textId="2FB6D12E" w:rsidR="00A725A3" w:rsidRDefault="00A725A3">
      <w:pPr>
        <w:pStyle w:val="CommentText"/>
      </w:pPr>
    </w:p>
    <w:p w14:paraId="1383979F" w14:textId="25F876D4" w:rsidR="00A725A3" w:rsidRDefault="00A725A3">
      <w:pPr>
        <w:pStyle w:val="CommentText"/>
      </w:pPr>
      <w:r>
        <w:t xml:space="preserve">Most of these are not populated throughout the actual document. </w:t>
      </w:r>
    </w:p>
    <w:p w14:paraId="47F37031" w14:textId="6123E516" w:rsidR="00A725A3" w:rsidRDefault="00A725A3">
      <w:pPr>
        <w:pStyle w:val="CommentText"/>
      </w:pPr>
    </w:p>
    <w:p w14:paraId="39185C4D" w14:textId="2901216F" w:rsidR="00A725A3" w:rsidRDefault="00A725A3">
      <w:pPr>
        <w:pStyle w:val="CommentText"/>
      </w:pPr>
      <w:r>
        <w:t xml:space="preserve">I also think you probably need 10+ more.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80DE67" w15:done="0"/>
  <w15:commentEx w15:paraId="4C33175D" w15:done="0"/>
  <w15:commentEx w15:paraId="11E10165" w15:done="0"/>
  <w15:commentEx w15:paraId="7FFF2959" w15:paraIdParent="11E10165" w15:done="0"/>
  <w15:commentEx w15:paraId="5D6F05C5" w15:done="0"/>
  <w15:commentEx w15:paraId="4F3686E4" w15:done="0"/>
  <w15:commentEx w15:paraId="0CA66E33" w15:done="0"/>
  <w15:commentEx w15:paraId="203C2972" w15:done="0"/>
  <w15:commentEx w15:paraId="6C07A913" w15:done="0"/>
  <w15:commentEx w15:paraId="2C9A6DDB" w15:done="0"/>
  <w15:commentEx w15:paraId="31DFC5A3" w15:done="0"/>
  <w15:commentEx w15:paraId="1690C51E" w15:done="0"/>
  <w15:commentEx w15:paraId="298B4990" w15:done="0"/>
  <w15:commentEx w15:paraId="7EBE0C64" w15:done="0"/>
  <w15:commentEx w15:paraId="4FE08843" w15:done="0"/>
  <w15:commentEx w15:paraId="39185C4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75060"/>
    <w:multiLevelType w:val="hybridMultilevel"/>
    <w:tmpl w:val="7EA28B74"/>
    <w:lvl w:ilvl="0" w:tplc="B7CA5E9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6B48D5"/>
    <w:multiLevelType w:val="multilevel"/>
    <w:tmpl w:val="D22EB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28366A"/>
    <w:multiLevelType w:val="multilevel"/>
    <w:tmpl w:val="51827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61481C"/>
    <w:multiLevelType w:val="multilevel"/>
    <w:tmpl w:val="51827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dan Kern">
    <w15:presenceInfo w15:providerId="None" w15:userId="Jordan K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50E"/>
    <w:rsid w:val="00006FA8"/>
    <w:rsid w:val="00023AFA"/>
    <w:rsid w:val="00025016"/>
    <w:rsid w:val="0009719C"/>
    <w:rsid w:val="000A41DB"/>
    <w:rsid w:val="000B2031"/>
    <w:rsid w:val="000C5F30"/>
    <w:rsid w:val="000E24C6"/>
    <w:rsid w:val="000E6AB2"/>
    <w:rsid w:val="001031F3"/>
    <w:rsid w:val="001163CE"/>
    <w:rsid w:val="00126393"/>
    <w:rsid w:val="001362DB"/>
    <w:rsid w:val="00162779"/>
    <w:rsid w:val="00170933"/>
    <w:rsid w:val="00197C0D"/>
    <w:rsid w:val="001E2C5A"/>
    <w:rsid w:val="001E34A2"/>
    <w:rsid w:val="0023235B"/>
    <w:rsid w:val="00237DD1"/>
    <w:rsid w:val="00251062"/>
    <w:rsid w:val="00251850"/>
    <w:rsid w:val="00265051"/>
    <w:rsid w:val="0027733D"/>
    <w:rsid w:val="002A3343"/>
    <w:rsid w:val="002C6285"/>
    <w:rsid w:val="002D0A97"/>
    <w:rsid w:val="002D0CC8"/>
    <w:rsid w:val="00326E38"/>
    <w:rsid w:val="00330C72"/>
    <w:rsid w:val="00383DED"/>
    <w:rsid w:val="0038470D"/>
    <w:rsid w:val="003A3045"/>
    <w:rsid w:val="003A4912"/>
    <w:rsid w:val="003B170F"/>
    <w:rsid w:val="004041EA"/>
    <w:rsid w:val="00413307"/>
    <w:rsid w:val="00424102"/>
    <w:rsid w:val="00440D51"/>
    <w:rsid w:val="004670B0"/>
    <w:rsid w:val="00472C8B"/>
    <w:rsid w:val="00481370"/>
    <w:rsid w:val="00492FBB"/>
    <w:rsid w:val="004D02EA"/>
    <w:rsid w:val="004E1FDF"/>
    <w:rsid w:val="004E255B"/>
    <w:rsid w:val="00503F8B"/>
    <w:rsid w:val="00542C5C"/>
    <w:rsid w:val="005823D8"/>
    <w:rsid w:val="00592799"/>
    <w:rsid w:val="005A3B4E"/>
    <w:rsid w:val="005B2132"/>
    <w:rsid w:val="005B2E8C"/>
    <w:rsid w:val="005C7BAE"/>
    <w:rsid w:val="005E2D0A"/>
    <w:rsid w:val="005E315E"/>
    <w:rsid w:val="006632F0"/>
    <w:rsid w:val="00666581"/>
    <w:rsid w:val="006A150E"/>
    <w:rsid w:val="006B2FED"/>
    <w:rsid w:val="006D0592"/>
    <w:rsid w:val="006D160D"/>
    <w:rsid w:val="006F600D"/>
    <w:rsid w:val="00765783"/>
    <w:rsid w:val="007743C4"/>
    <w:rsid w:val="00786A4D"/>
    <w:rsid w:val="007B7932"/>
    <w:rsid w:val="007C49FA"/>
    <w:rsid w:val="007D51A3"/>
    <w:rsid w:val="00834E4C"/>
    <w:rsid w:val="008D7742"/>
    <w:rsid w:val="008E4500"/>
    <w:rsid w:val="008F7F9A"/>
    <w:rsid w:val="0095067E"/>
    <w:rsid w:val="009B0D7C"/>
    <w:rsid w:val="009C09CE"/>
    <w:rsid w:val="009F2744"/>
    <w:rsid w:val="00A01604"/>
    <w:rsid w:val="00A02210"/>
    <w:rsid w:val="00A15588"/>
    <w:rsid w:val="00A22AA9"/>
    <w:rsid w:val="00A331CF"/>
    <w:rsid w:val="00A6092D"/>
    <w:rsid w:val="00A657E1"/>
    <w:rsid w:val="00A725A3"/>
    <w:rsid w:val="00AA05CE"/>
    <w:rsid w:val="00AC3D87"/>
    <w:rsid w:val="00AD6D7A"/>
    <w:rsid w:val="00B30709"/>
    <w:rsid w:val="00B44AA0"/>
    <w:rsid w:val="00B624E4"/>
    <w:rsid w:val="00B95AFB"/>
    <w:rsid w:val="00BA3531"/>
    <w:rsid w:val="00BB3E9A"/>
    <w:rsid w:val="00BD2BD9"/>
    <w:rsid w:val="00BE36BF"/>
    <w:rsid w:val="00BF3074"/>
    <w:rsid w:val="00C00268"/>
    <w:rsid w:val="00C15721"/>
    <w:rsid w:val="00C239F5"/>
    <w:rsid w:val="00C269E6"/>
    <w:rsid w:val="00C338B6"/>
    <w:rsid w:val="00C7242E"/>
    <w:rsid w:val="00C75A7A"/>
    <w:rsid w:val="00CA1422"/>
    <w:rsid w:val="00CA4E61"/>
    <w:rsid w:val="00CB060C"/>
    <w:rsid w:val="00CB3B35"/>
    <w:rsid w:val="00CB5027"/>
    <w:rsid w:val="00CC07D0"/>
    <w:rsid w:val="00CD6730"/>
    <w:rsid w:val="00D037EA"/>
    <w:rsid w:val="00D065F4"/>
    <w:rsid w:val="00D443FC"/>
    <w:rsid w:val="00D47EA0"/>
    <w:rsid w:val="00D5747B"/>
    <w:rsid w:val="00D72664"/>
    <w:rsid w:val="00D811FD"/>
    <w:rsid w:val="00DC291F"/>
    <w:rsid w:val="00DD7CD2"/>
    <w:rsid w:val="00DE2D91"/>
    <w:rsid w:val="00E466F6"/>
    <w:rsid w:val="00E57ECE"/>
    <w:rsid w:val="00E62E1B"/>
    <w:rsid w:val="00E94522"/>
    <w:rsid w:val="00EF0663"/>
    <w:rsid w:val="00F0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FAEFD"/>
  <w15:docId w15:val="{2870F64D-7678-40F2-A1E0-DDCEA19A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A30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04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A3045"/>
    <w:rPr>
      <w:b/>
      <w:bCs/>
    </w:rPr>
  </w:style>
  <w:style w:type="character" w:customStyle="1" w:styleId="CommentSubjectChar">
    <w:name w:val="Comment Subject Char"/>
    <w:basedOn w:val="CommentTextChar"/>
    <w:link w:val="CommentSubject"/>
    <w:uiPriority w:val="99"/>
    <w:semiHidden/>
    <w:rsid w:val="003A3045"/>
    <w:rPr>
      <w:b/>
      <w:bCs/>
      <w:sz w:val="20"/>
      <w:szCs w:val="20"/>
    </w:rPr>
  </w:style>
  <w:style w:type="paragraph" w:styleId="Caption">
    <w:name w:val="caption"/>
    <w:basedOn w:val="Normal"/>
    <w:next w:val="Normal"/>
    <w:uiPriority w:val="35"/>
    <w:unhideWhenUsed/>
    <w:qFormat/>
    <w:rsid w:val="00D7266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1E34A2"/>
    <w:rPr>
      <w:color w:val="808080"/>
    </w:rPr>
  </w:style>
  <w:style w:type="paragraph" w:styleId="ListParagraph">
    <w:name w:val="List Paragraph"/>
    <w:basedOn w:val="Normal"/>
    <w:uiPriority w:val="34"/>
    <w:qFormat/>
    <w:rsid w:val="00765783"/>
    <w:pPr>
      <w:ind w:left="720"/>
      <w:contextualSpacing/>
    </w:pPr>
  </w:style>
  <w:style w:type="table" w:styleId="GridTable1Light">
    <w:name w:val="Grid Table 1 Light"/>
    <w:basedOn w:val="TableNormal"/>
    <w:uiPriority w:val="46"/>
    <w:rsid w:val="005823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448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pp.org/about-us/fast-facts/" TargetMode="External"/><Relationship Id="rId26" Type="http://schemas.openxmlformats.org/officeDocument/2006/relationships/hyperlink" Target="https://doi.org/10.1016/j.renene.2020.08.089" TargetMode="External"/><Relationship Id="rId3" Type="http://schemas.openxmlformats.org/officeDocument/2006/relationships/settings" Target="settings.xml"/><Relationship Id="rId21" Type="http://schemas.openxmlformats.org/officeDocument/2006/relationships/hyperlink" Target="https://www.documentcloud.org/documents/6745871-Electric-Storage-Resource-White-Paper.html"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ia.gov/todayinenergy/detail.php?id=43095" TargetMode="External"/><Relationship Id="rId25" Type="http://schemas.openxmlformats.org/officeDocument/2006/relationships/hyperlink" Target="https://doi.org/10.1016/j.renene.2016.10.057" TargetMode="External"/><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unfccc.int/process-and-meetings/the-paris-agreement/the-paris-agreement" TargetMode="External"/><Relationship Id="rId20" Type="http://schemas.openxmlformats.org/officeDocument/2006/relationships/hyperlink" Target="https://spp.org/newsroom/press-releases/spp-becomes-first-regional-grid-operator-with-wind-as-no-1-annual-fuel-source-considers-electric-storage-participation-in-markets-approves-2021-transmission-plan/" TargetMode="External"/><Relationship Id="rId29" Type="http://schemas.openxmlformats.org/officeDocument/2006/relationships/hyperlink" Target="https://resurety.com/uploads/The-P99-Hedge-That-Wasnt-a-REsurety-and-Energy-GPS-White-Paper.pdf"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hyperlink" Target="https://doi.org/10.1016/j.renene.2020.04.144" TargetMode="External"/><Relationship Id="rId32" Type="http://schemas.openxmlformats.org/officeDocument/2006/relationships/image" Target="media/image10.png"/><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hyperlink" Target="https://doi.org/10.1016/j.renene.2020.10.070" TargetMode="External"/><Relationship Id="rId28" Type="http://schemas.openxmlformats.org/officeDocument/2006/relationships/hyperlink" Target="https://doi.org/10.1016/j.renene.2020.11.025"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spp.org/about-us/fast-facts/" TargetMode="External"/><Relationship Id="rId31" Type="http://schemas.openxmlformats.org/officeDocument/2006/relationships/hyperlink" Target="https://spp.org/newsroom/press-releases/spp-becomes-first-regional-grid-operator-with-wind-as-no-1-annual-fuel-source-considers-electric-storage-participation-in-markets-approves-2021-transmission-pla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ergy.ncsu.edu/storage/wp-content/uploads/sites/2/2019/02/NC-Storage-Study-FINAL.pdf" TargetMode="External"/><Relationship Id="rId27" Type="http://schemas.openxmlformats.org/officeDocument/2006/relationships/hyperlink" Target="https://doi.org/10.1016/j.renene.2019.06.066" TargetMode="External"/><Relationship Id="rId30" Type="http://schemas.openxmlformats.org/officeDocument/2006/relationships/hyperlink" Target="https://www.eia.gov/outlooks/steo/"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2336</TotalTime>
  <Pages>37</Pages>
  <Words>8258</Words>
  <Characters>47075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Kern</dc:creator>
  <cp:lastModifiedBy>Jordan Kern</cp:lastModifiedBy>
  <cp:revision>71</cp:revision>
  <dcterms:created xsi:type="dcterms:W3CDTF">2021-02-20T15:22:00Z</dcterms:created>
  <dcterms:modified xsi:type="dcterms:W3CDTF">2021-02-26T16:36:00Z</dcterms:modified>
</cp:coreProperties>
</file>