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color w:val="000000"/>
        </w:rPr>
        <w:t>Highlights</w:t>
      </w:r>
    </w:p>
    <w:p>
      <w:pPr>
        <w:widowControl/>
      </w:pPr>
      <w:r>
        <w:t>• Loaded contact support defines exactly invisible relief sets in a fixed-gap model</w:t>
      </w:r>
    </w:p>
    <w:p>
      <w:pPr>
        <w:widowControl/>
      </w:pPr>
      <w:r>
        <w:t>• Weak support overlap separates local rank from practical profile recovery</w:t>
      </w:r>
    </w:p>
    <w:p>
      <w:pPr>
        <w:widowControl/>
      </w:pPr>
      <w:r>
        <w:t>• Mean-removed transmission error leaves an additive relief gauge unresolved</w:t>
      </w:r>
    </w:p>
    <w:p>
      <w:pPr>
        <w:widowControl/>
      </w:pPr>
      <w:r>
        <w:t>• Restricted fits distinguish dedendum response from geometrical reconstruction</w:t>
      </w:r>
    </w:p>
    <w:p>
      <w:pPr>
        <w:widowControl/>
      </w:pPr>
      <w:r>
        <w:t>• External amplitude discrepancy limits physical interpretation of inverse fits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