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Supplementary controls for spur gear microgeometry identifiability</w:t>
      </w:r>
    </w:p>
    <w:p>
      <w:pPr>
        <w:widowControl/>
      </w:pPr>
      <w:r>
        <w:t>Numerical evidence for local information, sampling design, finite-element contact and cross-operator inversion. Tables distinguish the 57/57 continuum controls from the dedicated 24/24 gap test. All precision statements assume the declared observation model; a contact response does not by itself validate geometrical reconstruction.</w:t>
      </w:r>
    </w:p>
    <w:p>
      <w:pPr>
        <w:keepNext/>
        <w:keepLines/>
        <w:widowControl/>
      </w:pPr>
      <w:r>
        <w:t>Supplementary Table S1 Fisher–Monte Carlo comparison at σ=0.1 µm. Predicted weakest-direction absolute median is 0.67449/σ₄; projected MC uses the same singular vector. The dedendum maximum is a distinct statistic approximated by 100000 draws from the full unconstrained Gaussian covariance.</w:t>
      </w:r>
    </w:p>
    <w:tbl>
      <w:tblPr>
        <w:tblW w:type="auto" w:w="0"/>
        <w:tblLayout w:type="fixed"/>
        <w:tblLook w:firstColumn="1" w:firstRow="1" w:lastColumn="0" w:lastRow="0" w:noHBand="0" w:noVBand="1" w:val="04A0"/>
      </w:tblPr>
      <w:tblGrid>
        <w:gridCol w:w="907"/>
        <w:gridCol w:w="1020"/>
        <w:gridCol w:w="1020"/>
        <w:gridCol w:w="1361"/>
        <w:gridCol w:w="1361"/>
        <w:gridCol w:w="1814"/>
        <w:gridCol w:w="1814"/>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σ₄</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Local dir.</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MC dir.</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Local ded. max</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MC ded. max</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0.03581</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18.84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0.3932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18.78</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0.3939</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0.01524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44.25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0.4677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44.13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0.4668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6.368</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0.1059</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0.1075</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0.1041</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0.1058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5.873</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0.1148</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0.1113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0.1129</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0.1066</w:t>
            </w:r>
          </w:p>
        </w:tc>
      </w:tr>
    </w:tbl>
    <w:p/>
    <w:p>
      <w:pPr>
        <w:keepNext/>
        <w:keepLines/>
        <w:widowControl/>
      </w:pPr>
      <w:r>
        <w:t>Supplementary Table S2 Scaled singular values at 120 positions and σ=0.1 µm. Marginal σ₄ uses two significant figures because angular sampling affects it.</w:t>
      </w:r>
    </w:p>
    <w:tbl>
      <w:tblPr>
        <w:tblW w:type="auto" w:w="0"/>
        <w:tblLayout w:type="fixed"/>
        <w:tblLook w:firstColumn="1" w:firstRow="1" w:lastColumn="0" w:lastRow="0" w:noHBand="0" w:noVBand="1" w:val="04A0"/>
      </w:tblPr>
      <w:tblGrid>
        <w:gridCol w:w="2154"/>
        <w:gridCol w:w="2154"/>
        <w:gridCol w:w="2494"/>
        <w:gridCol w:w="2494"/>
      </w:tblGrid>
      <w:tr>
        <w:trPr>
          <w:tblHeade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Torque Nm</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σ₃</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σ₄</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10.79</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0.037</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10.73</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10.6</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46.86</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3.942</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82.18</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5.041</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85.81</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6.059</w:t>
            </w:r>
          </w:p>
        </w:tc>
      </w:tr>
      <w:tr>
        <w:trPr>
          <w:cantSplit/>
        </w:trPr>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83.58</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6.368</w:t>
            </w:r>
          </w:p>
        </w:tc>
      </w:tr>
    </w:tbl>
    <w:p/>
    <w:p>
      <w:pPr>
        <w:keepNext/>
        <w:keepLines/>
        <w:widowControl/>
      </w:pPr>
      <w:r>
        <w:t xml:space="preserve">Supplementary Table S3 Common-grid local information at σ=0.1 µm. Single-load information uses weight 120/n; each paired load uses 60/n. Dense grids are quadrature controls normalized to a 120-observation budget, not new 120-observation Monte Carlo datasets. PSD margin is </w:t>
      </w:r>
      <w:r>
        <w:t>λ</w:t>
      </w:r>
      <w:r>
        <w:rPr>
          <w:vertAlign w:val="subscript"/>
        </w:rPr>
        <w:t>min</w:t>
      </w:r>
      <w:r>
        <w:t>(</w:t>
      </w:r>
      <w:r>
        <w:t>I</w:t>
      </w:r>
      <w:r>
        <w:rPr>
          <w:vertAlign w:val="subscript"/>
        </w:rPr>
        <w:t>pair</w:t>
      </w:r>
      <w:r>
        <w:t>)−[</w:t>
      </w:r>
      <w:r>
        <w:t>λ</w:t>
      </w:r>
      <w:r>
        <w:rPr>
          <w:vertAlign w:val="subscript"/>
        </w:rPr>
        <w:t>min</w:t>
      </w:r>
      <w:r>
        <w:t>(</w:t>
      </w:r>
      <w:r>
        <w:t>I</w:t>
      </w:r>
      <w:r>
        <w:rPr>
          <w:vertAlign w:val="subscript"/>
        </w:rPr>
        <w:t>50</w:t>
      </w:r>
      <w:r>
        <w:t>)+</w:t>
      </w:r>
      <w:r>
        <w:t>λ</w:t>
      </w:r>
      <w:r>
        <w:rPr>
          <w:vertAlign w:val="subscript"/>
        </w:rPr>
        <w:t>min</w:t>
      </w:r>
      <w:r>
        <w:t>(</w:t>
      </w:r>
      <w:r>
        <w:t>I</w:t>
      </w:r>
      <w:r>
        <w:rPr>
          <w:vertAlign w:val="subscript"/>
        </w:rPr>
        <w:t>300</w:t>
      </w:r>
      <w:r>
        <w:t>)]/2.</w:t>
      </w:r>
    </w:p>
    <w:tbl>
      <w:tblPr>
        <w:tblW w:type="auto" w:w="0"/>
        <w:tblLayout w:type="fixed"/>
        <w:tblLook w:firstColumn="1" w:firstRow="1" w:lastColumn="0" w:lastRow="0" w:noHBand="0" w:noVBand="1" w:val="04A0"/>
      </w:tblPr>
      <w:tblGrid>
        <w:gridCol w:w="1304"/>
        <w:gridCol w:w="1304"/>
        <w:gridCol w:w="1928"/>
        <w:gridCol w:w="1928"/>
        <w:gridCol w:w="2721"/>
      </w:tblGrid>
      <w:tr>
        <w:trPr>
          <w:tblHeade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Nodes n</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300 σ₄</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50/300 σ₄</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PSD margin</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0.01501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0.015242</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5.32e-08</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0.03581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0.036227</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3.08e-07</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0.033169</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0.030033</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5.09e-05</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480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0.031657</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0.030007</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1.32e-05</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960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0.033091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0.031487</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1.25e-05</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6.0757</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5.873</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9.02</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6.3685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6.133</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9.57</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6.2959</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5.9752</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8.97</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480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6.2632</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5.9902</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9.14</w:t>
            </w:r>
          </w:p>
        </w:tc>
      </w:tr>
      <w:tr>
        <w:trPr>
          <w:cantSplit/>
        </w:trPr>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960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6.2921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6.0231</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9.23</w:t>
            </w:r>
          </w:p>
        </w:tc>
      </w:tr>
    </w:tbl>
    <w:p/>
    <w:p>
      <w:pPr>
        <w:keepNext/>
        <w:keepLines/>
        <w:widowControl/>
      </w:pPr>
      <w:r>
        <w:t>Supplementary Table S4 Actual designs with 120 observations, σ=0.1 µm. Original 60 denotes the original uniform cycle grid. Even and odd denote complementary index subsets of the 120-position grid, with its existing endpoint convention; they differ from the original 60-position grid.</w:t>
      </w:r>
    </w:p>
    <w:tbl>
      <w:tblPr>
        <w:tblW w:type="auto" w:w="0"/>
        <w:tblLayout w:type="fixed"/>
        <w:tblLook w:firstColumn="1" w:firstRow="1" w:lastColumn="0" w:lastRow="0" w:noHBand="0" w:noVBand="1" w:val="04A0"/>
      </w:tblPr>
      <w:tblGrid>
        <w:gridCol w:w="4762"/>
        <w:gridCol w:w="2211"/>
        <w:gridCol w:w="2211"/>
      </w:tblGrid>
      <w:tr>
        <w:trPr>
          <w:tblHeade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Phase and torque assignment</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σ₄ at </w:t>
            </w:r>
            <w:r>
              <w:rPr>
                <w:b/>
                <w:sz w:val="17"/>
              </w:rPr>
              <w:t>s</w:t>
            </w:r>
            <w:r>
              <w:rPr>
                <w:b/>
                <w:sz w:val="17"/>
                <w:vertAlign w:val="subscript"/>
              </w:rPr>
              <w:t>d</w:t>
            </w:r>
            <w:r>
              <w:rPr>
                <w:b/>
                <w:sz w:val="17"/>
              </w:rPr>
              <w:t>=0.25</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σ₄ at </w:t>
            </w:r>
            <w:r>
              <w:rPr>
                <w:b/>
                <w:sz w:val="17"/>
              </w:rPr>
              <w:t>s</w:t>
            </w:r>
            <w:r>
              <w:rPr>
                <w:b/>
                <w:sz w:val="17"/>
                <w:vertAlign w:val="subscript"/>
              </w:rPr>
              <w:t>d</w:t>
            </w:r>
            <w:r>
              <w:rPr>
                <w:b/>
                <w:sz w:val="17"/>
              </w:rPr>
              <w:t>=0.40</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300, 120 phases</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0.03581</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6.3685</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50/300, original 60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0.015242</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5.873</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300/300, original 60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0.01501</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6.0757</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50/300, even 60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0.018822</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5.9272</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300/300, even 60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0.018539</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6.1384</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50 even, 300 odd</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0.036069</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6.1569</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50 odd, 300 even</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0.036212</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6.106</w:t>
            </w:r>
          </w:p>
        </w:tc>
      </w:tr>
      <w:tr>
        <w:trPr>
          <w:cantSplit/>
        </w:trPr>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300 even, 300 odd</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0.03574</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6.368</w:t>
            </w:r>
          </w:p>
        </w:tc>
      </w:tr>
    </w:tbl>
    <w:p/>
    <w:p>
      <w:pPr>
        <w:keepNext/>
        <w:keepLines/>
        <w:widowControl/>
      </w:pPr>
      <w:r>
        <w:t>Supplementary Table S5 Three mesh levels at interior phases. h controls bulk/root resolution; requested contact step controls stations. Triangles count both bodies. k is N/µm and approach is µm.</w:t>
      </w:r>
    </w:p>
    <w:tbl>
      <w:tblPr>
        <w:tblW w:type="auto" w:w="0"/>
        <w:tblLayout w:type="fixed"/>
        <w:tblLook w:firstColumn="1" w:firstRow="1" w:lastColumn="0" w:lastRow="0" w:noHBand="0" w:noVBand="1" w:val="04A0"/>
      </w:tblPr>
      <w:tblGrid>
        <w:gridCol w:w="1134"/>
        <w:gridCol w:w="1134"/>
        <w:gridCol w:w="1587"/>
        <w:gridCol w:w="1701"/>
        <w:gridCol w:w="1814"/>
        <w:gridCol w:w="1814"/>
      </w:tblGrid>
      <w:tr>
        <w:trPr>
          <w:tblHeade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Fraction</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h mm</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Contact mm</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Triangles</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k</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Approach</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50812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244.3226</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39.1986</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0.014</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95618</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241.5356</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39.6792</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169970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239.1825</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40.0781</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52332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332.9522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28.6405</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0.014</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98552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329.3587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28.9529</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175218</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327.0621</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29.1729</w:t>
            </w:r>
          </w:p>
        </w:tc>
      </w:tr>
    </w:tbl>
    <w:p/>
    <w:p>
      <w:pPr>
        <w:keepNext/>
        <w:keepLines/>
        <w:widowControl/>
      </w:pPr>
      <w:r>
        <w:t>Supplementary Table S6 Interior two-phase contrast under three bore assumptions. The incremental proxy F(1/k₁−1/k₂) differs from the actual phase difference. Both are µm.</w:t>
      </w:r>
    </w:p>
    <w:tbl>
      <w:tblPr>
        <w:tblW w:type="auto" w:w="0"/>
        <w:tblLayout w:type="fixed"/>
        <w:tblLook w:firstColumn="1" w:firstRow="1" w:lastColumn="0" w:lastRow="0" w:noHBand="0" w:noVBand="1" w:val="04A0"/>
      </w:tblPr>
      <w:tblGrid>
        <w:gridCol w:w="1587"/>
        <w:gridCol w:w="1928"/>
        <w:gridCol w:w="2154"/>
        <w:gridCol w:w="1814"/>
        <w:gridCol w:w="1701"/>
      </w:tblGrid>
      <w:tr>
        <w:trPr>
          <w:tblHeader/>
          <w:cantSplit/>
        </w:trPr>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Bore radius mm</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Incremental proxy</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Actual phase difference</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k₁ excess %</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k₂ excess %</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20</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10.47764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10.89577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59.36</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86.16</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25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10.48667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10.90513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44.87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63.73</w:t>
            </w:r>
          </w:p>
        </w:tc>
      </w:tr>
      <w:tr>
        <w:trPr>
          <w:cantSplit/>
        </w:trPr>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35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10.47348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10.89127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30.24</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41.19</w:t>
            </w:r>
          </w:p>
        </w:tc>
      </w:tr>
    </w:tbl>
    <w:p/>
    <w:p>
      <w:pPr>
        <w:keepNext/>
        <w:keepLines/>
        <w:widowControl/>
      </w:pPr>
      <w:r>
        <w:t>Supplementary Table S7 Separated quadratic-element bulk and pressure-interface refinement controls. The interface stiffness sequence is nonmonotonic. Local contact mesh target remains 0.01 mm; interface spacing changes on a fixed geometric body mesh. k is N/µm and approach is µm. Weak contact constraints differ from the original nodal discretization.</w:t>
      </w:r>
    </w:p>
    <w:tbl>
      <w:tblPr>
        <w:tblW w:type="auto" w:w="0"/>
        <w:tblLayout w:type="fixed"/>
        <w:tblLook w:firstColumn="1" w:firstRow="1" w:lastColumn="0" w:lastRow="0" w:noHBand="0" w:noVBand="1" w:val="04A0"/>
      </w:tblPr>
      <w:tblGrid>
        <w:gridCol w:w="1361"/>
        <w:gridCol w:w="1134"/>
        <w:gridCol w:w="1134"/>
        <w:gridCol w:w="1587"/>
        <w:gridCol w:w="1928"/>
        <w:gridCol w:w="2041"/>
      </w:tblGrid>
      <w:tr>
        <w:trPr>
          <w:tblHeade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Study</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Fraction</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h mm</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Contact mm</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k</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Approach</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236.5279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40.5446</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323.8552</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29.4786</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236.4045</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40.5658</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323.6832</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29.4944</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236.3494</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40.5752</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bulk</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323.6308</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29.4992</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interface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236.2526</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40.5766</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interface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323.6059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29.5000</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interface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236.4924</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40.5745</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interface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323.5308</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29.4988</w:t>
            </w:r>
          </w:p>
        </w:tc>
      </w:tr>
    </w:tbl>
    <w:p/>
    <w:p>
      <w:pPr>
        <w:keepNext/>
        <w:keepLines/>
        <w:widowControl/>
      </w:pPr>
      <w:r>
        <w:t>Supplementary Table S8 Linear-element nodal FE and baseline at identical sampled phases. Approach is µm; k/b is incremental stiffness per width, N/(mm·µm). Edge denotes load reaching a clipped flank endpoint.</w:t>
      </w:r>
    </w:p>
    <w:tbl>
      <w:tblPr>
        <w:tblW w:type="auto" w:w="0"/>
        <w:tblLayout w:type="fixed"/>
        <w:tblLook w:firstColumn="1" w:firstRow="1" w:lastColumn="0" w:lastRow="0" w:noHBand="0" w:noVBand="1" w:val="04A0"/>
      </w:tblPr>
      <w:tblGrid>
        <w:gridCol w:w="1417"/>
        <w:gridCol w:w="624"/>
        <w:gridCol w:w="1531"/>
        <w:gridCol w:w="1757"/>
        <w:gridCol w:w="1247"/>
        <w:gridCol w:w="1701"/>
        <w:gridCol w:w="907"/>
      </w:tblGrid>
      <w:tr>
        <w:trPr>
          <w:tblHeade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Cycle fraction</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approach</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approach</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k/b</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k/b</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Edge</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0.000000</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40.078</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28.060</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10.399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15.066</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0.247147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41.451</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29.655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10.058</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0.297147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29.591</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18.396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14.029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22.781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Yes</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0.332147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29.446</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18.265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14.080</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22.941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0.500000</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29.173</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17.992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14.220</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23.282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0.667853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29.447</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18.265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14.080</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22.941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0.702853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29.596</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18.396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14.027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22.781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Yes</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0.752853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41.449</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29.655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10.059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bl>
    <w:p/>
    <w:p>
      <w:pPr>
        <w:keepNext/>
        <w:keepLines/>
        <w:widowControl/>
      </w:pPr>
      <w:r>
        <w:t>Supplementary Table S9 Angular sampling every 0.21° over one fixed mesh period (360/57 degrees). Offset spans [0,0.21°); grids contain 30 or 31 samples. Envelopes apply to the stated periodic piecewise-linear interpolants. FE has only eight nodes and does not resolve transition ramps.</w:t>
      </w:r>
    </w:p>
    <w:tbl>
      <w:tblPr>
        <w:tblW w:type="auto" w:w="0"/>
        <w:tblLayout w:type="fixed"/>
        <w:tblLook w:firstColumn="1" w:firstRow="1" w:lastColumn="0" w:lastRow="0" w:noHBand="0" w:noVBand="1" w:val="04A0"/>
      </w:tblPr>
      <w:tblGrid>
        <w:gridCol w:w="3685"/>
        <w:gridCol w:w="1134"/>
        <w:gridCol w:w="1984"/>
        <w:gridCol w:w="1984"/>
      </w:tblGrid>
      <w:tr>
        <w:trPr>
          <w:tblHeade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Waveform</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Nodes</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Minimum p-p µm</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Maximum p-p µm</w:t>
            </w:r>
          </w:p>
        </w:tc>
      </w:tr>
      <w:tr>
        <w:trP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baseline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3840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11.706351</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11.955462</w:t>
            </w:r>
          </w:p>
        </w:tc>
      </w:tr>
      <w:tr>
        <w:trP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baseline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7680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11.706350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11.955462</w:t>
            </w:r>
          </w:p>
        </w:tc>
      </w:tr>
      <w:tr>
        <w:trP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baseline</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15360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11.706350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11.955462</w:t>
            </w:r>
          </w:p>
        </w:tc>
      </w:tr>
      <w:tr>
        <w:trPr>
          <w:cantSplit/>
        </w:trPr>
        <w:tc>
          <w:tcPr>
            <w:tcW w:type="dxa" w:w="368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FE eight-phase linear interpolant</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12.269918</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12.442531</w:t>
            </w:r>
          </w:p>
        </w:tc>
      </w:tr>
    </w:tbl>
    <w:p/>
    <w:p>
      <w:pPr>
        <w:keepNext/>
        <w:keepLines/>
        <w:widowControl/>
      </w:pPr>
      <w:r>
        <w:t>Supplementary Table S10 57/57 fixed-section cross-operator inversion. Nineteen common interior phases; values of an inactive dedendum block depend on initialization.</w:t>
      </w:r>
    </w:p>
    <w:tbl>
      <w:tblPr>
        <w:tblW w:type="auto" w:w="0"/>
        <w:tblLayout w:type="fixed"/>
        <w:tblLook w:firstColumn="1" w:firstRow="1" w:lastColumn="0" w:lastRow="0" w:noHBand="0" w:noVBand="1" w:val="04A0"/>
      </w:tblPr>
      <w:tblGrid>
        <w:gridCol w:w="1531"/>
        <w:gridCol w:w="1474"/>
        <w:gridCol w:w="4762"/>
        <w:gridCol w:w="1531"/>
      </w:tblGrid>
      <w:tr>
        <w:trPr>
          <w:tblHeade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Case</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Estimate (Cₐ,sₐ,</w:t>
            </w:r>
            <w:r>
              <w:rPr>
                <w:b/>
                <w:sz w:val="17"/>
              </w:rPr>
              <w:t>C</w:t>
            </w:r>
            <w:r>
              <w:rPr>
                <w:b/>
                <w:sz w:val="17"/>
                <w:vertAlign w:val="subscript"/>
              </w:rPr>
              <w:t>d</w:t>
            </w:r>
            <w:r>
              <w:rPr>
                <w:b/>
                <w:sz w:val="17"/>
              </w:rPr>
              <w:t>,</w:t>
            </w:r>
            <w:r>
              <w:rPr>
                <w:b/>
                <w:sz w:val="17"/>
              </w:rPr>
              <w:t>s</w:t>
            </w:r>
            <w:r>
              <w:rPr>
                <w:b/>
                <w:sz w:val="17"/>
                <w:vertAlign w:val="subscript"/>
              </w:rPr>
              <w:t>d</w:t>
            </w:r>
            <w:r>
              <w:rPr>
                <w:b/>
                <w:sz w:val="17"/>
              </w:rPr>
              <w:t>)</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 µm</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addendum</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(0.01746, 0.74132, 0.02000, 0.45000)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0.109</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(0.01746, 0.74132, 0.02000, 0.45000)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0.109</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dedendum-deep</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(0.01746, 0.74132, 0.02000, 0.45000)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0.109</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addendum</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(0.02064, 0.77220, 0.01000, 0.35000)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0.151</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projected-energy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dedendum</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(0.02064, 0.77220, 0.01000, 0.35000)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0.151</w:t>
            </w:r>
          </w:p>
        </w:tc>
      </w:tr>
      <w:tr>
        <w:trPr>
          <w:cantSplit/>
        </w:trPr>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dedendum-deep</w:t>
            </w:r>
          </w:p>
        </w:tc>
        <w:tc>
          <w:tcPr>
            <w:tcW w:type="dxa" w:w="476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(0.02064, 0.77220, 0.01000, 0.35000)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0.151</w:t>
            </w:r>
          </w:p>
        </w:tc>
      </w:tr>
    </w:tbl>
    <w:p/>
    <w:p>
      <w:pPr>
        <w:keepNext/>
        <w:keepLines/>
        <w:widowControl/>
      </w:pPr>
      <w:r>
        <w:t>Supplementary Table S11 Formulation dependence of internal noise recovery. Each cell uses 100 realizations, σ=0.1 µm, 300 Nm and 120 positions; parameter errors use the declared scales.</w:t>
      </w:r>
    </w:p>
    <w:tbl>
      <w:tblPr>
        <w:tblW w:type="auto" w:w="0"/>
        <w:tblLayout w:type="fixed"/>
        <w:tblLook w:firstColumn="1" w:firstRow="1" w:lastColumn="0" w:lastRow="0" w:noHBand="0" w:noVBand="1" w:val="04A0"/>
      </w:tblPr>
      <w:tblGrid>
        <w:gridCol w:w="1757"/>
        <w:gridCol w:w="1020"/>
        <w:gridCol w:w="2098"/>
        <w:gridCol w:w="2098"/>
        <w:gridCol w:w="2324"/>
      </w:tblGrid>
      <w:tr>
        <w:trPr>
          <w:tblHeade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True </w:t>
            </w:r>
            <w:r>
              <w:rPr>
                <w:b/>
                <w:sz w:val="17"/>
              </w:rPr>
              <w:t>s</w:t>
            </w:r>
            <w:r>
              <w:rPr>
                <w:b/>
                <w:sz w:val="17"/>
                <w:vertAlign w:val="subscript"/>
              </w:rPr>
              <w:t>d</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Addendum med.</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Dedendum med.</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 µm</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0.25</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0.002</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0.369</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0.835</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0.108</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0.280</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projected-energy</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0.25</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0.002</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0.374</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0.833</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w:t>
            </w:r>
          </w:p>
        </w:tc>
        <w:tc>
          <w:tcPr>
            <w:tcW w:type="dxa" w:w="209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0.104</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0.271</w:t>
            </w:r>
          </w:p>
        </w:tc>
      </w:tr>
    </w:tbl>
    <w:p/>
    <w:p>
      <w:pPr>
        <w:keepNext/>
        <w:keepLines/>
        <w:widowControl/>
      </w:pPr>
      <w:r>
        <w:t>Supplementary Table S12 Resolution refinement of the local discretized operator. Zero columns follow the support of basis functions. The additional constant is annihilated by mean removal.</w:t>
      </w:r>
    </w:p>
    <w:tbl>
      <w:tblPr>
        <w:tblW w:type="auto" w:w="0"/>
        <w:tblLayout w:type="fixed"/>
        <w:tblLook w:firstColumn="1" w:firstRow="1" w:lastColumn="0" w:lastRow="0" w:noHBand="0" w:noVBand="1" w:val="04A0"/>
      </w:tblPr>
      <w:tblGrid>
        <w:gridCol w:w="1361"/>
        <w:gridCol w:w="1020"/>
        <w:gridCol w:w="1587"/>
        <w:gridCol w:w="1020"/>
        <w:gridCol w:w="1587"/>
        <w:gridCol w:w="2721"/>
      </w:tblGrid>
      <w:tr>
        <w:trPr>
          <w:tblHeade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Positions</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Nodes</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Zero columns</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Rank</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Null dimension</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Smallest resolved s</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120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68.05</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240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97.29</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240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19</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23.1</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480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19</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33.11</w:t>
            </w:r>
          </w:p>
        </w:tc>
      </w:tr>
    </w:tbl>
    <w:p/>
    <w:p>
      <w:pPr>
        <w:keepNext/>
        <w:keepLines/>
        <w:widowControl/>
      </w:pPr>
      <w:r>
        <w:t>Supplementary Table S13 24/24 two-start inversion archived with the FE test. Correct isolated FE dedendum signal is 0.178987 µm RMS; nominal and combined profiles share addendum relief. Profile errors use 1001 full-flank coordinates. MC uses 50 realizations and σ=0.1 µm.</w:t>
      </w:r>
    </w:p>
    <w:tbl>
      <w:tblPr>
        <w:tblW w:type="auto" w:w="0"/>
        <w:tblLayout w:type="fixed"/>
        <w:tblLook w:firstColumn="1" w:firstRow="1" w:lastColumn="0" w:lastRow="0" w:noHBand="0" w:noVBand="1" w:val="04A0"/>
      </w:tblPr>
      <w:tblGrid>
        <w:gridCol w:w="1191"/>
        <w:gridCol w:w="3005"/>
        <w:gridCol w:w="1191"/>
        <w:gridCol w:w="1304"/>
        <w:gridCol w:w="1304"/>
        <w:gridCol w:w="1304"/>
      </w:tblGrid>
      <w:tr>
        <w:trPr>
          <w:tblHeade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Noiseless estimate</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MC profile median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MC profile p90 µm</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(0.01570, 0.84734, 0.00633, 0.23036)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0.8545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2.8810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2.3581</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2.9049</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(0.01626, 0.80278, 0.01022, 0.30062)</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0.2778</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1.7593</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2.0650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2.4510</w:t>
            </w:r>
          </w:p>
        </w:tc>
      </w:tr>
    </w:tbl>
    <w:p/>
    <w:p>
      <w:pPr>
        <w:keepNext/>
        <w:keepLines/>
        <w:widowControl/>
      </w:pPr>
      <w:r>
        <w:t xml:space="preserve">Supplementary Table S14 Broad-start and restricted inversions of the 24/24 FE observations. Each unrestricted and null fit uses 26 starts. The null fixes </w:t>
      </w:r>
      <w:r>
        <w:t>C</w:t>
      </w:r>
      <w:r>
        <w:rPr>
          <w:vertAlign w:val="subscript"/>
        </w:rPr>
        <w:t>d</w:t>
      </w:r>
      <w:r>
        <w:t xml:space="preserve">=0 and redundant </w:t>
      </w:r>
      <w:r>
        <w:t>s</w:t>
      </w:r>
      <w:r>
        <w:rPr>
          <w:vertAlign w:val="subscript"/>
        </w:rPr>
        <w:t>d</w:t>
      </w:r>
      <w:r>
        <w:t>=0.50. Δχ² uses an assumed 0.1 µm scale and is not a calibrated physical test.</w:t>
      </w:r>
    </w:p>
    <w:tbl>
      <w:tblPr>
        <w:tblW w:type="auto" w:w="0"/>
        <w:tblLayout w:type="fixed"/>
        <w:tblLook w:firstColumn="1" w:firstRow="1" w:lastColumn="0" w:lastRow="0" w:noHBand="0" w:noVBand="1" w:val="04A0"/>
      </w:tblPr>
      <w:tblGrid>
        <w:gridCol w:w="1191"/>
        <w:gridCol w:w="3005"/>
        <w:gridCol w:w="1191"/>
        <w:gridCol w:w="1304"/>
        <w:gridCol w:w="1304"/>
        <w:gridCol w:w="1304"/>
      </w:tblGrid>
      <w:tr>
        <w:trPr>
          <w:tblHeade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Broad-start estimate</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Null TE RMS µm</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Null Δχ²</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(0.01569, 0.84733, 0.00262, 0.17949)</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0.85445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3.4349</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0.85445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8.58241e-07</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300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(0.01626, 0.80278, 0.02584, 0.23683)</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0.27775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3.4020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0.27775</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5.22346e-09</w:t>
            </w:r>
          </w:p>
        </w:tc>
      </w:tr>
    </w:tbl>
    <w:p/>
    <w:p>
      <w:pPr>
        <w:keepNext/>
        <w:keepLines/>
        <w:widowControl/>
      </w:pPr>
      <w:r>
        <w:t>Supplementary Table S15 Profile-objective diagnostics for the 24/24 gap data. Each point uses five starts. Extrema below 3.841 are sampled diagnostics, not confidence limits; depth is in µm and start is dimensionless.</w:t>
      </w:r>
    </w:p>
    <w:tbl>
      <w:tblPr>
        <w:tblW w:type="auto" w:w="0"/>
        <w:tblLayout w:type="fixed"/>
        <w:tblLook w:firstColumn="1" w:firstRow="1" w:lastColumn="0" w:lastRow="0" w:noHBand="0" w:noVBand="1" w:val="04A0"/>
      </w:tblPr>
      <w:tblGrid>
        <w:gridCol w:w="1701"/>
        <w:gridCol w:w="1417"/>
        <w:gridCol w:w="1134"/>
        <w:gridCol w:w="2381"/>
        <w:gridCol w:w="1531"/>
        <w:gridCol w:w="1134"/>
      </w:tblGrid>
      <w:tr>
        <w:trPr>
          <w:tblHeade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Parameter</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Points</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Grid extrema</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Max Δχ²</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Failed fits</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Cd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5.5206e-10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sd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0.05–0.5</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5.5206e-10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projected-energy</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Cd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3.4674e-11</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sd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0.05–0.5</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3.4674e-11</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r>
    </w:tbl>
    <w:p/>
    <w:p>
      <w:pPr>
        <w:keepNext/>
        <w:keepLines/>
        <w:widowControl/>
      </w:pPr>
      <w:r>
        <w:t>Supplementary Table S16 Dedicated 24/24 bulk-mesh sensitivity at fixed 0.02 mm nodal interface, P1 elasticity, nominal contour and 102 common interior phases. Each inverse uses twelve starts. Last-step changes do not certify an asymptotic rate or interface convergence.</w:t>
      </w:r>
    </w:p>
    <w:tbl>
      <w:tblPr>
        <w:tblW w:type="auto" w:w="0"/>
        <w:tblLayout w:type="fixed"/>
        <w:tblLook w:firstColumn="1" w:firstRow="1" w:lastColumn="0" w:lastRow="0" w:noHBand="0" w:noVBand="1" w:val="04A0"/>
      </w:tblPr>
      <w:tblGrid>
        <w:gridCol w:w="794"/>
        <w:gridCol w:w="1474"/>
        <w:gridCol w:w="4195"/>
        <w:gridCol w:w="1417"/>
        <w:gridCol w:w="1417"/>
      </w:tblGrid>
      <w:tr>
        <w:trPr>
          <w:tblHeade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h mm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Isolated signal µm</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Estimate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 µm</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 µm</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0.178987</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(0.01626, 0.80278, 0.01103, 0.23728)</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0.27775</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1.9884</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0.35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0.178994</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(0.01611, 0.81219, 0.03467, 0.27535)</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0.36776</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5.5425</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0.178969</w:t>
            </w:r>
          </w:p>
        </w:tc>
        <w:tc>
          <w:tcPr>
            <w:tcW w:type="dxa" w:w="41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(0.01594, 0.81692, 0.03437, 0.17683)</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0.42389</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4.5561</w:t>
            </w:r>
          </w:p>
        </w:tc>
      </w:tr>
    </w:tbl>
    <w:p/>
    <w:p>
      <w:pPr>
        <w:keepNext/>
        <w:keepLines/>
        <w:widowControl/>
      </w:pPr>
      <w:r>
        <w:t>Supplementary Table S17 Common-mask full-waveform sensitivity of the 24/24 P1 gap test. Differences are centred on the same 102 phases and refer to h=0.50 mm.</w:t>
      </w:r>
    </w:p>
    <w:tbl>
      <w:tblPr>
        <w:tblW w:type="auto" w:w="0"/>
        <w:tblLayout w:type="fixed"/>
        <w:tblLook w:firstColumn="1" w:firstRow="1" w:lastColumn="0" w:lastRow="0" w:noHBand="0" w:noVBand="1" w:val="04A0"/>
      </w:tblPr>
      <w:tblGrid>
        <w:gridCol w:w="850"/>
        <w:gridCol w:w="1928"/>
        <w:gridCol w:w="2211"/>
        <w:gridCol w:w="2324"/>
        <w:gridCol w:w="1984"/>
      </w:tblGrid>
      <w:tr>
        <w:trPr>
          <w:tblHeade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h mm</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Combined RMS µm</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Wave change RMS µm</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Isolated change RMS µm</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Fit residual µm</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4.015834</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0.000000</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0.000000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0.277751</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0.35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4.142864</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0.141289</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0.001060</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0.367759</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9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4.218430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0.217928</w:t>
            </w:r>
          </w:p>
        </w:tc>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0.001145</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0.423886</w:t>
            </w:r>
          </w:p>
        </w:tc>
      </w:tr>
    </w:tbl>
    <w:p/>
    <w:p>
      <w:pPr>
        <w:keepNext/>
        <w:keepLines/>
        <w:widowControl/>
      </w:pPr>
      <w:r>
        <w:t>Supplementary Table S18 Cyclic erosion of the phase mask. Full-cycle results are analytical only. Each FE inversion uses eight starts per model. Singular values are scaled, whitened at σ=0.1 µm and normalized to 120 observations. Small signed objective differences are optimization roundoff.</w:t>
      </w:r>
    </w:p>
    <w:tbl>
      <w:tblPr>
        <w:tblW w:type="auto" w:w="0"/>
        <w:tblLayout w:type="fixed"/>
        <w:tblLook w:firstColumn="1" w:firstRow="1" w:lastColumn="0" w:lastRow="0" w:noHBand="0" w:noVBand="1" w:val="04A0"/>
      </w:tblPr>
      <w:tblGrid>
        <w:gridCol w:w="2324"/>
        <w:gridCol w:w="567"/>
        <w:gridCol w:w="1304"/>
        <w:gridCol w:w="1757"/>
        <w:gridCol w:w="1871"/>
        <w:gridCol w:w="1474"/>
      </w:tblGrid>
      <w:tr>
        <w:trPr>
          <w:tblHeade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Mask</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Rank at truth</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Normalized </w:t>
            </w:r>
            <w:r>
              <w:rPr>
                <w:b/>
                <w:sz w:val="17"/>
              </w:rPr>
              <w:t>s</w:t>
            </w:r>
            <w:r>
              <w:rPr>
                <w:b/>
                <w:sz w:val="17"/>
                <w:vertAlign w:val="subscript"/>
              </w:rPr>
              <w:t>min</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Fit RMS µm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Null Δχ²</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Analytical full cycle</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3.7063</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Not FE data</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Not FE data</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Guard 0</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102</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0.9808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0.27775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-1.08e-07</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Guard 1</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98</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0.9171</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0.26998</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1.45e-08</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Guard 2</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0.8858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0.26095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-5.27e-10</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Guard 3</w:t>
            </w:r>
          </w:p>
        </w:tc>
        <w:tc>
          <w:tcPr>
            <w:tcW w:type="dxa" w:w="5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0.8208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0.25243</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2.72e-09</w:t>
            </w:r>
          </w:p>
        </w:tc>
      </w:tr>
    </w:tbl>
    <w:p/>
    <w:p>
      <w:pPr>
        <w:keepNext/>
        <w:keepLines/>
        <w:widowControl/>
      </w:pPr>
      <w:r>
        <w:t>Supplementary Table S19 Pressure-hat interface sensitivity on 24 common eligible phases with identical P2 body meshes, fixed geometric trace and h=0.35 mm. Changes compare adjacent spacings. This subset is distinct from the 102-phase P1 inversion.</w:t>
      </w:r>
    </w:p>
    <w:tbl>
      <w:tblPr>
        <w:tblW w:type="auto" w:w="0"/>
        <w:tblLayout w:type="fixed"/>
        <w:tblLook w:firstColumn="1" w:firstRow="1" w:lastColumn="0" w:lastRow="0" w:noHBand="0" w:noVBand="1" w:val="04A0"/>
      </w:tblPr>
      <w:tblGrid>
        <w:gridCol w:w="1361"/>
        <w:gridCol w:w="2608"/>
        <w:gridCol w:w="2608"/>
        <w:gridCol w:w="2721"/>
      </w:tblGrid>
      <w:tr>
        <w:trPr>
          <w:tblHeade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Step mm</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Isolated RMS µm</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Signal change %</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Combined wave change µm</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0.04</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0.083208</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0.000000</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0.02</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0.085275</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+2.4850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0.006038</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0.01</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0.085008</w:t>
            </w:r>
          </w:p>
        </w:tc>
        <w:tc>
          <w:tcPr>
            <w:tcW w:type="dxa" w:w="26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-0.3130</w:t>
            </w:r>
          </w:p>
        </w:tc>
        <w:tc>
          <w:tcPr>
            <w:tcW w:type="dxa" w:w="272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0.000716</w:t>
            </w:r>
          </w:p>
        </w:tc>
      </w:tr>
    </w:tbl>
    <w:p/>
    <w:p>
      <w:pPr>
        <w:keepNext/>
        <w:keepLines/>
        <w:widowControl/>
      </w:pPr>
      <w:r>
        <w:t>Supplementary Table S20 Physically removed relief with reassembled stiffness and zero added gap. P2 elasticity; eight common eligible phases; upper pinion flanks and root blends; start 0.25; no addendum relief. Centred differences refer to nominal geometry on the same mesh. Removed area includes all modified pinion teeth. No full-cycle or inverse validation is asserted.</w:t>
      </w:r>
    </w:p>
    <w:tbl>
      <w:tblPr>
        <w:tblW w:type="auto" w:w="0"/>
        <w:tblLayout w:type="fixed"/>
        <w:tblLook w:firstColumn="1" w:firstRow="1" w:lastColumn="0" w:lastRow="0" w:noHBand="0" w:noVBand="1" w:val="04A0"/>
      </w:tblPr>
      <w:tblGrid>
        <w:gridCol w:w="794"/>
        <w:gridCol w:w="1020"/>
        <w:gridCol w:w="1814"/>
        <w:gridCol w:w="2211"/>
        <w:gridCol w:w="1984"/>
        <w:gridCol w:w="1474"/>
      </w:tblGrid>
      <w:tr>
        <w:trPr>
          <w:tblHeade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h mm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Depth µm</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Centred RMS µm</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Mean approach change µm</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Max relative H change</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Area removed mm²</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0.000406</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0.002291</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0.00023806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0.15351</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0.002110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0.011855</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0.001236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0.76726</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0.35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0.000400</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0.002233</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0.00023344</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0.15351</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0.35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0.002079</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0.011573</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0.0012136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0.76726</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0.000397</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0.002206</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0.00023165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0.15351</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0.002063</w:t>
            </w:r>
          </w:p>
        </w:tc>
        <w:tc>
          <w:tcPr>
            <w:tcW w:type="dxa" w:w="221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0.011437</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0.0012046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0.76726</w:t>
            </w:r>
          </w:p>
        </w:tc>
      </w:tr>
    </w:tbl>
    <w:p/>
    <w:p>
      <w:pPr>
        <w:widowControl/>
      </w:pPr>
      <w:r>
        <w:t>S1–S4 concern internal information and sampling. S5–S9 concern the 57/57 FE and angular controls; linear nodal and quadratic weak-contact records are distinct. S10 reports the 57/57 gap inversion and S11 the formulation repetition. S12 describes the local discretized resolution. S13–S16 report the 24/24 archived inversions, broad-start and restricted fits, profile diagnostics and dedicated bulk-mesh study. S17 compares full waveforms, S18 erodes the angular mask, S19 varies the pressure interface on fixed P2 meshes, and S20 tests modified contours with reassembled stiffness. The latter use distinct declared phase subsets and do not establish complete-cycle physical inverse recovery. Every selected fit and its optimizer status remain in the numerical data.</w:t>
      </w:r>
    </w:p>
    <w:sectPr w:rsidR="00FC693F" w:rsidRPr="0006063C" w:rsidSect="00034616">
      <w:footerReference w:type="default" r:id="rId9"/>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support and practical identifiability of spur gear microgeometry from transmission error</dc:title>
  <dc:subject>Contact support and practical identifiability research manuscript</dc:subject>
  <dc:creator>Romulo Sandoval Flórez; Claudia Patricia Parra Medina; German Leandro Vargas Fonseca</dc:creator>
  <cp:keywords/>
  <dc:description>generated by python-docx</dc:description>
  <cp:lastModifiedBy/>
  <cp:revision>1</cp:revision>
  <dcterms:created xsi:type="dcterms:W3CDTF">2013-12-23T23:15:00Z</dcterms:created>
  <dcterms:modified xsi:type="dcterms:W3CDTF">2026-10-23T21:43:04Z</dcterms:modified>
  <cp:category/>
</cp:coreProperties>
</file>