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jc w:val="center"/>
      </w:pPr>
      <w:r>
        <w:t>Controles predictivos y numéricos de una tomografía local de Vp en Colombia</w:t>
      </w:r>
    </w:p>
    <w:p>
      <w:pPr>
        <w:spacing w:line="240" w:lineRule="auto"/>
        <w:jc w:val="center"/>
      </w:pPr>
      <w:r>
        <w:t>Rómulo Sandoval Florez¹*, Claudia Patricia Parra Medina² y Francisco Cabrera Zambrano³</w:t>
      </w:r>
    </w:p>
    <w:p>
      <w:pPr>
        <w:spacing w:line="240" w:lineRule="auto"/>
        <w:jc w:val="both"/>
      </w:pPr>
      <w:r>
        <w:t>¹ Universidad ECCI. ² Universidad Militar Nueva Granada. ³ Grupo PANGEA, Universidad de Pamplona. Colombia.</w:t>
      </w:r>
    </w:p>
    <w:p>
      <w:pPr>
        <w:spacing w:line="240" w:lineRule="auto"/>
        <w:jc w:val="both"/>
      </w:pPr>
      <w:r>
        <w:t xml:space="preserve">* Correspondencia: </w:t>
      </w:r>
      <w:hyperlink r:id="rId10">
        <w:r>
          <w:rPr>
            <w:color w:val="000000"/>
            <w:rFonts w:ascii="Times New Roman" w:hAnsi="Times New Roman"/>
          </w:rPr>
          <w:t>romulo@ecci.edu.co</w:t>
        </w:r>
      </w:hyperlink>
    </w:p>
    <w:p>
      <w:pPr>
        <w:pStyle w:val="Heading1"/>
        <w:spacing w:before="160" w:after="40"/>
        <w:jc w:val="left"/>
      </w:pPr>
      <w:r>
        <w:t>Resumen</w:t>
      </w:r>
    </w:p>
    <w:p>
      <w:pPr>
        <w:spacing w:line="240" w:lineRule="auto"/>
        <w:jc w:val="both"/>
      </w:pPr>
      <w:r>
        <w:t>Evaluamos si una tomografía local 3D mejora la predicción de tiempos P frente a perfiles 1D fijos y ajustables. Utilizamos 3621 eventos con identificador SGC, 32304 lecturas y 267 identificadores de estación con cota verificable. El cálculo directo usa un eikonal factorizado en C++ y sensibilidades del mismo operador discreto. Comparamos tres pesos de suavidad mediante reserva por eventos, refinamiento de malla y un damero no lineal con errores efectivos calibrados exclusivamente en entrenamiento. El perfil 1D ajustable obtiene un RMS reservado de 1,763 s y el 3D de peso intermedio, 1,935 s. Para ese 3D, la última diferencia de malla es 0,057 s; la recuperación sintética presenta r = 0,007 y error L2 relativo de 4,081. Se informan las trayectorias de ajuste y los casos detenidos por el límite de iteraciones. Los cortes permiten examinar el comportamiento de la inversión, pero la atribución estructural requiere capacidad predictiva, estabilidad numérica y recuperación concordantes.</w:t>
      </w:r>
    </w:p>
    <w:p>
      <w:pPr>
        <w:spacing w:line="240" w:lineRule="auto"/>
        <w:jc w:val="both"/>
      </w:pPr>
      <w:r>
        <w:t>Palabras clave: tomografía local; Vp; eikonal factorizado; regularización; validación predictiva.</w:t>
      </w:r>
    </w:p>
    <w:p>
      <w:pPr>
        <w:spacing w:line="240" w:lineRule="auto"/>
        <w:jc w:val="both"/>
      </w:pPr>
      <w:r>
        <w:t>Predictive and numerical controls of local Vp tomography in Colombia</w:t>
      </w:r>
    </w:p>
    <w:p>
      <w:pPr>
        <w:pStyle w:val="Heading1"/>
        <w:spacing w:before="160" w:after="40"/>
        <w:jc w:val="left"/>
      </w:pPr>
      <w:r>
        <w:t>Abstract</w:t>
      </w:r>
    </w:p>
    <w:p>
      <w:pPr>
        <w:spacing w:line="240" w:lineRule="auto"/>
        <w:jc w:val="both"/>
      </w:pPr>
      <w:r>
        <w:t>We test whether local 3D tomography improves P arrival prediction over fixed and adjustable 1D profiles. We use 3621 events with SGC identifiers, 32304 arrivals and 267 station identifiers with verified elevations. Forward calculations use a C++ factored eikonal solver and sensitivities of the same discrete operator. Three smoothing weights are compared using event holdouts, mesh refinement and a nonlinear checkerboard with effective errors calibrated exclusively on training observations. Held out RMS is 1.763 s for the adjustable 1D profile and 1.935 s for the intermediate weight 3D model. For that 3D model, the last mesh difference is 0.057 s; synthetic recovery yields r = 0.007 and relative L2 error of 4.081. We report fitting trajectories and cases stopped at the iteration limit. Velocity sections diagnose inversion behavior, while structural interpretation requires concordant predictive performance, numerical stability and recovery.</w:t>
      </w:r>
    </w:p>
    <w:p>
      <w:pPr>
        <w:spacing w:line="240" w:lineRule="auto"/>
        <w:jc w:val="both"/>
      </w:pPr>
      <w:r>
        <w:t>Keywords: local tomography; Vp; factored eikonal; regularization; predictive validation.</w:t>
      </w:r>
    </w:p>
    <w:p>
      <w:pPr>
        <w:pStyle w:val="Heading1"/>
        <w:spacing w:before="160" w:after="40"/>
        <w:jc w:val="left"/>
      </w:pPr>
      <w:r>
        <w:t>1 Introducción</w:t>
      </w:r>
    </w:p>
    <w:p>
      <w:pPr>
        <w:jc w:val="both"/>
      </w:pPr>
      <w:r>
        <w:t>La interacción de las placas Nazca, Caribe y Suramérica motiva la búsqueda de estructura bajo Colombia. Los estudios regionales de tomografía y sismicidad proporcionan hipótesis sobre la subducción y su segmentación (Syracuse et al., 2016; Chiarabba et al., 2016; Cornthwaite et al., 2021; Sun et al., 2022). Una distribución coherente de hipocentros o anomalías de velocidad, sin embargo, no demuestra por sí sola resolución de una interfaz.</w:t>
      </w:r>
    </w:p>
    <w:p>
      <w:pPr>
        <w:jc w:val="both"/>
      </w:pPr>
      <w:r>
        <w:t>La pregunta de este trabajo es si actualizar Vp lateralmente mejora la predicción de lecturas no utilizadas para ajustar el modelo, una vez que el control también puede modificar su perfil en profundidad, relocalizar eventos y estimar estáticas. Distinguimos el ajuste al entrenamiento, la predicción condicionada al catálogo reservado, la estabilidad frente a la malla y la recuperación de una perturbación conocida. Un resultado favorable en una sola de estas pruebas no se utiliza como prueba de imagen estructural.</w:t>
      </w:r>
    </w:p>
    <w:p>
      <w:pPr>
        <w:jc w:val="both"/>
      </w:pPr>
      <w:r>
        <w:t>El artículo presenta un experimento diagnóstico con un cálculo directo factorizado y cotas reales de estaciones. La comparación de suavidad examina si limitar la rugosidad modifica conjuntamente la predicción y el error numérico. Un contraste pareado con receptores a profundidad cero permite aislar el efecto computacional de la elevación.</w:t>
      </w:r>
    </w:p>
    <w:p>
      <w:pPr>
        <w:pStyle w:val="Heading1"/>
        <w:spacing w:before="160" w:after="40"/>
        <w:jc w:val="left"/>
      </w:pPr>
      <w:r>
        <w:t>2 Fundamento</w:t>
      </w:r>
    </w:p>
    <w:p>
      <w:pPr>
        <w:jc w:val="both"/>
      </w:pPr>
      <w:r>
        <w:t>La tomografía local acopla velocidades, ubicaciones y tiempos de origen; el modelo inicial y la distribución de observaciones condicionan ese intercambio (Kissling et al., 1994; Tarantola, 2005). La regularización restringe las soluciones permitidas y no convierte una disminución del residual en evidencia de resolución (Rawlinson y Spakman, 2016; Fichtner et al., 2024). La doble diferencia constituye una alternativa para reducir parte de ese acoplamiento (Waldhauser y Ellsworth, 2000; Zhang y Thurber, 2003), aunque no se implementa aquí.</w:t>
      </w:r>
    </w:p>
    <w:p>
      <w:pPr>
        <w:jc w:val="both"/>
      </w:pPr>
      <w:r>
        <w:t>La ecuación eikonal describe primeras llegadas en un medio isotrópico. La factorización separa la singularidad de una fuente puntual mediante una distancia analítica y un factor más suave (Fomel et al., 2009; Treister y Haber, 2016). Esa separación mejora el tratamiento de la fuente, pero no garantiza precisión suficiente en un medio heterogéneo. Por ello verificamos las derivadas del esquema y, por separado, su refinamiento regional.</w:t>
      </w:r>
    </w:p>
    <w:p>
      <w:pPr>
        <w:jc w:val="both"/>
      </w:pPr>
      <w:r>
        <w:t>Las reservas por eventos y regiones examinan generalización bajo diferentes geometrías. Un damero generado con cálculo directo no lineal y una malla diferente comprueba recuperación sin reutilizar únicamente la linealización invertida. Estos controles delimitan el alcance del resultado; no demuestran ausencia de información a todas las escalas.</w:t>
      </w:r>
    </w:p>
    <w:p>
      <w:pPr>
        <w:pStyle w:val="Heading1"/>
        <w:spacing w:before="160" w:after="40"/>
        <w:jc w:val="left"/>
      </w:pPr>
      <w:r>
        <w:t>3 Datos y metodología</w:t>
      </w:r>
    </w:p>
    <w:p>
      <w:pPr>
        <w:pStyle w:val="Heading2"/>
        <w:spacing w:before="160" w:after="40"/>
        <w:jc w:val="left"/>
      </w:pPr>
      <w:r>
        <w:t>3.1 Observaciones y selección</w:t>
      </w:r>
    </w:p>
    <w:p>
      <w:pPr>
        <w:jc w:val="both"/>
      </w:pPr>
      <w:r>
        <w:t>Los eventos tienen identificador SGC y fechas entre el 7 de abril de 2015 y el 2 de octubre de 2026. La selección contiene 3621 eventos, 32304 lecturas P y 267 identificadores de estación correspondientes a 264 posiciones distintas a una tolerancia de 1 m. Los metadatos se cotejaron por época activa y coordenadas; se excluyeron 13 estaciones sin cota verificable y los eventos restantes con menos de cuatro posiciones de receptor. No se imputó elevación cero. La Figura S1 muestra estaciones, eventos, profundidades y magnitudes; 3606 eventos tienen magnitud publicada de tipos mixtos y 15 carecen de ella.</w:t>
      </w:r>
    </w:p>
    <w:p>
      <w:pPr>
        <w:jc w:val="both"/>
      </w:pPr>
      <w:r>
        <w:t>Se combinan detecciones automáticas y 18808 llegadas publicadas importadas desde los registros asociados a los eventos SGC e ISC. Las 13496 detecciones automáticas utilizan PhaseNet (Zhu y Beroza, 2019) con pesos INSTANCE (Michelini et al., 2021); se aplica un umbral de probabilidad de 0,3. De las detecciones automáticas, 12338 proceden de una extracción que unió trazas con relleno interpolado; 1158 proceden de ampliaciones que exigieron componentes Z/N/E y ausencia de huecos mayores de 0,5 s. No se presupone calidad uniforme entre esos conjuntos. Para las llegadas publicadas, el importador asigna probabilidad 1 como convención de ingreso: no es confianza de un detector ni una incertidumbre temporal. Las tablas de procedencia del suplemento conservan las coincidencias por identificador, red, estación, fase, instante y probabilidad. La agencia de origen falta en 2819 eventos; los restantes registran RSNC (691), ISC (109), UPA (1) y FUNV (1). El identificador SGC no acredita procedencia exclusiva de todas las lecturas.</w:t>
      </w:r>
    </w:p>
    <w:p>
      <w:pPr>
        <w:jc w:val="both"/>
      </w:pPr>
      <w:r>
        <w:t>La asociación inicial compara el tiempo observado con una aproximación de trayectoria recta en el perfil 1D, integrada en 33 muestras. Se retienen candidatos P con residual de asociación de hasta 8 s. Para un mismo evento, estación y fase se prefiere el menor residual absoluto, después la mayor probabilidad. Si los dos mejores candidatos difieren en menos de 0,5 s de residual absoluto, pero sus llegadas se separan más de 0,2 s, se rechaza el grupo como ambiguo. La asociación se fija antes de comparar los modelos; no se vuelve a seleccionar según el ajuste 3D. Las lecturas S se excluyen de esta inversión.</w:t>
      </w:r>
    </w:p>
    <w:p>
      <w:pPr>
        <w:jc w:val="both"/>
      </w:pPr>
      <w:r>
        <w:t>Las etiquetas publicadas son P (13819), Pn (4923) y Pg (66); 13496 filas carecen de esa etiqueta. Se normalizan a P y el operador calcula la primera llegada, sin seguir ramas Pn/Pg por separado. Cada evento tiene al menos cuatro posiciones distintas y no hay duplicados adicionales idénticos por evento, posición redondeada a 1 m y llegada a 1 ms. Esta verificación no sustituye una auditoría independiente de picks.</w:t>
      </w:r>
    </w:p>
    <w:p>
      <w:pPr>
        <w:keepNext/>
        <w:spacing w:line="240" w:lineRule="auto" w:before="120"/>
        <w:jc w:val="both"/>
      </w:pPr>
      <w:r>
        <w:t>Tabla 1. Partición común por eventos.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3041"/>
        <w:gridCol w:w="3041"/>
        <w:gridCol w:w="3041"/>
      </w:tblGrid>
      <w:tr>
        <w:trPr>
          <w:tblHeader/>
          <w:cantSplit/>
        </w:trPr>
        <w:tc>
          <w:tcPr>
            <w:tcW w:type="dxa" w:w="3402"/>
            <w:vAlign w:val="center"/>
            <w:shd w:fill="EDEDED"/>
          </w:tcPr>
          <w:p>
            <w:pPr>
              <w:keepNext/>
              <w:spacing w:line="240" w:lineRule="auto" w:after="0"/>
              <w:jc w:val="left"/>
            </w:pPr>
            <w:r>
              <w:rPr>
                <w:b/>
              </w:rPr>
              <w:t>Conjunto</w:t>
            </w:r>
          </w:p>
        </w:tc>
        <w:tc>
          <w:tcPr>
            <w:tcW w:type="dxa" w:w="2268"/>
            <w:vAlign w:val="center"/>
            <w:shd w:fill="EDEDED"/>
          </w:tcPr>
          <w:p>
            <w:pPr>
              <w:keepNext/>
              <w:spacing w:line="240" w:lineRule="auto" w:after="0"/>
              <w:jc w:val="center"/>
            </w:pPr>
            <w:r>
              <w:rPr>
                <w:b/>
              </w:rPr>
              <w:t>Eventos</w:t>
            </w:r>
          </w:p>
        </w:tc>
        <w:tc>
          <w:tcPr>
            <w:tcW w:type="dxa" w:w="3402"/>
            <w:vAlign w:val="center"/>
            <w:shd w:fill="EDEDED"/>
          </w:tcPr>
          <w:p>
            <w:pPr>
              <w:keepNext/>
              <w:spacing w:line="240" w:lineRule="auto" w:after="0"/>
              <w:jc w:val="center"/>
            </w:pPr>
            <w:r>
              <w:rPr>
                <w:b/>
              </w:rPr>
              <w:t>Lecturas P</w:t>
            </w:r>
          </w:p>
        </w:tc>
      </w:tr>
      <w:tr>
        <w:trPr>
          <w:cantSplit/>
        </w:trPr>
        <w:tc>
          <w:tcPr>
            <w:tcW w:type="dxa" w:w="3402"/>
            <w:vAlign w:val="center"/>
          </w:tcPr>
          <w:p>
            <w:pPr>
              <w:keepNext/>
              <w:spacing w:line="240" w:lineRule="auto" w:after="0"/>
              <w:jc w:val="left"/>
            </w:pPr>
            <w:r>
              <w:t>Ajuste</w:t>
            </w:r>
          </w:p>
        </w:tc>
        <w:tc>
          <w:tcPr>
            <w:tcW w:type="dxa" w:w="2268"/>
            <w:vAlign w:val="center"/>
          </w:tcPr>
          <w:p>
            <w:pPr>
              <w:keepNext/>
              <w:spacing w:line="240" w:lineRule="auto" w:after="0"/>
              <w:jc w:val="center"/>
            </w:pPr>
            <w:r>
              <w:t>2897</w:t>
            </w:r>
          </w:p>
        </w:tc>
        <w:tc>
          <w:tcPr>
            <w:tcW w:type="dxa" w:w="3402"/>
            <w:vAlign w:val="center"/>
          </w:tcPr>
          <w:p>
            <w:pPr>
              <w:keepNext/>
              <w:spacing w:line="240" w:lineRule="auto" w:after="0"/>
              <w:jc w:val="center"/>
            </w:pPr>
            <w:r>
              <w:t>25714</w:t>
            </w:r>
          </w:p>
        </w:tc>
      </w:tr>
      <w:tr>
        <w:trPr>
          <w:cantSplit/>
        </w:trPr>
        <w:tc>
          <w:tcPr>
            <w:tcW w:type="dxa" w:w="3402"/>
            <w:vAlign w:val="center"/>
          </w:tcPr>
          <w:p>
            <w:pPr>
              <w:keepNext/>
              <w:spacing w:line="240" w:lineRule="auto" w:after="0"/>
              <w:jc w:val="left"/>
            </w:pPr>
            <w:r>
              <w:t>Reserva</w:t>
            </w:r>
          </w:p>
        </w:tc>
        <w:tc>
          <w:tcPr>
            <w:tcW w:type="dxa" w:w="2268"/>
            <w:vAlign w:val="center"/>
          </w:tcPr>
          <w:p>
            <w:pPr>
              <w:keepNext/>
              <w:spacing w:line="240" w:lineRule="auto" w:after="0"/>
              <w:jc w:val="center"/>
            </w:pPr>
            <w:r>
              <w:t>724</w:t>
            </w:r>
          </w:p>
        </w:tc>
        <w:tc>
          <w:tcPr>
            <w:tcW w:type="dxa" w:w="3402"/>
            <w:vAlign w:val="center"/>
          </w:tcPr>
          <w:p>
            <w:pPr>
              <w:keepNext/>
              <w:spacing w:line="240" w:lineRule="auto" w:after="0"/>
              <w:jc w:val="center"/>
            </w:pPr>
            <w:r>
              <w:t>6590</w:t>
            </w:r>
          </w:p>
        </w:tc>
      </w:tr>
      <w:tr>
        <w:trPr>
          <w:cantSplit/>
        </w:trPr>
        <w:tc>
          <w:tcPr>
            <w:tcW w:type="dxa" w:w="3402"/>
            <w:vAlign w:val="center"/>
          </w:tcPr>
          <w:p>
            <w:pPr>
              <w:keepNext w:val="0"/>
              <w:spacing w:line="240" w:lineRule="auto" w:after="0"/>
              <w:jc w:val="left"/>
            </w:pPr>
            <w:r>
              <w:t>Total</w:t>
            </w:r>
          </w:p>
        </w:tc>
        <w:tc>
          <w:tcPr>
            <w:tcW w:type="dxa" w:w="2268"/>
            <w:vAlign w:val="center"/>
          </w:tcPr>
          <w:p>
            <w:pPr>
              <w:keepNext w:val="0"/>
              <w:spacing w:line="240" w:lineRule="auto" w:after="0"/>
              <w:jc w:val="center"/>
            </w:pPr>
            <w:r>
              <w:t>3621</w:t>
            </w:r>
          </w:p>
        </w:tc>
        <w:tc>
          <w:tcPr>
            <w:tcW w:type="dxa" w:w="3402"/>
            <w:vAlign w:val="center"/>
          </w:tcPr>
          <w:p>
            <w:pPr>
              <w:keepNext w:val="0"/>
              <w:spacing w:line="240" w:lineRule="auto" w:after="0"/>
              <w:jc w:val="center"/>
            </w:pPr>
            <w:r>
              <w:t>32304</w:t>
            </w:r>
          </w:p>
        </w:tc>
      </w:tr>
    </w:tbl>
    <w:p>
      <w:pPr>
        <w:spacing w:line="240" w:lineRule="auto"/>
        <w:jc w:val="both"/>
      </w:pPr>
    </w:p>
    <w:p>
      <w:pPr>
        <w:pStyle w:val="Heading2"/>
        <w:spacing w:before="160" w:after="40"/>
        <w:jc w:val="left"/>
      </w:pPr>
      <w:r>
        <w:t>3.2 Eikonal factorizado y adjunto</w:t>
      </w:r>
    </w:p>
    <w:p>
      <w:pPr>
        <w:jc w:val="both"/>
      </w:pPr>
      <w:r>
        <w:t>Por reciprocidad, cada estación es la fuente de un campo. Para su posición física a, distancia r y lentitud s = 1/Vp, escribimos T(x) = r(x)u(x).</w:t>
      </w:r>
    </w:p>
    <w:p>
      <w:pPr>
        <w:keepLines/>
        <w:spacing w:line="240" w:lineRule="auto" w:before="80" w:after="80"/>
        <w:jc w:val="center"/>
      </w:pPr>
      <m:oMath>
        <m:r>
          <m:t>r = |x − a|,   T = ru,   |r∇u + u∇r|² = s²   (1)</m:t>
        </m:r>
      </m:oMath>
    </w:p>
    <w:p>
      <w:pPr>
        <w:jc w:val="both"/>
      </w:pPr>
      <w:r>
        <w:t>En cada eje aceptado, p es el vecino situado a κh del nodo v y q el situado a 2κh, con κ = ±1. Se utiliza segundo orden si q está aceptado y Tq ≤ Tp: (c₀,c₁,c₂) = (3/2,2,−1/2); en otro caso, (1,1,0). La raíz positiva causal satisface:</w:t>
      </w:r>
    </w:p>
    <w:p>
      <w:pPr>
        <w:keepLines/>
        <w:spacing w:line="240" w:lineRule="auto" w:before="80" w:after="80"/>
        <w:jc w:val="center"/>
      </w:pPr>
      <m:oMath>
        <m:r>
          <m:t>Σⱼ (aⱼuᵥ − bⱼ)² = sᵥ²   (2)</m:t>
        </m:r>
      </m:oMath>
    </w:p>
    <w:p>
      <w:pPr>
        <w:keepLines/>
        <w:spacing w:line="240" w:lineRule="auto" w:before="80" w:after="80"/>
        <w:jc w:val="center"/>
      </w:pPr>
      <m:oMath>
        <m:r>
          <m:t>aⱼ = c₀rᵥ/h − κ∂ⱼrᵥ,   bⱼ = rᵥ(c₁uₚ + c₂u_q)/h   (3)</m:t>
        </m:r>
      </m:oMath>
    </w:p>
    <w:p>
      <w:pPr>
        <w:jc w:val="both"/>
      </w:pPr>
      <w:r>
        <w:t>Si el candidato produce Tᵥ menor que un padre aceptado, se recalcula en la forma ordinaria: aⱼ = c₀rᵥ/h y bⱼ = (c₁rₚuₚ + c₂r_qu_q)/h. Esa sustitución conserva segundo orden donde siguen disponibles sus vecinos; no es una garantía de convergencia en cualquier medio. En el nodo fuente se fija u = s y se incluye su derivada.</w:t>
      </w:r>
    </w:p>
    <w:p>
      <w:pPr>
        <w:keepLines/>
        <w:spacing w:line="240" w:lineRule="auto" w:before="80" w:after="80"/>
        <w:jc w:val="center"/>
      </w:pPr>
      <m:oMath>
        <m:r>
          <m:t>Dᵥ = Σⱼ aⱼ(aⱼuᵥ − bⱼ),   ∂uᵥ/∂sᵥ = sᵥ/Dᵥ   (4)</m:t>
        </m:r>
      </m:oMath>
    </w:p>
    <w:p>
      <w:pPr>
        <w:jc w:val="both"/>
      </w:pPr>
      <w:r>
        <w:t>El grafo guarda hasta seis padres por nodo. La derivada respecto a un padre es (aⱼuᵥ − bⱼ)c₁rᵥ/(hDᵥ), reemplazando rᵥ por rₚ en la forma ordinaria; para q se utiliza c₂ y el radio correspondiente. El adjunto acumula estas contribuciones en orden inverso al de aceptación. Diferencia el grafo discreto seleccionado, no los cambios discontinuos de padres.</w:t>
      </w:r>
    </w:p>
    <w:p>
      <w:pPr>
        <w:jc w:val="both"/>
      </w:pPr>
      <w:r>
        <w:t>La malla de cada estación se traslada para que su posición continua a, con z = −elevación, coincida con el nodo fuente. P interpola la lentitud desde la malla común y B la proyecta desde los parámetros. En el hipocentro continuo xₑ se interpola el factor, no un tiempo redondeado a nodos:</w:t>
      </w:r>
    </w:p>
    <w:p>
      <w:pPr>
        <w:keepLines/>
        <w:spacing w:line="240" w:lineRule="auto" w:before="80" w:after="80"/>
        <w:jc w:val="center"/>
      </w:pPr>
      <m:oMath>
        <m:r>
          <m:t>Tₑ = rₑ Iₑu(Ps),   Jₑ = rₑ Iₑ Jᵤ P B   (5)</m:t>
        </m:r>
      </m:oMath>
    </w:p>
    <w:p>
      <w:pPr>
        <w:keepLines/>
        <w:spacing w:line="240" w:lineRule="auto" w:before="80" w:after="80"/>
        <w:jc w:val="center"/>
      </w:pPr>
      <m:oMath>
        <m:r>
          <m:t>∇ₑTₑ = rₑ∇ₑ(Iₑu) + (Iₑu)(xₑ − a)/rₑ   (6)</m:t>
        </m:r>
      </m:oMath>
    </w:p>
    <w:p>
      <w:pPr>
        <w:jc w:val="both"/>
      </w:pPr>
      <w:r>
        <w:t>La ecuación (6) expresa la derivada respecto a la fuente física del evento, evaluada como hipocentro continuo por reciprocidad. I representa la interpolación trilineal del factor en los ocho vértices; su gradiente se deriva de los mismos pesos. La relocalización usada en el ajuste busca nodos vecinos; no utiliza esta expresión como optimizador continuo. Las estaciones permanecen fijas y no se invierten sus coordenadas. La comprobación del Jacobiano de velocidad incluye P, la interpolación de consulta y la derivada del nodo fuente.</w:t>
      </w:r>
    </w:p>
    <w:p>
      <w:pPr>
        <w:jc w:val="both"/>
      </w:pPr>
      <w:r>
        <w:t>La malla directa tiene paso de 10 km y profundidad de −10 a 180 km; los parámetros 3D tienen paso de 20 km desde z = 0. Se usa la proyección AEQD/WGS84 y propagación cartesiana. Por encima de z = 0 se prolonga la velocidad de la roca superficial. La cota del receptor está incluida, pero no se representa una superficie topográfica completa, aire ni curvatura terrestre. El backend C++ calcula campos independientes y filas adjuntas en paralelo.</w:t>
      </w:r>
    </w:p>
    <w:p>
      <w:pPr>
        <w:jc w:val="both"/>
      </w:pPr>
      <w:r>
        <w:t>El perfil inicial vale 5,31 km/s a 0 km, 6,48 a 10 km, 7,22 a 20 km, 8,03 a 40 km y 8,28 entre 100 y 180 km, con interpolación entre niveles. El brazo 1D ajustable tiene 19 parámetros de lentitud a profundidades de 0 a 180 km cada 10 km; la capa negativa comparte el parámetro superficial. El 3D utiliza el soporte activo fijado con la primera linealización, común a los tres pesos. Su desviación c se define como lentitud nodal media de cada celda respecto a la referencia; el incremento se proyecta mediante B y las cotas se aplican a los nodos.</w:t>
      </w:r>
    </w:p>
    <w:p>
      <w:pPr>
        <w:pStyle w:val="Heading2"/>
        <w:spacing w:before="160" w:after="40"/>
        <w:jc w:val="left"/>
      </w:pPr>
      <w:r>
        <w:t>3.3 Funcional y criterios de parada</w:t>
      </w:r>
    </w:p>
    <w:p>
      <w:pPr>
        <w:jc w:val="both"/>
      </w:pPr>
      <w:r>
        <w:t>Para residual de llegada d − T − τ − β, desplazamiento de origen τ, estática β y desviación de lentitud c respecto al perfil inicial, minimizamos:</w:t>
      </w:r>
    </w:p>
    <w:p>
      <w:pPr>
        <w:keepLines/>
        <w:spacing w:line="240" w:lineRule="auto" w:before="80" w:after="80"/>
        <w:jc w:val="center"/>
      </w:pPr>
      <m:oMath>
        <m:r>
          <m:t>Φ = Σ[(d − T − τ − β)/σ]² + λ²|Lc|² + μ²|c|² + ν²|β|²   (7)</m:t>
        </m:r>
      </m:oMath>
    </w:p>
    <w:p>
      <w:pPr>
        <w:jc w:val="both"/>
      </w:pPr>
      <w:r>
        <w:t>Se fija σ = 1 s como escala de peso, μ = 3 y ν = 2. L es la segunda diferencia en profundidad para 1D y el laplaciano discreto de seis vecinos para 3D, sin normalización por distancia. El barrido 3D utiliza λ = 2, 20 y 200; el perfil 1D utiliza λ = 20. Los valores numéricos de λ no equivalen a la misma suavidad física entre bases diferentes. La regularización penaliza la desviación absoluta, no solo el incremento: los términos derechos de la linealización son −λLc, −μc y −νβ. Se fija la estática de CM.ACH1 como datum.</w:t>
      </w:r>
    </w:p>
    <w:p>
      <w:pPr>
        <w:jc w:val="both"/>
      </w:pPr>
      <w:r>
        <w:t>Cada ronda alterna relocalización en una vecindad de ±10 km por eje, ajuste de origen y solución LSMR de velocidad y estáticas (Fong y Saunders, 2011). Se descarta un candidato hipocentral si su origen perfilado por mínimos cuadrados requiere un desplazamiento mayor de 8 s. Se impone Vp entre 4,0 y 8,8 km/s, un cambio nodal máximo del 5 % por ronda, pasos de estática de hasta 0,5 s y desplazamientos de origen de hasta 8 s. La búsqueda de paso evalúa factores 1, 1/2, 1/4, 1/8 y 1/16 sobre el funcional completo. Una reducción del funcional puede acompañarse de aumento del RMS de datos al disminuir la penalización.</w:t>
      </w:r>
    </w:p>
    <w:p>
      <w:pPr>
        <w:jc w:val="both"/>
      </w:pPr>
      <w:r>
        <w:t>La parada se fija sin consultar la reserva: desde la cuarta ronda, dos cambios relativos consecutivos del funcional inferiores a 0,001 y cambios máximos de Vp inferiores a 0,005. El límite de seguridad es 12 rondas; alcanzarlo se informa como falta de convergencia bajo ese criterio. Los RMS de ajuste y reserva se conservan por ronda. El peso intermedio λ = 20 se elige para las figuras antes de obtener los resultados, no por una ventaja en reserva.</w:t>
      </w:r>
    </w:p>
    <w:p>
      <w:pPr>
        <w:pStyle w:val="Heading2"/>
        <w:spacing w:before="160" w:after="40"/>
        <w:jc w:val="left"/>
      </w:pPr>
      <w:r>
        <w:t>3.4 Validación</w:t>
      </w:r>
    </w:p>
    <w:p>
      <w:pPr>
        <w:jc w:val="both"/>
      </w:pPr>
      <w:r>
        <w:t>LSMR usa tolerancias absolutas y relativas de 10⁻⁶. Si alcanza el límite inicial de 1000 iteraciones, se repite el sistema desde cero con hasta 10000 y, si es necesario, 30000 iteraciones, sin cambiar las tolerancias ni la regularización. Una detención por ese límite no se acepta como solución lineal convergente.</w:t>
      </w:r>
    </w:p>
    <w:p>
      <w:pPr>
        <w:jc w:val="both"/>
      </w:pPr>
      <w:r>
        <w:t>La reserva mantiene coordenadas y tiempos de origen del catálogo; solo aplica la velocidad ajustada y las estáticas aprendidas. Es una predicción condicionada al catálogo, no una validación independiente de posiciones. En cinco lecturas de cuatro receptores presentes únicamente en reserva, la estática se conserva en cero, sin estimarla con la reserva. Las diferencias de RMS se remuestrean de forma pareada por evento en 3000 réplicas. El barrido completo se informa; emplear esa misma reserva para seleccionar un ganador no proporcionaría una evaluación independiente de selección.</w:t>
      </w:r>
    </w:p>
    <w:p>
      <w:pPr>
        <w:jc w:val="both"/>
      </w:pPr>
      <w:r>
        <w:t>El refinamiento usa las mismas 4597 lecturas de seis estaciones preseleccionadas, incluidas 915 lecturas reservadas de 464 eventos. Para cada modelo final fijo se calculan tiempos a 10, 5 y 2,5 km, interpolando lentitud y manteniendo estáticas. Las tolerancias del último cambio son RMS ≤ 0,100 s y percentil 95 absoluto ≤ 0,250 s. Se comparan también los RMS reservados a cada paso. Las diferencias de malla son indicadores empíricos; no cotas rigurosas de error continuo ni inversiones repetidas a malla fina.</w:t>
      </w:r>
    </w:p>
    <w:p>
      <w:pPr>
        <w:jc w:val="both"/>
      </w:pPr>
      <w:r>
        <w:t>El damero tiene bloques de 40 km y amplitud de ±3 %, dentro de las cotas físicas. Sus tiempos de verdad se generan a 5 km y se invierten a 10 km con cuatro rondas por brazo, presupuesto común que no acredita convergencia iterativa. Los errores efectivos se extraen de los residuales del perfil inicial en coordenadas continuas del catálogo de entrenamiento, descontando estáticas y centrando la mediana; se remuestrean con semilla fija. No se añaden además errores independientes de origen, estáticas o ruido. Las posiciones iniciales mantienen perturbaciones de catálogo de ±5 km por eje.</w:t>
      </w:r>
    </w:p>
    <w:p>
      <w:pPr>
        <w:jc w:val="both"/>
      </w:pPr>
      <w:r>
        <w:t>Esa distribución representa error efectivo de datos, catálogo y referencia; no incertidumbre aislada de picks. Su combinación con perturbaciones de posición puede aumentar la dificultad al representar parte de la dispersión de catálogo dos veces. No modela ramas separadas ni correlación espacial de atípicos. Reportamos correlación y error L2 de anomalías promediadas en el soporte común, junto con la degradación o mejora de hipocentros. Las puertas de recuperación son r ≥ 0,7 y L2 relativo ≤ 0,6.</w:t>
      </w:r>
    </w:p>
    <w:p>
      <w:pPr>
        <w:jc w:val="both"/>
      </w:pPr>
      <w:r>
        <w:t>El contraste de elevación repite el control 1D fijo cambiando únicamente las cotas a cero, con los mismos criterios de parada. Se regresan las estáticas contra elevación, latitud y longitud y se remuestrean estaciones pareadas; ese intervalo no representa dependencia espacial ni covariables geológicas. Una reserva espacial auxiliar usa tres bandas de latitud, con exclusión de entrenamiento a 20 km del grupo reservado, tres rondas y penalización de incrementos. Sus resultados se mantienen separados del protocolo de convergencia y regularización absoluta.</w:t>
      </w:r>
    </w:p>
    <w:p>
      <w:pPr>
        <w:pStyle w:val="Heading2"/>
        <w:spacing w:before="160" w:after="40"/>
        <w:jc w:val="left"/>
      </w:pPr>
      <w:r>
        <w:t>3.5 Hipótesis geométricas de Nazca y Caribe</w:t>
      </w:r>
    </w:p>
    <w:p>
      <w:pPr>
        <w:jc w:val="both"/>
      </w:pPr>
      <w:r>
        <w:t>El análisis geométrico se actualiza con el volumen final del brazo λ = 20 y los 2897 eventos de entrenamiento relocalizados, sin modificar la inversión. Extraemos fragmentos de isovalores de ΔVp = 100(Vp final/Vp inicial − 1), a ±1, ±3 y ±5 %, mediante tetraedros sobre muestreo de 20 km. Solo se usan cubos cuyos ocho vértices pertenecen al soporte activo y tienen profundidad ≥40 km; no se cierran los huecos con valores artificiales. Son fragmentos de anomalías calculadas que se someten a interpretación, no interfaces tectónicas recuperadas de forma validada.</w:t>
      </w:r>
    </w:p>
    <w:p>
      <w:pPr>
        <w:jc w:val="both"/>
      </w:pPr>
      <w:r>
        <w:t>Para examinar la división espacial usamos 1160 eventos con profundidad ≥40 km y brecha ≤180°, agregados en 706 celdas tridimensionales de 20 km con igual peso por celda. K-means recibe únicamente las medianas x, y y profundidad; la diagonal y Slab2 no participan en su ajuste. Se comparan k = 2–6 con 30 inicializaciones, distancia euclidiana en km y coordenadas estandarizadas. Se selecciona la menor inercia de cada conjunto y se informa la silueta. El acuerdo con la diagonal se calcula después, maximizando sobre la permutación de las dos etiquetas. Los bisectores de k = 2 se representan a 60, 80 y 100 km; por construcción dependen de la profundidad y de la métrica.</w:t>
      </w:r>
    </w:p>
    <w:p>
      <w:pPr>
        <w:jc w:val="both"/>
      </w:pPr>
      <w:r>
        <w:t>La hipótesis tectónica conserva la asignación geográfica histórica: Nazca al suroccidente y Caribe al nororiente de la diagonal entre 72,5° O, 6,0° N y 76,3° O, 9,2° N. Sus superficies se reajustan como NURBS cúbicas con pesos racionales unitarios, caso particular B-spline, utilizando 14 × 18 y 10 × 14 controles y penalizaciones de segunda diferencia de 0,8 y 2, respectivamente. Las profundidades de los coeficientes se acotan entre 10 y 180 km; tres actualizaciones robustas reducen el peso de residuales verticales mayores de 15 km. Nazca incorpora anclajes débiles Slab2 SAM (Hayes et al., 2018), desplazados nominalmente 15 km, con pesos 0,15 × 8/clip(σ,5,30); no se descartan sismos por incompatibilidad con Slab2. Caribe usa profundidades del control sísmico más próximo en una envolvente de 75 km con peso 0,12, sin anclajes Slab2 Caribe. La envolvente recorta la representación y no acredita iluminación. Mayor opacidad exige proximidad 3D ≤40 km a controles y soporte Vp activo; el resto muestra continuidad interpolada. El espesor de 30 km es un escenario geométrico y no se usa para alterar velocidades. La clasificación NURBS sigue la diagonal propuesta, mientras k-means es un contraste independiente de esa asignación; ninguno impone un contacto común en profundidad.</w:t>
      </w:r>
    </w:p>
    <w:p>
      <w:pPr>
        <w:pStyle w:val="Heading1"/>
        <w:spacing w:before="160" w:after="40"/>
        <w:jc w:val="left"/>
      </w:pPr>
      <w:r>
        <w:t>4 Resultados</w:t>
      </w:r>
    </w:p>
    <w:p>
      <w:pPr>
        <w:pStyle w:val="Heading2"/>
        <w:spacing w:before="160" w:after="40"/>
        <w:jc w:val="left"/>
      </w:pPr>
      <w:r>
        <w:t>4.1 Consistencia del operador</w:t>
      </w:r>
    </w:p>
    <w:p>
      <w:pPr>
        <w:jc w:val="both"/>
      </w:pPr>
      <w:r>
        <w:t>En un medio homogéneo regional, el máximo error analítico fue 4,46 × 10⁻¹⁰ s. La prueba manufacturada obtuvo RMS de 0,001542, 0,000668 y 0,000234 s a pasos de 10, 5 y 2,5 km. El Jacobiano proyectado con cotas y traslado de malla coincidió con diferencias finitas con error relativo de 1,49 × 10⁻⁸; una comprobación con receptores e hipocentros reales produjo 4,44 × 10⁻⁷. Para la base de profundidad, el error fue 2.79e-10. Estas verificaciones comprueban consistencia del operador; no recuperación geológica.</w:t>
      </w:r>
    </w:p>
    <w:p>
      <w:pPr>
        <w:pStyle w:val="Heading2"/>
        <w:spacing w:before="160" w:after="40"/>
        <w:jc w:val="left"/>
      </w:pPr>
      <w:r>
        <w:t>4.2 Ajuste y predicción</w:t>
      </w:r>
    </w:p>
    <w:p>
      <w:pPr>
        <w:keepNext/>
        <w:spacing w:line="240" w:lineRule="auto" w:before="120"/>
        <w:jc w:val="both"/>
      </w:pPr>
      <w:r>
        <w:t>Tabla 2. Resultados de los cinco brazos sobre la misma partición.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824"/>
        <w:gridCol w:w="1824"/>
        <w:gridCol w:w="1824"/>
        <w:gridCol w:w="1824"/>
        <w:gridCol w:w="1824"/>
      </w:tblGrid>
      <w:tr>
        <w:trPr>
          <w:tblHeader/>
          <w:cantSplit/>
        </w:trPr>
        <w:tc>
          <w:tcPr>
            <w:tcW w:type="dxa" w:w="2268"/>
            <w:vAlign w:val="center"/>
            <w:shd w:fill="EDEDED"/>
          </w:tcPr>
          <w:p>
            <w:pPr>
              <w:keepNext/>
              <w:spacing w:line="240" w:lineRule="auto" w:after="0"/>
              <w:jc w:val="left"/>
            </w:pPr>
            <w:r>
              <w:rPr>
                <w:b/>
              </w:rPr>
              <w:t>Modelo</w:t>
            </w:r>
          </w:p>
        </w:tc>
        <w:tc>
          <w:tcPr>
            <w:tcW w:type="dxa" w:w="1134"/>
            <w:vAlign w:val="center"/>
            <w:shd w:fill="EDEDED"/>
          </w:tcPr>
          <w:p>
            <w:pPr>
              <w:keepNext/>
              <w:spacing w:line="240" w:lineRule="auto" w:after="0"/>
              <w:jc w:val="center"/>
            </w:pPr>
            <w:r>
              <w:rPr>
                <w:b/>
              </w:rPr>
              <w:t>Rondas</w:t>
            </w:r>
          </w:p>
        </w:tc>
        <w:tc>
          <w:tcPr>
            <w:tcW w:type="dxa" w:w="1531"/>
            <w:vAlign w:val="center"/>
            <w:shd w:fill="EDEDED"/>
          </w:tcPr>
          <w:p>
            <w:pPr>
              <w:keepNext/>
              <w:spacing w:line="240" w:lineRule="auto" w:after="0"/>
              <w:jc w:val="center"/>
            </w:pPr>
            <w:r>
              <w:rPr>
                <w:b/>
              </w:rPr>
              <w:t>Parada¹</w:t>
            </w:r>
          </w:p>
        </w:tc>
        <w:tc>
          <w:tcPr>
            <w:tcW w:type="dxa" w:w="2069"/>
            <w:vAlign w:val="center"/>
            <w:shd w:fill="EDEDED"/>
          </w:tcPr>
          <w:p>
            <w:pPr>
              <w:keepNext/>
              <w:spacing w:line="240" w:lineRule="auto" w:after="0"/>
              <w:jc w:val="center"/>
            </w:pPr>
            <w:r>
              <w:rPr>
                <w:b/>
              </w:rPr>
              <w:t>RMS ajuste, s</w:t>
            </w:r>
          </w:p>
        </w:tc>
        <w:tc>
          <w:tcPr>
            <w:tcW w:type="dxa" w:w="2069"/>
            <w:vAlign w:val="center"/>
            <w:shd w:fill="EDEDED"/>
          </w:tcPr>
          <w:p>
            <w:pPr>
              <w:keepNext/>
              <w:spacing w:line="240" w:lineRule="auto" w:after="0"/>
              <w:jc w:val="center"/>
            </w:pPr>
            <w:r>
              <w:rPr>
                <w:b/>
              </w:rPr>
              <w:t>RMS reserva, s</w:t>
            </w:r>
          </w:p>
        </w:tc>
      </w:tr>
      <w:tr>
        <w:trPr>
          <w:cantSplit/>
        </w:trPr>
        <w:tc>
          <w:tcPr>
            <w:tcW w:type="dxa" w:w="2268"/>
            <w:vAlign w:val="center"/>
          </w:tcPr>
          <w:p>
            <w:pPr>
              <w:keepNext/>
              <w:spacing w:line="240" w:lineRule="auto" w:after="0"/>
              <w:jc w:val="left"/>
            </w:pPr>
            <w:r>
              <w:t>1D fijo</w:t>
            </w:r>
          </w:p>
        </w:tc>
        <w:tc>
          <w:tcPr>
            <w:tcW w:type="dxa" w:w="1134"/>
            <w:vAlign w:val="center"/>
          </w:tcPr>
          <w:p>
            <w:pPr>
              <w:keepNext/>
              <w:spacing w:line="240" w:lineRule="auto" w:after="0"/>
              <w:jc w:val="center"/>
            </w:pPr>
            <w:r>
              <w:t>11</w:t>
            </w:r>
          </w:p>
        </w:tc>
        <w:tc>
          <w:tcPr>
            <w:tcW w:type="dxa" w:w="1531"/>
            <w:vAlign w:val="center"/>
          </w:tcPr>
          <w:p>
            <w:pPr>
              <w:keepNext/>
              <w:spacing w:line="240" w:lineRule="auto" w:after="0"/>
              <w:jc w:val="center"/>
            </w:pPr>
            <w:r>
              <w:t>Criterio</w:t>
            </w:r>
          </w:p>
        </w:tc>
        <w:tc>
          <w:tcPr>
            <w:tcW w:type="dxa" w:w="2069"/>
            <w:vAlign w:val="center"/>
          </w:tcPr>
          <w:p>
            <w:pPr>
              <w:keepNext/>
              <w:spacing w:line="240" w:lineRule="auto" w:after="0"/>
              <w:jc w:val="center"/>
            </w:pPr>
            <w:r>
              <w:t>0,760</w:t>
            </w:r>
          </w:p>
        </w:tc>
        <w:tc>
          <w:tcPr>
            <w:tcW w:type="dxa" w:w="2069"/>
            <w:vAlign w:val="center"/>
          </w:tcPr>
          <w:p>
            <w:pPr>
              <w:keepNext/>
              <w:spacing w:line="240" w:lineRule="auto" w:after="0"/>
              <w:jc w:val="center"/>
            </w:pPr>
            <w:r>
              <w:t>1,881</w:t>
            </w:r>
          </w:p>
        </w:tc>
      </w:tr>
      <w:tr>
        <w:trPr>
          <w:cantSplit/>
        </w:trPr>
        <w:tc>
          <w:tcPr>
            <w:tcW w:type="dxa" w:w="2268"/>
            <w:vAlign w:val="center"/>
          </w:tcPr>
          <w:p>
            <w:pPr>
              <w:keepNext/>
              <w:spacing w:line="240" w:lineRule="auto" w:after="0"/>
              <w:jc w:val="left"/>
            </w:pPr>
            <w:r>
              <w:t>1D ajustable</w:t>
            </w:r>
          </w:p>
        </w:tc>
        <w:tc>
          <w:tcPr>
            <w:tcW w:type="dxa" w:w="1134"/>
            <w:vAlign w:val="center"/>
          </w:tcPr>
          <w:p>
            <w:pPr>
              <w:keepNext/>
              <w:spacing w:line="240" w:lineRule="auto" w:after="0"/>
              <w:jc w:val="center"/>
            </w:pPr>
            <w:r>
              <w:t>12</w:t>
            </w:r>
          </w:p>
        </w:tc>
        <w:tc>
          <w:tcPr>
            <w:tcW w:type="dxa" w:w="1531"/>
            <w:vAlign w:val="center"/>
          </w:tcPr>
          <w:p>
            <w:pPr>
              <w:keepNext/>
              <w:spacing w:line="240" w:lineRule="auto" w:after="0"/>
              <w:jc w:val="center"/>
            </w:pPr>
            <w:r>
              <w:t>Límite</w:t>
            </w:r>
          </w:p>
        </w:tc>
        <w:tc>
          <w:tcPr>
            <w:tcW w:type="dxa" w:w="2069"/>
            <w:vAlign w:val="center"/>
          </w:tcPr>
          <w:p>
            <w:pPr>
              <w:keepNext/>
              <w:spacing w:line="240" w:lineRule="auto" w:after="0"/>
              <w:jc w:val="center"/>
            </w:pPr>
            <w:r>
              <w:t>0,682</w:t>
            </w:r>
          </w:p>
        </w:tc>
        <w:tc>
          <w:tcPr>
            <w:tcW w:type="dxa" w:w="2069"/>
            <w:vAlign w:val="center"/>
          </w:tcPr>
          <w:p>
            <w:pPr>
              <w:keepNext/>
              <w:spacing w:line="240" w:lineRule="auto" w:after="0"/>
              <w:jc w:val="center"/>
            </w:pPr>
            <w:r>
              <w:t>1,763</w:t>
            </w:r>
          </w:p>
        </w:tc>
      </w:tr>
      <w:tr>
        <w:trPr>
          <w:cantSplit/>
        </w:trPr>
        <w:tc>
          <w:tcPr>
            <w:tcW w:type="dxa" w:w="2268"/>
            <w:vAlign w:val="center"/>
          </w:tcPr>
          <w:p>
            <w:pPr>
              <w:keepNext/>
              <w:spacing w:line="240" w:lineRule="auto" w:after="0"/>
              <w:jc w:val="left"/>
            </w:pPr>
            <w:r>
              <w:t>3D λ = 2</w:t>
            </w:r>
          </w:p>
        </w:tc>
        <w:tc>
          <w:tcPr>
            <w:tcW w:type="dxa" w:w="1134"/>
            <w:vAlign w:val="center"/>
          </w:tcPr>
          <w:p>
            <w:pPr>
              <w:keepNext/>
              <w:spacing w:line="240" w:lineRule="auto" w:after="0"/>
              <w:jc w:val="center"/>
            </w:pPr>
            <w:r>
              <w:t>12</w:t>
            </w:r>
          </w:p>
        </w:tc>
        <w:tc>
          <w:tcPr>
            <w:tcW w:type="dxa" w:w="1531"/>
            <w:vAlign w:val="center"/>
          </w:tcPr>
          <w:p>
            <w:pPr>
              <w:keepNext/>
              <w:spacing w:line="240" w:lineRule="auto" w:after="0"/>
              <w:jc w:val="center"/>
            </w:pPr>
            <w:r>
              <w:t>Límite</w:t>
            </w:r>
          </w:p>
        </w:tc>
        <w:tc>
          <w:tcPr>
            <w:tcW w:type="dxa" w:w="2069"/>
            <w:vAlign w:val="center"/>
          </w:tcPr>
          <w:p>
            <w:pPr>
              <w:keepNext/>
              <w:spacing w:line="240" w:lineRule="auto" w:after="0"/>
              <w:jc w:val="center"/>
            </w:pPr>
            <w:r>
              <w:t>0,572</w:t>
            </w:r>
          </w:p>
        </w:tc>
        <w:tc>
          <w:tcPr>
            <w:tcW w:type="dxa" w:w="2069"/>
            <w:vAlign w:val="center"/>
          </w:tcPr>
          <w:p>
            <w:pPr>
              <w:keepNext/>
              <w:spacing w:line="240" w:lineRule="auto" w:after="0"/>
              <w:jc w:val="center"/>
            </w:pPr>
            <w:r>
              <w:t>1,692</w:t>
            </w:r>
          </w:p>
        </w:tc>
      </w:tr>
      <w:tr>
        <w:trPr>
          <w:cantSplit/>
        </w:trPr>
        <w:tc>
          <w:tcPr>
            <w:tcW w:type="dxa" w:w="2268"/>
            <w:vAlign w:val="center"/>
          </w:tcPr>
          <w:p>
            <w:pPr>
              <w:keepNext/>
              <w:spacing w:line="240" w:lineRule="auto" w:after="0"/>
              <w:jc w:val="left"/>
            </w:pPr>
            <w:r>
              <w:t>3D λ = 20</w:t>
            </w:r>
          </w:p>
        </w:tc>
        <w:tc>
          <w:tcPr>
            <w:tcW w:type="dxa" w:w="1134"/>
            <w:vAlign w:val="center"/>
          </w:tcPr>
          <w:p>
            <w:pPr>
              <w:keepNext/>
              <w:spacing w:line="240" w:lineRule="auto" w:after="0"/>
              <w:jc w:val="center"/>
            </w:pPr>
            <w:r>
              <w:t>12</w:t>
            </w:r>
          </w:p>
        </w:tc>
        <w:tc>
          <w:tcPr>
            <w:tcW w:type="dxa" w:w="1531"/>
            <w:vAlign w:val="center"/>
          </w:tcPr>
          <w:p>
            <w:pPr>
              <w:keepNext/>
              <w:spacing w:line="240" w:lineRule="auto" w:after="0"/>
              <w:jc w:val="center"/>
            </w:pPr>
            <w:r>
              <w:t>Límite</w:t>
            </w:r>
          </w:p>
        </w:tc>
        <w:tc>
          <w:tcPr>
            <w:tcW w:type="dxa" w:w="2069"/>
            <w:vAlign w:val="center"/>
          </w:tcPr>
          <w:p>
            <w:pPr>
              <w:keepNext/>
              <w:spacing w:line="240" w:lineRule="auto" w:after="0"/>
              <w:jc w:val="center"/>
            </w:pPr>
            <w:r>
              <w:t>0,587</w:t>
            </w:r>
          </w:p>
        </w:tc>
        <w:tc>
          <w:tcPr>
            <w:tcW w:type="dxa" w:w="2069"/>
            <w:vAlign w:val="center"/>
          </w:tcPr>
          <w:p>
            <w:pPr>
              <w:keepNext/>
              <w:spacing w:line="240" w:lineRule="auto" w:after="0"/>
              <w:jc w:val="center"/>
            </w:pPr>
            <w:r>
              <w:t>1,935</w:t>
            </w:r>
          </w:p>
        </w:tc>
      </w:tr>
      <w:tr>
        <w:trPr>
          <w:cantSplit/>
        </w:trPr>
        <w:tc>
          <w:tcPr>
            <w:tcW w:type="dxa" w:w="2268"/>
            <w:vAlign w:val="center"/>
          </w:tcPr>
          <w:p>
            <w:pPr>
              <w:keepNext w:val="0"/>
              <w:spacing w:line="240" w:lineRule="auto" w:after="0"/>
              <w:jc w:val="left"/>
            </w:pPr>
            <w:r>
              <w:t>3D λ = 200</w:t>
            </w:r>
          </w:p>
        </w:tc>
        <w:tc>
          <w:tcPr>
            <w:tcW w:type="dxa" w:w="1134"/>
            <w:vAlign w:val="center"/>
          </w:tcPr>
          <w:p>
            <w:pPr>
              <w:keepNext w:val="0"/>
              <w:spacing w:line="240" w:lineRule="auto" w:after="0"/>
              <w:jc w:val="center"/>
            </w:pPr>
            <w:r>
              <w:t>12</w:t>
            </w:r>
          </w:p>
        </w:tc>
        <w:tc>
          <w:tcPr>
            <w:tcW w:type="dxa" w:w="1531"/>
            <w:vAlign w:val="center"/>
          </w:tcPr>
          <w:p>
            <w:pPr>
              <w:keepNext w:val="0"/>
              <w:spacing w:line="240" w:lineRule="auto" w:after="0"/>
              <w:jc w:val="center"/>
            </w:pPr>
            <w:r>
              <w:t>Límite</w:t>
            </w:r>
          </w:p>
        </w:tc>
        <w:tc>
          <w:tcPr>
            <w:tcW w:type="dxa" w:w="2069"/>
            <w:vAlign w:val="center"/>
          </w:tcPr>
          <w:p>
            <w:pPr>
              <w:keepNext w:val="0"/>
              <w:spacing w:line="240" w:lineRule="auto" w:after="0"/>
              <w:jc w:val="center"/>
            </w:pPr>
            <w:r>
              <w:t>0,635</w:t>
            </w:r>
          </w:p>
        </w:tc>
        <w:tc>
          <w:tcPr>
            <w:tcW w:type="dxa" w:w="2069"/>
            <w:vAlign w:val="center"/>
          </w:tcPr>
          <w:p>
            <w:pPr>
              <w:keepNext w:val="0"/>
              <w:spacing w:line="240" w:lineRule="auto" w:after="0"/>
              <w:jc w:val="center"/>
            </w:pPr>
            <w:r>
              <w:t>1,701</w:t>
            </w:r>
          </w:p>
        </w:tc>
      </w:tr>
    </w:tbl>
    <w:p>
      <w:pPr>
        <w:spacing w:line="240" w:lineRule="auto"/>
        <w:jc w:val="both"/>
      </w:pPr>
    </w:p>
    <w:p>
      <w:pPr>
        <w:spacing w:line="240" w:lineRule="auto"/>
        <w:jc w:val="both"/>
      </w:pPr>
      <w:r>
        <w:t>¹ Criterio: estabilización del funcional y de Vp según §3.3; límite: 12 rondas. Las trayectorias completas se presentan en la Figura S2 y el archivo RMS por ronda, sin elegir retrospectivamente la mejor ronda por reserva.</w:t>
      </w:r>
    </w:p>
    <w:p>
      <w:pPr>
        <w:jc w:val="both"/>
      </w:pPr>
      <w:r>
        <w:t>Para λ = 20, la diferencia RMS 3D menos 1D ajustable es 0,171955 s, con IC95 [0,131366; 0,212137]. El intervalo es condicional a la partición, modelos y malla, y no incorpora error de discretización. La diferencia entre los perfiles fijo y ajustable es −⁠0,118195 s. Su signo se informa sin presuponer que el control ajustable deba mejorar.</w:t>
      </w:r>
    </w:p>
    <w:p>
      <w:pPr>
        <w:keepNext/>
        <w:spacing w:line="240" w:lineRule="auto" w:before="120"/>
        <w:jc w:val="both"/>
      </w:pPr>
      <w:r>
        <w:t>Tabla 3. Sensibilidad a la suavidad. RMS de malla en el último refinamiento; rugosidad de diferencias entre celdas vecinas.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824"/>
        <w:gridCol w:w="1824"/>
        <w:gridCol w:w="1824"/>
        <w:gridCol w:w="1824"/>
        <w:gridCol w:w="1824"/>
      </w:tblGrid>
      <w:tr>
        <w:trPr>
          <w:tblHeader/>
          <w:cantSplit/>
        </w:trPr>
        <w:tc>
          <w:tcPr>
            <w:tcW w:type="dxa" w:w="794"/>
            <w:vAlign w:val="center"/>
            <w:shd w:fill="EDEDED"/>
          </w:tcPr>
          <w:p>
            <w:pPr>
              <w:keepNext/>
              <w:spacing w:line="240" w:lineRule="auto" w:after="0"/>
              <w:jc w:val="left"/>
            </w:pPr>
            <w:r>
              <w:rPr>
                <w:b/>
              </w:rPr>
              <w:t>λ</w:t>
            </w:r>
          </w:p>
        </w:tc>
        <w:tc>
          <w:tcPr>
            <w:tcW w:type="dxa" w:w="2069"/>
            <w:vAlign w:val="center"/>
            <w:shd w:fill="EDEDED"/>
          </w:tcPr>
          <w:p>
            <w:pPr>
              <w:keepNext/>
              <w:spacing w:line="240" w:lineRule="auto" w:after="0"/>
              <w:jc w:val="center"/>
            </w:pPr>
            <w:r>
              <w:rPr>
                <w:b/>
              </w:rPr>
              <w:t>RMS reserva, s</w:t>
            </w:r>
          </w:p>
        </w:tc>
        <w:tc>
          <w:tcPr>
            <w:tcW w:type="dxa" w:w="2069"/>
            <w:vAlign w:val="center"/>
            <w:shd w:fill="EDEDED"/>
          </w:tcPr>
          <w:p>
            <w:pPr>
              <w:keepNext/>
              <w:spacing w:line="240" w:lineRule="auto" w:after="0"/>
              <w:jc w:val="center"/>
            </w:pPr>
            <w:r>
              <w:rPr>
                <w:b/>
              </w:rPr>
              <w:t>Malla RMS, s</w:t>
            </w:r>
          </w:p>
        </w:tc>
        <w:tc>
          <w:tcPr>
            <w:tcW w:type="dxa" w:w="2069"/>
            <w:vAlign w:val="center"/>
            <w:shd w:fill="EDEDED"/>
          </w:tcPr>
          <w:p>
            <w:pPr>
              <w:keepNext/>
              <w:spacing w:line="240" w:lineRule="auto" w:after="0"/>
              <w:jc w:val="center"/>
            </w:pPr>
            <w:r>
              <w:rPr>
                <w:b/>
              </w:rPr>
              <w:t>Malla p95, s</w:t>
            </w:r>
          </w:p>
        </w:tc>
        <w:tc>
          <w:tcPr>
            <w:tcW w:type="dxa" w:w="2069"/>
            <w:vAlign w:val="center"/>
            <w:shd w:fill="EDEDED"/>
          </w:tcPr>
          <w:p>
            <w:pPr>
              <w:keepNext/>
              <w:spacing w:line="240" w:lineRule="auto" w:after="0"/>
              <w:jc w:val="center"/>
            </w:pPr>
            <w:r>
              <w:rPr>
                <w:b/>
              </w:rPr>
              <w:t>Rugosidad, s/km</w:t>
            </w:r>
          </w:p>
        </w:tc>
      </w:tr>
      <w:tr>
        <w:trPr>
          <w:cantSplit/>
        </w:trPr>
        <w:tc>
          <w:tcPr>
            <w:tcW w:type="dxa" w:w="794"/>
            <w:vAlign w:val="center"/>
          </w:tcPr>
          <w:p>
            <w:pPr>
              <w:keepNext/>
              <w:spacing w:line="240" w:lineRule="auto" w:after="0"/>
              <w:jc w:val="left"/>
            </w:pPr>
            <w:r>
              <w:t>2</w:t>
            </w:r>
          </w:p>
        </w:tc>
        <w:tc>
          <w:tcPr>
            <w:tcW w:type="dxa" w:w="2069"/>
            <w:vAlign w:val="center"/>
          </w:tcPr>
          <w:p>
            <w:pPr>
              <w:keepNext/>
              <w:spacing w:line="240" w:lineRule="auto" w:after="0"/>
              <w:jc w:val="center"/>
            </w:pPr>
            <w:r>
              <w:t>1,692</w:t>
            </w:r>
          </w:p>
        </w:tc>
        <w:tc>
          <w:tcPr>
            <w:tcW w:type="dxa" w:w="2069"/>
            <w:vAlign w:val="center"/>
          </w:tcPr>
          <w:p>
            <w:pPr>
              <w:keepNext/>
              <w:spacing w:line="240" w:lineRule="auto" w:after="0"/>
              <w:jc w:val="center"/>
            </w:pPr>
            <w:r>
              <w:t>0,246</w:t>
            </w:r>
          </w:p>
        </w:tc>
        <w:tc>
          <w:tcPr>
            <w:tcW w:type="dxa" w:w="2069"/>
            <w:vAlign w:val="center"/>
          </w:tcPr>
          <w:p>
            <w:pPr>
              <w:keepNext/>
              <w:spacing w:line="240" w:lineRule="auto" w:after="0"/>
              <w:jc w:val="center"/>
            </w:pPr>
            <w:r>
              <w:t>0,519</w:t>
            </w:r>
          </w:p>
        </w:tc>
        <w:tc>
          <w:tcPr>
            <w:tcW w:type="dxa" w:w="2069"/>
            <w:vAlign w:val="center"/>
          </w:tcPr>
          <w:p>
            <w:pPr>
              <w:keepNext/>
              <w:spacing w:line="240" w:lineRule="auto" w:after="0"/>
              <w:jc w:val="center"/>
            </w:pPr>
            <w:r>
              <w:t>0,02284</w:t>
            </w:r>
          </w:p>
        </w:tc>
      </w:tr>
      <w:tr>
        <w:trPr>
          <w:cantSplit/>
        </w:trPr>
        <w:tc>
          <w:tcPr>
            <w:tcW w:type="dxa" w:w="794"/>
            <w:vAlign w:val="center"/>
          </w:tcPr>
          <w:p>
            <w:pPr>
              <w:keepNext/>
              <w:spacing w:line="240" w:lineRule="auto" w:after="0"/>
              <w:jc w:val="left"/>
            </w:pPr>
            <w:r>
              <w:t>20</w:t>
            </w:r>
          </w:p>
        </w:tc>
        <w:tc>
          <w:tcPr>
            <w:tcW w:type="dxa" w:w="2069"/>
            <w:vAlign w:val="center"/>
          </w:tcPr>
          <w:p>
            <w:pPr>
              <w:keepNext/>
              <w:spacing w:line="240" w:lineRule="auto" w:after="0"/>
              <w:jc w:val="center"/>
            </w:pPr>
            <w:r>
              <w:t>1,935</w:t>
            </w:r>
          </w:p>
        </w:tc>
        <w:tc>
          <w:tcPr>
            <w:tcW w:type="dxa" w:w="2069"/>
            <w:vAlign w:val="center"/>
          </w:tcPr>
          <w:p>
            <w:pPr>
              <w:keepNext/>
              <w:spacing w:line="240" w:lineRule="auto" w:after="0"/>
              <w:jc w:val="center"/>
            </w:pPr>
            <w:r>
              <w:t>0,057</w:t>
            </w:r>
          </w:p>
        </w:tc>
        <w:tc>
          <w:tcPr>
            <w:tcW w:type="dxa" w:w="2069"/>
            <w:vAlign w:val="center"/>
          </w:tcPr>
          <w:p>
            <w:pPr>
              <w:keepNext/>
              <w:spacing w:line="240" w:lineRule="auto" w:after="0"/>
              <w:jc w:val="center"/>
            </w:pPr>
            <w:r>
              <w:t>0,113</w:t>
            </w:r>
          </w:p>
        </w:tc>
        <w:tc>
          <w:tcPr>
            <w:tcW w:type="dxa" w:w="2069"/>
            <w:vAlign w:val="center"/>
          </w:tcPr>
          <w:p>
            <w:pPr>
              <w:keepNext/>
              <w:spacing w:line="240" w:lineRule="auto" w:after="0"/>
              <w:jc w:val="center"/>
            </w:pPr>
            <w:r>
              <w:t>0,00537</w:t>
            </w:r>
          </w:p>
        </w:tc>
      </w:tr>
      <w:tr>
        <w:trPr>
          <w:cantSplit/>
        </w:trPr>
        <w:tc>
          <w:tcPr>
            <w:tcW w:type="dxa" w:w="794"/>
            <w:vAlign w:val="center"/>
          </w:tcPr>
          <w:p>
            <w:pPr>
              <w:keepNext w:val="0"/>
              <w:spacing w:line="240" w:lineRule="auto" w:after="0"/>
              <w:jc w:val="left"/>
            </w:pPr>
            <w:r>
              <w:t>200</w:t>
            </w:r>
          </w:p>
        </w:tc>
        <w:tc>
          <w:tcPr>
            <w:tcW w:type="dxa" w:w="2069"/>
            <w:vAlign w:val="center"/>
          </w:tcPr>
          <w:p>
            <w:pPr>
              <w:keepNext w:val="0"/>
              <w:spacing w:line="240" w:lineRule="auto" w:after="0"/>
              <w:jc w:val="center"/>
            </w:pPr>
            <w:r>
              <w:t>1,701</w:t>
            </w:r>
          </w:p>
        </w:tc>
        <w:tc>
          <w:tcPr>
            <w:tcW w:type="dxa" w:w="2069"/>
            <w:vAlign w:val="center"/>
          </w:tcPr>
          <w:p>
            <w:pPr>
              <w:keepNext w:val="0"/>
              <w:spacing w:line="240" w:lineRule="auto" w:after="0"/>
              <w:jc w:val="center"/>
            </w:pPr>
            <w:r>
              <w:t>0,019</w:t>
            </w:r>
          </w:p>
        </w:tc>
        <w:tc>
          <w:tcPr>
            <w:tcW w:type="dxa" w:w="2069"/>
            <w:vAlign w:val="center"/>
          </w:tcPr>
          <w:p>
            <w:pPr>
              <w:keepNext w:val="0"/>
              <w:spacing w:line="240" w:lineRule="auto" w:after="0"/>
              <w:jc w:val="center"/>
            </w:pPr>
            <w:r>
              <w:t>0,039</w:t>
            </w:r>
          </w:p>
        </w:tc>
        <w:tc>
          <w:tcPr>
            <w:tcW w:type="dxa" w:w="2069"/>
            <w:vAlign w:val="center"/>
          </w:tcPr>
          <w:p>
            <w:pPr>
              <w:keepNext w:val="0"/>
              <w:spacing w:line="240" w:lineRule="auto" w:after="0"/>
              <w:jc w:val="center"/>
            </w:pPr>
            <w:r>
              <w:t>0,00114</w:t>
            </w:r>
          </w:p>
        </w:tc>
      </w:tr>
    </w:tbl>
    <w:p>
      <w:pPr>
        <w:spacing w:line="240" w:lineRule="auto"/>
        <w:jc w:val="both"/>
      </w:pPr>
    </w:p>
    <w:p>
      <w:pPr>
        <w:jc w:val="both"/>
      </w:pPr>
      <w:r>
        <w:t>La rugosidad se calcula sobre diferencias de desviación de lentitud media entre celdas activas contiguas. Es un descriptor del modelo, no una estimación de incertidumbre. La tabla contrasta predicción y estabilidad sin seleccionar un peso óptimo por una sola métrica.</w:t>
      </w:r>
    </w:p>
    <w:p>
      <w:pPr>
        <w:pStyle w:val="Heading2"/>
        <w:spacing w:before="160" w:after="40"/>
        <w:jc w:val="left"/>
      </w:pPr>
      <w:r>
        <w:t>4.3 Refinamiento y ranking predictivo</w:t>
      </w:r>
    </w:p>
    <w:p>
      <w:pPr>
        <w:keepNext/>
        <w:spacing w:line="240" w:lineRule="auto" w:before="120"/>
        <w:jc w:val="both"/>
      </w:pPr>
      <w:r>
        <w:t>Tabla 4. RMS en las mismas 915 lecturas reservadas a cada paso de malla. Modelos y estáticas fijos.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824"/>
        <w:gridCol w:w="1824"/>
        <w:gridCol w:w="1824"/>
        <w:gridCol w:w="1824"/>
        <w:gridCol w:w="1824"/>
      </w:tblGrid>
      <w:tr>
        <w:trPr>
          <w:tblHeader/>
          <w:cantSplit/>
        </w:trPr>
        <w:tc>
          <w:tcPr>
            <w:tcW w:type="dxa" w:w="1134"/>
            <w:vAlign w:val="center"/>
            <w:shd w:fill="EDEDED"/>
          </w:tcPr>
          <w:p>
            <w:pPr>
              <w:keepNext/>
              <w:spacing w:line="240" w:lineRule="auto" w:after="0"/>
              <w:jc w:val="left"/>
            </w:pPr>
            <w:r>
              <w:rPr>
                <w:b/>
              </w:rPr>
              <w:t>Paso, km</w:t>
            </w:r>
          </w:p>
        </w:tc>
        <w:tc>
          <w:tcPr>
            <w:tcW w:type="dxa" w:w="1984"/>
            <w:vAlign w:val="center"/>
            <w:shd w:fill="EDEDED"/>
          </w:tcPr>
          <w:p>
            <w:pPr>
              <w:keepNext/>
              <w:spacing w:line="240" w:lineRule="auto" w:after="0"/>
              <w:jc w:val="center"/>
            </w:pPr>
            <w:r>
              <w:rPr>
                <w:b/>
              </w:rPr>
              <w:t>1D ajustable</w:t>
            </w:r>
          </w:p>
        </w:tc>
        <w:tc>
          <w:tcPr>
            <w:tcW w:type="dxa" w:w="1984"/>
            <w:vAlign w:val="center"/>
            <w:shd w:fill="EDEDED"/>
          </w:tcPr>
          <w:p>
            <w:pPr>
              <w:keepNext/>
              <w:spacing w:line="240" w:lineRule="auto" w:after="0"/>
              <w:jc w:val="center"/>
            </w:pPr>
            <w:r>
              <w:rPr>
                <w:b/>
              </w:rPr>
              <w:t>3D λ = 2</w:t>
            </w:r>
          </w:p>
        </w:tc>
        <w:tc>
          <w:tcPr>
            <w:tcW w:type="dxa" w:w="1984"/>
            <w:vAlign w:val="center"/>
            <w:shd w:fill="EDEDED"/>
          </w:tcPr>
          <w:p>
            <w:pPr>
              <w:keepNext/>
              <w:spacing w:line="240" w:lineRule="auto" w:after="0"/>
              <w:jc w:val="center"/>
            </w:pPr>
            <w:r>
              <w:rPr>
                <w:b/>
              </w:rPr>
              <w:t>3D λ = 20</w:t>
            </w:r>
          </w:p>
        </w:tc>
        <w:tc>
          <w:tcPr>
            <w:tcW w:type="dxa" w:w="1984"/>
            <w:vAlign w:val="center"/>
            <w:shd w:fill="EDEDED"/>
          </w:tcPr>
          <w:p>
            <w:pPr>
              <w:keepNext/>
              <w:spacing w:line="240" w:lineRule="auto" w:after="0"/>
              <w:jc w:val="center"/>
            </w:pPr>
            <w:r>
              <w:rPr>
                <w:b/>
              </w:rPr>
              <w:t>3D λ = 200</w:t>
            </w:r>
          </w:p>
        </w:tc>
      </w:tr>
      <w:tr>
        <w:trPr>
          <w:cantSplit/>
        </w:trPr>
        <w:tc>
          <w:tcPr>
            <w:tcW w:type="dxa" w:w="1134"/>
            <w:vAlign w:val="center"/>
          </w:tcPr>
          <w:p>
            <w:pPr>
              <w:keepNext/>
              <w:spacing w:line="240" w:lineRule="auto" w:after="0"/>
              <w:jc w:val="left"/>
            </w:pPr>
            <w:r>
              <w:t>10</w:t>
            </w:r>
          </w:p>
        </w:tc>
        <w:tc>
          <w:tcPr>
            <w:tcW w:type="dxa" w:w="1984"/>
            <w:vAlign w:val="center"/>
          </w:tcPr>
          <w:p>
            <w:pPr>
              <w:keepNext/>
              <w:spacing w:line="240" w:lineRule="auto" w:after="0"/>
              <w:jc w:val="center"/>
            </w:pPr>
            <w:r>
              <w:t>1,767</w:t>
            </w:r>
          </w:p>
        </w:tc>
        <w:tc>
          <w:tcPr>
            <w:tcW w:type="dxa" w:w="1984"/>
            <w:vAlign w:val="center"/>
          </w:tcPr>
          <w:p>
            <w:pPr>
              <w:keepNext/>
              <w:spacing w:line="240" w:lineRule="auto" w:after="0"/>
              <w:jc w:val="center"/>
            </w:pPr>
            <w:r>
              <w:t>1,664</w:t>
            </w:r>
          </w:p>
        </w:tc>
        <w:tc>
          <w:tcPr>
            <w:tcW w:type="dxa" w:w="1984"/>
            <w:vAlign w:val="center"/>
          </w:tcPr>
          <w:p>
            <w:pPr>
              <w:keepNext/>
              <w:spacing w:line="240" w:lineRule="auto" w:after="0"/>
              <w:jc w:val="center"/>
            </w:pPr>
            <w:r>
              <w:t>1,944</w:t>
            </w:r>
          </w:p>
        </w:tc>
        <w:tc>
          <w:tcPr>
            <w:tcW w:type="dxa" w:w="1984"/>
            <w:vAlign w:val="center"/>
          </w:tcPr>
          <w:p>
            <w:pPr>
              <w:keepNext/>
              <w:spacing w:line="240" w:lineRule="auto" w:after="0"/>
              <w:jc w:val="center"/>
            </w:pPr>
            <w:r>
              <w:t>1,717</w:t>
            </w:r>
          </w:p>
        </w:tc>
      </w:tr>
      <w:tr>
        <w:trPr>
          <w:cantSplit/>
        </w:trPr>
        <w:tc>
          <w:tcPr>
            <w:tcW w:type="dxa" w:w="1134"/>
            <w:vAlign w:val="center"/>
          </w:tcPr>
          <w:p>
            <w:pPr>
              <w:keepNext/>
              <w:spacing w:line="240" w:lineRule="auto" w:after="0"/>
              <w:jc w:val="left"/>
            </w:pPr>
            <w:r>
              <w:t>5</w:t>
            </w:r>
          </w:p>
        </w:tc>
        <w:tc>
          <w:tcPr>
            <w:tcW w:type="dxa" w:w="1984"/>
            <w:vAlign w:val="center"/>
          </w:tcPr>
          <w:p>
            <w:pPr>
              <w:keepNext/>
              <w:spacing w:line="240" w:lineRule="auto" w:after="0"/>
              <w:jc w:val="center"/>
            </w:pPr>
            <w:r>
              <w:t>1,770</w:t>
            </w:r>
          </w:p>
        </w:tc>
        <w:tc>
          <w:tcPr>
            <w:tcW w:type="dxa" w:w="1984"/>
            <w:vAlign w:val="center"/>
          </w:tcPr>
          <w:p>
            <w:pPr>
              <w:keepNext/>
              <w:spacing w:line="240" w:lineRule="auto" w:after="0"/>
              <w:jc w:val="center"/>
            </w:pPr>
            <w:r>
              <w:t>1,848</w:t>
            </w:r>
          </w:p>
        </w:tc>
        <w:tc>
          <w:tcPr>
            <w:tcW w:type="dxa" w:w="1984"/>
            <w:vAlign w:val="center"/>
          </w:tcPr>
          <w:p>
            <w:pPr>
              <w:keepNext/>
              <w:spacing w:line="240" w:lineRule="auto" w:after="0"/>
              <w:jc w:val="center"/>
            </w:pPr>
            <w:r>
              <w:t>2,002</w:t>
            </w:r>
          </w:p>
        </w:tc>
        <w:tc>
          <w:tcPr>
            <w:tcW w:type="dxa" w:w="1984"/>
            <w:vAlign w:val="center"/>
          </w:tcPr>
          <w:p>
            <w:pPr>
              <w:keepNext/>
              <w:spacing w:line="240" w:lineRule="auto" w:after="0"/>
              <w:jc w:val="center"/>
            </w:pPr>
            <w:r>
              <w:t>1,722</w:t>
            </w:r>
          </w:p>
        </w:tc>
      </w:tr>
      <w:tr>
        <w:trPr>
          <w:cantSplit/>
        </w:trPr>
        <w:tc>
          <w:tcPr>
            <w:tcW w:type="dxa" w:w="1134"/>
            <w:vAlign w:val="center"/>
          </w:tcPr>
          <w:p>
            <w:pPr>
              <w:keepNext w:val="0"/>
              <w:spacing w:line="240" w:lineRule="auto" w:after="0"/>
              <w:jc w:val="left"/>
            </w:pPr>
            <w:r>
              <w:t>2.5</w:t>
            </w:r>
          </w:p>
        </w:tc>
        <w:tc>
          <w:tcPr>
            <w:tcW w:type="dxa" w:w="1984"/>
            <w:vAlign w:val="center"/>
          </w:tcPr>
          <w:p>
            <w:pPr>
              <w:keepNext w:val="0"/>
              <w:spacing w:line="240" w:lineRule="auto" w:after="0"/>
              <w:jc w:val="center"/>
            </w:pPr>
            <w:r>
              <w:t>1,774</w:t>
            </w:r>
          </w:p>
        </w:tc>
        <w:tc>
          <w:tcPr>
            <w:tcW w:type="dxa" w:w="1984"/>
            <w:vAlign w:val="center"/>
          </w:tcPr>
          <w:p>
            <w:pPr>
              <w:keepNext w:val="0"/>
              <w:spacing w:line="240" w:lineRule="auto" w:after="0"/>
              <w:jc w:val="center"/>
            </w:pPr>
            <w:r>
              <w:t>2,000</w:t>
            </w:r>
          </w:p>
        </w:tc>
        <w:tc>
          <w:tcPr>
            <w:tcW w:type="dxa" w:w="1984"/>
            <w:vAlign w:val="center"/>
          </w:tcPr>
          <w:p>
            <w:pPr>
              <w:keepNext w:val="0"/>
              <w:spacing w:line="240" w:lineRule="auto" w:after="0"/>
              <w:jc w:val="center"/>
            </w:pPr>
            <w:r>
              <w:t>2,031</w:t>
            </w:r>
          </w:p>
        </w:tc>
        <w:tc>
          <w:tcPr>
            <w:tcW w:type="dxa" w:w="1984"/>
            <w:vAlign w:val="center"/>
          </w:tcPr>
          <w:p>
            <w:pPr>
              <w:keepNext w:val="0"/>
              <w:spacing w:line="240" w:lineRule="auto" w:after="0"/>
              <w:jc w:val="center"/>
            </w:pPr>
            <w:r>
              <w:t>1,721</w:t>
            </w:r>
          </w:p>
        </w:tc>
      </w:tr>
    </w:tbl>
    <w:p>
      <w:pPr>
        <w:spacing w:line="240" w:lineRule="auto"/>
        <w:jc w:val="both"/>
      </w:pPr>
    </w:p>
    <w:p>
      <w:pPr>
        <w:jc w:val="both"/>
      </w:pPr>
      <w:r>
        <w:t>1D ajustable: diferencias RMS de 0,029 s (10 → 5 km) y 0,022 s (5 → 2,5 km); satisface ambas tolerancias del último refinamiento.</w:t>
      </w:r>
    </w:p>
    <w:p>
      <w:pPr>
        <w:jc w:val="both"/>
      </w:pPr>
      <w:r>
        <w:t>3D λ = 2: diferencias RMS de 0,396 s (10 → 5 km) y 0,246 s (5 → 2,5 km); no satisface ambas tolerancias del último refinamiento.</w:t>
      </w:r>
    </w:p>
    <w:p>
      <w:pPr>
        <w:jc w:val="both"/>
      </w:pPr>
      <w:r>
        <w:t>3D λ = 20: diferencias RMS de 0,115 s (10 → 5 km) y 0,057 s (5 → 2,5 km); satisface ambas tolerancias del último refinamiento.</w:t>
      </w:r>
    </w:p>
    <w:p>
      <w:pPr>
        <w:jc w:val="both"/>
      </w:pPr>
      <w:r>
        <w:t>3D λ = 200: diferencias RMS de 0,063 s (10 → 5 km) y 0,019 s (5 → 2,5 km); satisface ambas tolerancias del último refinamiento.</w:t>
      </w:r>
    </w:p>
    <w:p>
      <w:pPr>
        <w:jc w:val="both"/>
      </w:pPr>
      <w:r>
        <w:t>En el ensayo auxiliar de tres rondas con regularización de incrementos, el mismo subconjunto produjo RMS 1D fijo/3D de 1,989387/1,914312 s a 10 km, 2,024247/2,091387 s a 5 km y 2,027431/2,213155 s a 2,5 km. La diferencia cambió de −0,075075 a +0,185724 s sin reajustar parámetros. Ese cambio muestra que un ranking a malla gruesa puede depender de la discretización; no determina el ranking de los cinco ajustes de la Tabla 2 ni sustituye su refinamiento.</w:t>
      </w:r>
    </w:p>
    <w:p>
      <w:pPr>
        <w:pStyle w:val="Heading2"/>
        <w:spacing w:before="160" w:after="40"/>
        <w:jc w:val="left"/>
      </w:pPr>
      <w:r>
        <w:t>4.4 Modelos y anomalías</w:t>
      </w:r>
    </w:p>
    <w:p>
      <w:pPr>
        <w:jc w:val="both"/>
      </w:pPr>
      <w:r>
        <w:t>Las Figuras 1 y 2 muestran el brazo λ = 20 y el soporte común de 9196 celdas. El gris señala ausencia de parámetros 3D activos; no es una máscara de resolución. El perfil inicial existe también fuera de ese soporte y se oculta allí para evitar atribuir cobertura a regiones no ajustadas.</w:t>
      </w:r>
    </w:p>
    <w:p>
      <w:pPr>
        <w:keepNext/>
        <w:spacing w:line="240" w:lineRule="auto"/>
        <w:jc w:val="center"/>
      </w:pPr>
      <w:r>
        <w:drawing>
          <wp:inline xmlns:a="http://schemas.openxmlformats.org/drawingml/2006/main" xmlns:pic="http://schemas.openxmlformats.org/drawingml/2006/picture">
            <wp:extent cx="4680000" cy="5253061"/>
            <wp:docPr id="1" name="Picture 1"/>
            <wp:cNvGraphicFramePr>
              <a:graphicFrameLocks noChangeAspect="1"/>
            </wp:cNvGraphicFramePr>
            <a:graphic>
              <a:graphicData uri="http://schemas.openxmlformats.org/drawingml/2006/picture">
                <pic:pic>
                  <pic:nvPicPr>
                    <pic:cNvPr id="0" name="Modelos_inicial_final.png"/>
                    <pic:cNvPicPr/>
                  </pic:nvPicPr>
                  <pic:blipFill>
                    <a:blip r:embed="rId11"/>
                    <a:stretch>
                      <a:fillRect/>
                    </a:stretch>
                  </pic:blipFill>
                  <pic:spPr>
                    <a:xfrm>
                      <a:off x="0" y="0"/>
                      <a:ext cx="4680000" cy="5253061"/>
                    </a:xfrm>
                    <a:prstGeom prst="rect"/>
                  </pic:spPr>
                </pic:pic>
              </a:graphicData>
            </a:graphic>
          </wp:inline>
        </w:drawing>
      </w:r>
    </w:p>
    <w:p>
      <w:pPr>
        <w:keepNext w:val="0"/>
        <w:spacing w:line="240" w:lineRule="auto"/>
        <w:jc w:val="both"/>
      </w:pPr>
      <w:r>
        <w:t>Figura 1. Cortes iniciales 1D y finales 3D a 20, 80 y 140 km, con escala común de Vp. El brazo final utiliza λ = 20. Gris: fuera del soporte de parámetros. Frontera de Colombia y límites departamentales DANE. Los valores dentro de la máscara tampoco implican resolución uniforme.</w:t>
      </w:r>
    </w:p>
    <w:p>
      <w:pPr>
        <w:keepNext/>
        <w:spacing w:line="240" w:lineRule="auto"/>
        <w:jc w:val="center"/>
      </w:pPr>
      <w:r>
        <w:drawing>
          <wp:inline xmlns:a="http://schemas.openxmlformats.org/drawingml/2006/main" xmlns:pic="http://schemas.openxmlformats.org/drawingml/2006/picture">
            <wp:extent cx="5778000" cy="2626364"/>
            <wp:docPr id="2" name="Picture 2"/>
            <wp:cNvGraphicFramePr>
              <a:graphicFrameLocks noChangeAspect="1"/>
            </wp:cNvGraphicFramePr>
            <a:graphic>
              <a:graphicData uri="http://schemas.openxmlformats.org/drawingml/2006/picture">
                <pic:pic>
                  <pic:nvPicPr>
                    <pic:cNvPr id="0" name="Anomalias_activas.png"/>
                    <pic:cNvPicPr/>
                  </pic:nvPicPr>
                  <pic:blipFill>
                    <a:blip r:embed="rId12"/>
                    <a:stretch>
                      <a:fillRect/>
                    </a:stretch>
                  </pic:blipFill>
                  <pic:spPr>
                    <a:xfrm>
                      <a:off x="0" y="0"/>
                      <a:ext cx="5778000" cy="2626364"/>
                    </a:xfrm>
                    <a:prstGeom prst="rect"/>
                  </pic:spPr>
                </pic:pic>
              </a:graphicData>
            </a:graphic>
          </wp:inline>
        </w:drawing>
      </w:r>
    </w:p>
    <w:p>
      <w:pPr>
        <w:keepNext w:val="0"/>
        <w:spacing w:line="240" w:lineRule="auto"/>
        <w:jc w:val="both"/>
      </w:pPr>
      <w:r>
        <w:t>Figura 2. Anomalías relativas de Vp del brazo λ = 20 respecto al perfil inicial. Azul indica mayor Vp y rojo menor Vp; los tres cortes comparten una escala simétrica que contiene todos sus valores activos sin recorte. Gris: fuera del soporte activo. Los cortes se interpretan junto con los controles de predicción, malla y recuperación, sin asignar una interfaz de placa por continuidad visual.</w:t>
      </w:r>
    </w:p>
    <w:p>
      <w:pPr>
        <w:jc w:val="both"/>
      </w:pPr>
      <w:r>
        <w:t>En el soporte de λ = 20, 387 celdas contienen al menos un nodo en 8,8 km/s y 0 contienen nodos en 4,0 km/s. 0 celdas alcanzan el límite inferior compatible con aplicar −5 % en todas las 12 rondas. Esta última categoría es un límite de trayectoria, no otra cota física; las categorías no deben sumarse sin comprobar intersecciones. El perfil 1D ajustado y los perfiles de los tres pesos se incluyen en la Figura S3.</w:t>
      </w:r>
    </w:p>
    <w:p>
      <w:pPr>
        <w:pStyle w:val="Heading2"/>
        <w:spacing w:before="160" w:after="40"/>
        <w:jc w:val="left"/>
      </w:pPr>
      <w:r>
        <w:t>4.5 Damero con errores efectivos</w:t>
      </w:r>
    </w:p>
    <w:p>
      <w:pPr>
        <w:jc w:val="both"/>
      </w:pPr>
      <w:r>
        <w:t>La calibración utiliza 25714 observaciones de entrenamiento y tiene RMS 1,415 s y mediana absoluta 0,775 s. La muestra aplicada al sintético tiene RMS 1,397 s. Esta escala se obtiene antes de invertir el damero y sin utilizar sus resultados reservados para escoger ruido.</w:t>
      </w:r>
    </w:p>
    <w:p>
      <w:pPr>
        <w:keepNext/>
        <w:spacing w:line="240" w:lineRule="auto" w:before="120"/>
        <w:jc w:val="both"/>
      </w:pPr>
      <w:r>
        <w:t>Tabla 5. Damero no lineal de ±3 % después de cuatro rondas. Errores de ubicación en km.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824"/>
        <w:gridCol w:w="1824"/>
        <w:gridCol w:w="1824"/>
        <w:gridCol w:w="1824"/>
        <w:gridCol w:w="1824"/>
      </w:tblGrid>
      <w:tr>
        <w:trPr>
          <w:tblHeader/>
          <w:cantSplit/>
        </w:trPr>
        <w:tc>
          <w:tcPr>
            <w:tcW w:type="dxa" w:w="2268"/>
            <w:vAlign w:val="center"/>
            <w:shd w:fill="EDEDED"/>
          </w:tcPr>
          <w:p>
            <w:pPr>
              <w:keepNext/>
              <w:spacing w:line="240" w:lineRule="auto" w:after="0"/>
              <w:jc w:val="left"/>
            </w:pPr>
            <w:r>
              <w:rPr>
                <w:b/>
              </w:rPr>
              <w:t>Brazo</w:t>
            </w:r>
          </w:p>
        </w:tc>
        <w:tc>
          <w:tcPr>
            <w:tcW w:type="dxa" w:w="1134"/>
            <w:vAlign w:val="center"/>
            <w:shd w:fill="EDEDED"/>
          </w:tcPr>
          <w:p>
            <w:pPr>
              <w:keepNext/>
              <w:spacing w:line="240" w:lineRule="auto" w:after="0"/>
              <w:jc w:val="center"/>
            </w:pPr>
            <w:r>
              <w:rPr>
                <w:b/>
              </w:rPr>
              <w:t>r</w:t>
            </w:r>
          </w:p>
        </w:tc>
        <w:tc>
          <w:tcPr>
            <w:tcW w:type="dxa" w:w="1701"/>
            <w:vAlign w:val="center"/>
            <w:shd w:fill="EDEDED"/>
          </w:tcPr>
          <w:p>
            <w:pPr>
              <w:keepNext/>
              <w:spacing w:line="240" w:lineRule="auto" w:after="0"/>
              <w:jc w:val="center"/>
            </w:pPr>
            <w:r>
              <w:rPr>
                <w:b/>
              </w:rPr>
              <w:t>L2 relativo</w:t>
            </w:r>
          </w:p>
        </w:tc>
        <w:tc>
          <w:tcPr>
            <w:tcW w:type="dxa" w:w="1984"/>
            <w:vAlign w:val="center"/>
            <w:shd w:fill="EDEDED"/>
          </w:tcPr>
          <w:p>
            <w:pPr>
              <w:keepNext/>
              <w:spacing w:line="240" w:lineRule="auto" w:after="0"/>
              <w:jc w:val="center"/>
            </w:pPr>
            <w:r>
              <w:rPr>
                <w:b/>
              </w:rPr>
              <w:t>RMS reserva, s</w:t>
            </w:r>
          </w:p>
        </w:tc>
        <w:tc>
          <w:tcPr>
            <w:tcW w:type="dxa" w:w="1984"/>
            <w:vAlign w:val="center"/>
            <w:shd w:fill="EDEDED"/>
          </w:tcPr>
          <w:p>
            <w:pPr>
              <w:keepNext/>
              <w:spacing w:line="240" w:lineRule="auto" w:after="0"/>
              <w:jc w:val="center"/>
            </w:pPr>
            <w:r>
              <w:rPr>
                <w:b/>
              </w:rPr>
              <w:t>RMS ubicación</w:t>
            </w:r>
          </w:p>
        </w:tc>
      </w:tr>
      <w:tr>
        <w:trPr>
          <w:cantSplit/>
        </w:trPr>
        <w:tc>
          <w:tcPr>
            <w:tcW w:type="dxa" w:w="2268"/>
            <w:vAlign w:val="center"/>
          </w:tcPr>
          <w:p>
            <w:pPr>
              <w:keepNext/>
              <w:spacing w:line="240" w:lineRule="auto" w:after="0"/>
              <w:jc w:val="left"/>
            </w:pPr>
            <w:r>
              <w:t>1D ajustable</w:t>
            </w:r>
          </w:p>
        </w:tc>
        <w:tc>
          <w:tcPr>
            <w:tcW w:type="dxa" w:w="1134"/>
            <w:vAlign w:val="center"/>
          </w:tcPr>
          <w:p>
            <w:pPr>
              <w:keepNext/>
              <w:spacing w:line="240" w:lineRule="auto" w:after="0"/>
              <w:jc w:val="center"/>
            </w:pPr>
            <w:r>
              <w:t>—</w:t>
            </w:r>
          </w:p>
        </w:tc>
        <w:tc>
          <w:tcPr>
            <w:tcW w:type="dxa" w:w="1701"/>
            <w:vAlign w:val="center"/>
          </w:tcPr>
          <w:p>
            <w:pPr>
              <w:keepNext/>
              <w:spacing w:line="240" w:lineRule="auto" w:after="0"/>
              <w:jc w:val="center"/>
            </w:pPr>
            <w:r>
              <w:t>—</w:t>
            </w:r>
          </w:p>
        </w:tc>
        <w:tc>
          <w:tcPr>
            <w:tcW w:type="dxa" w:w="1984"/>
            <w:vAlign w:val="center"/>
          </w:tcPr>
          <w:p>
            <w:pPr>
              <w:keepNext/>
              <w:spacing w:line="240" w:lineRule="auto" w:after="0"/>
              <w:jc w:val="center"/>
            </w:pPr>
            <w:r>
              <w:t>1,466</w:t>
            </w:r>
          </w:p>
        </w:tc>
        <w:tc>
          <w:tcPr>
            <w:tcW w:type="dxa" w:w="1984"/>
            <w:vAlign w:val="center"/>
          </w:tcPr>
          <w:p>
            <w:pPr>
              <w:keepNext/>
              <w:spacing w:line="240" w:lineRule="auto" w:after="0"/>
              <w:jc w:val="center"/>
            </w:pPr>
            <w:r>
              <w:t>27,607</w:t>
            </w:r>
          </w:p>
        </w:tc>
      </w:tr>
      <w:tr>
        <w:trPr>
          <w:cantSplit/>
        </w:trPr>
        <w:tc>
          <w:tcPr>
            <w:tcW w:type="dxa" w:w="2268"/>
            <w:vAlign w:val="center"/>
          </w:tcPr>
          <w:p>
            <w:pPr>
              <w:keepNext/>
              <w:spacing w:line="240" w:lineRule="auto" w:after="0"/>
              <w:jc w:val="left"/>
            </w:pPr>
            <w:r>
              <w:t>3D λ = 2</w:t>
            </w:r>
          </w:p>
        </w:tc>
        <w:tc>
          <w:tcPr>
            <w:tcW w:type="dxa" w:w="1134"/>
            <w:vAlign w:val="center"/>
          </w:tcPr>
          <w:p>
            <w:pPr>
              <w:keepNext/>
              <w:spacing w:line="240" w:lineRule="auto" w:after="0"/>
              <w:jc w:val="center"/>
            </w:pPr>
            <w:r>
              <w:t>0,056</w:t>
            </w:r>
          </w:p>
        </w:tc>
        <w:tc>
          <w:tcPr>
            <w:tcW w:type="dxa" w:w="1701"/>
            <w:vAlign w:val="center"/>
          </w:tcPr>
          <w:p>
            <w:pPr>
              <w:keepNext/>
              <w:spacing w:line="240" w:lineRule="auto" w:after="0"/>
              <w:jc w:val="center"/>
            </w:pPr>
            <w:r>
              <w:t>8,043</w:t>
            </w:r>
          </w:p>
        </w:tc>
        <w:tc>
          <w:tcPr>
            <w:tcW w:type="dxa" w:w="1984"/>
            <w:vAlign w:val="center"/>
          </w:tcPr>
          <w:p>
            <w:pPr>
              <w:keepNext/>
              <w:spacing w:line="240" w:lineRule="auto" w:after="0"/>
              <w:jc w:val="center"/>
            </w:pPr>
            <w:r>
              <w:t>1,527</w:t>
            </w:r>
          </w:p>
        </w:tc>
        <w:tc>
          <w:tcPr>
            <w:tcW w:type="dxa" w:w="1984"/>
            <w:vAlign w:val="center"/>
          </w:tcPr>
          <w:p>
            <w:pPr>
              <w:keepNext/>
              <w:spacing w:line="240" w:lineRule="auto" w:after="0"/>
              <w:jc w:val="center"/>
            </w:pPr>
            <w:r>
              <w:t>27,461</w:t>
            </w:r>
          </w:p>
        </w:tc>
      </w:tr>
      <w:tr>
        <w:trPr>
          <w:cantSplit/>
        </w:trPr>
        <w:tc>
          <w:tcPr>
            <w:tcW w:type="dxa" w:w="2268"/>
            <w:vAlign w:val="center"/>
          </w:tcPr>
          <w:p>
            <w:pPr>
              <w:keepNext/>
              <w:spacing w:line="240" w:lineRule="auto" w:after="0"/>
              <w:jc w:val="left"/>
            </w:pPr>
            <w:r>
              <w:t>3D λ = 20</w:t>
            </w:r>
          </w:p>
        </w:tc>
        <w:tc>
          <w:tcPr>
            <w:tcW w:type="dxa" w:w="1134"/>
            <w:vAlign w:val="center"/>
          </w:tcPr>
          <w:p>
            <w:pPr>
              <w:keepNext/>
              <w:spacing w:line="240" w:lineRule="auto" w:after="0"/>
              <w:jc w:val="center"/>
            </w:pPr>
            <w:r>
              <w:t>0,007</w:t>
            </w:r>
          </w:p>
        </w:tc>
        <w:tc>
          <w:tcPr>
            <w:tcW w:type="dxa" w:w="1701"/>
            <w:vAlign w:val="center"/>
          </w:tcPr>
          <w:p>
            <w:pPr>
              <w:keepNext/>
              <w:spacing w:line="240" w:lineRule="auto" w:after="0"/>
              <w:jc w:val="center"/>
            </w:pPr>
            <w:r>
              <w:t>4,081</w:t>
            </w:r>
          </w:p>
        </w:tc>
        <w:tc>
          <w:tcPr>
            <w:tcW w:type="dxa" w:w="1984"/>
            <w:vAlign w:val="center"/>
          </w:tcPr>
          <w:p>
            <w:pPr>
              <w:keepNext/>
              <w:spacing w:line="240" w:lineRule="auto" w:after="0"/>
              <w:jc w:val="center"/>
            </w:pPr>
            <w:r>
              <w:t>1,483</w:t>
            </w:r>
          </w:p>
        </w:tc>
        <w:tc>
          <w:tcPr>
            <w:tcW w:type="dxa" w:w="1984"/>
            <w:vAlign w:val="center"/>
          </w:tcPr>
          <w:p>
            <w:pPr>
              <w:keepNext/>
              <w:spacing w:line="240" w:lineRule="auto" w:after="0"/>
              <w:jc w:val="center"/>
            </w:pPr>
            <w:r>
              <w:t>27,707</w:t>
            </w:r>
          </w:p>
        </w:tc>
      </w:tr>
      <w:tr>
        <w:trPr>
          <w:cantSplit/>
        </w:trPr>
        <w:tc>
          <w:tcPr>
            <w:tcW w:type="dxa" w:w="2268"/>
            <w:vAlign w:val="center"/>
          </w:tcPr>
          <w:p>
            <w:pPr>
              <w:keepNext w:val="0"/>
              <w:spacing w:line="240" w:lineRule="auto" w:after="0"/>
              <w:jc w:val="left"/>
            </w:pPr>
            <w:r>
              <w:t>3D λ = 200</w:t>
            </w:r>
          </w:p>
        </w:tc>
        <w:tc>
          <w:tcPr>
            <w:tcW w:type="dxa" w:w="1134"/>
            <w:vAlign w:val="center"/>
          </w:tcPr>
          <w:p>
            <w:pPr>
              <w:keepNext w:val="0"/>
              <w:spacing w:line="240" w:lineRule="auto" w:after="0"/>
              <w:jc w:val="center"/>
            </w:pPr>
            <w:r>
              <w:t>0,000</w:t>
            </w:r>
          </w:p>
        </w:tc>
        <w:tc>
          <w:tcPr>
            <w:tcW w:type="dxa" w:w="1701"/>
            <w:vAlign w:val="center"/>
          </w:tcPr>
          <w:p>
            <w:pPr>
              <w:keepNext w:val="0"/>
              <w:spacing w:line="240" w:lineRule="auto" w:after="0"/>
              <w:jc w:val="center"/>
            </w:pPr>
            <w:r>
              <w:t>1,533</w:t>
            </w:r>
          </w:p>
        </w:tc>
        <w:tc>
          <w:tcPr>
            <w:tcW w:type="dxa" w:w="1984"/>
            <w:vAlign w:val="center"/>
          </w:tcPr>
          <w:p>
            <w:pPr>
              <w:keepNext w:val="0"/>
              <w:spacing w:line="240" w:lineRule="auto" w:after="0"/>
              <w:jc w:val="center"/>
            </w:pPr>
            <w:r>
              <w:t>1,470</w:t>
            </w:r>
          </w:p>
        </w:tc>
        <w:tc>
          <w:tcPr>
            <w:tcW w:type="dxa" w:w="1984"/>
            <w:vAlign w:val="center"/>
          </w:tcPr>
          <w:p>
            <w:pPr>
              <w:keepNext w:val="0"/>
              <w:spacing w:line="240" w:lineRule="auto" w:after="0"/>
              <w:jc w:val="center"/>
            </w:pPr>
            <w:r>
              <w:t>27,779</w:t>
            </w:r>
          </w:p>
        </w:tc>
      </w:tr>
    </w:tbl>
    <w:p>
      <w:pPr>
        <w:spacing w:line="240" w:lineRule="auto"/>
        <w:jc w:val="both"/>
      </w:pPr>
    </w:p>
    <w:p>
      <w:pPr>
        <w:jc w:val="both"/>
      </w:pPr>
      <w:r>
        <w:t>El RMS hipocentral inicial continuo del entrenamiento es 4,961 km. Para λ = 20, el resultado es 27,707 km. Las puertas r ≥ 0,7 y L2 ≤ 0,6 no se cumplen en ese brazo. El cálculo compara contra la verdad conocida y no cuantifica el error de ubicaciones reales. La Figura S4 muestra verdad y recuperación con escalas explícitas; una variación del RMS de tiempos no se equipara con recuperación del patrón.</w:t>
      </w:r>
    </w:p>
    <w:p>
      <w:pPr>
        <w:pStyle w:val="Heading2"/>
        <w:spacing w:before="160" w:after="40"/>
        <w:jc w:val="left"/>
      </w:pPr>
      <w:r>
        <w:t>4.6 Contraste de cota y reserva espacial</w:t>
      </w:r>
    </w:p>
    <w:p>
      <w:pPr>
        <w:jc w:val="both"/>
      </w:pPr>
      <w:r>
        <w:t>El control a cota real completó 11 rondas y el control a cota cero, 12; ambos cumplieron el mismo criterio de parada basado en entrenamiento. No se igualó retrospectivamente el número de rondas a partir de la reserva.</w:t>
      </w:r>
    </w:p>
    <w:p>
      <w:pPr>
        <w:jc w:val="both"/>
      </w:pPr>
      <w:r>
        <w:t>El control con cota real obtiene RMS reservado de 1,881 s; con cota cero obtiene 1,998 s. Para 262 estaciones después de excluir el datum, la pendiente estática–elevación ajustada por latitud y longitud es 0,1323 s/km con cota cero y 0,0403 s/km con cota real. La diferencia pareada es −⁠0,0919 s/km, IC95 [−⁠0,1025; −⁠0,0808]. La Figura S5 muestra las estáticas y el contraste. Se trata de un efecto computacional controlado de la cota; no de atribución geológica de las correcciones.</w:t>
      </w:r>
    </w:p>
    <w:p>
      <w:pPr>
        <w:keepNext/>
        <w:spacing w:line="240" w:lineRule="auto" w:before="120"/>
        <w:jc w:val="both"/>
      </w:pPr>
      <w:r>
        <w:t>Tabla 6. Reserva espacial auxiliar de tres rondas. Penalización de incrementos y control 1D fijo.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520"/>
        <w:gridCol w:w="1520"/>
        <w:gridCol w:w="1520"/>
        <w:gridCol w:w="1520"/>
        <w:gridCol w:w="1520"/>
        <w:gridCol w:w="1520"/>
      </w:tblGrid>
      <w:tr>
        <w:trPr>
          <w:tblHeader/>
          <w:cantSplit/>
        </w:trPr>
        <w:tc>
          <w:tcPr>
            <w:tcW w:type="dxa" w:w="1417"/>
            <w:vAlign w:val="center"/>
            <w:shd w:fill="EDEDED"/>
          </w:tcPr>
          <w:p>
            <w:pPr>
              <w:keepNext/>
              <w:spacing w:line="240" w:lineRule="auto" w:after="0"/>
              <w:jc w:val="left"/>
            </w:pPr>
            <w:r>
              <w:rPr>
                <w:b/>
              </w:rPr>
              <w:t>Región</w:t>
            </w:r>
          </w:p>
        </w:tc>
        <w:tc>
          <w:tcPr>
            <w:tcW w:type="dxa" w:w="1247"/>
            <w:vAlign w:val="center"/>
            <w:shd w:fill="EDEDED"/>
          </w:tcPr>
          <w:p>
            <w:pPr>
              <w:keepNext/>
              <w:spacing w:line="240" w:lineRule="auto" w:after="0"/>
              <w:jc w:val="center"/>
            </w:pPr>
            <w:r>
              <w:rPr>
                <w:b/>
              </w:rPr>
              <w:t>Ajuste</w:t>
            </w:r>
          </w:p>
        </w:tc>
        <w:tc>
          <w:tcPr>
            <w:tcW w:type="dxa" w:w="1247"/>
            <w:vAlign w:val="center"/>
            <w:shd w:fill="EDEDED"/>
          </w:tcPr>
          <w:p>
            <w:pPr>
              <w:keepNext/>
              <w:spacing w:line="240" w:lineRule="auto" w:after="0"/>
              <w:jc w:val="center"/>
            </w:pPr>
            <w:r>
              <w:rPr>
                <w:b/>
              </w:rPr>
              <w:t>Reserva</w:t>
            </w:r>
          </w:p>
        </w:tc>
        <w:tc>
          <w:tcPr>
            <w:tcW w:type="dxa" w:w="1417"/>
            <w:vAlign w:val="center"/>
            <w:shd w:fill="EDEDED"/>
          </w:tcPr>
          <w:p>
            <w:pPr>
              <w:keepNext/>
              <w:spacing w:line="240" w:lineRule="auto" w:after="0"/>
              <w:jc w:val="center"/>
            </w:pPr>
            <w:r>
              <w:rPr>
                <w:b/>
              </w:rPr>
              <w:t>Excluidos</w:t>
            </w:r>
          </w:p>
        </w:tc>
        <w:tc>
          <w:tcPr>
            <w:tcW w:type="dxa" w:w="1871"/>
            <w:vAlign w:val="center"/>
            <w:shd w:fill="EDEDED"/>
          </w:tcPr>
          <w:p>
            <w:pPr>
              <w:keepNext/>
              <w:spacing w:line="240" w:lineRule="auto" w:after="0"/>
              <w:jc w:val="center"/>
            </w:pPr>
            <w:r>
              <w:rPr>
                <w:b/>
              </w:rPr>
              <w:t>RMS 1D, s</w:t>
            </w:r>
          </w:p>
        </w:tc>
        <w:tc>
          <w:tcPr>
            <w:tcW w:type="dxa" w:w="1871"/>
            <w:vAlign w:val="center"/>
            <w:shd w:fill="EDEDED"/>
          </w:tcPr>
          <w:p>
            <w:pPr>
              <w:keepNext/>
              <w:spacing w:line="240" w:lineRule="auto" w:after="0"/>
              <w:jc w:val="center"/>
            </w:pPr>
            <w:r>
              <w:rPr>
                <w:b/>
              </w:rPr>
              <w:t>RMS 3D, s</w:t>
            </w:r>
          </w:p>
        </w:tc>
      </w:tr>
      <w:tr>
        <w:trPr>
          <w:cantSplit/>
        </w:trPr>
        <w:tc>
          <w:tcPr>
            <w:tcW w:type="dxa" w:w="1417"/>
            <w:vAlign w:val="center"/>
          </w:tcPr>
          <w:p>
            <w:pPr>
              <w:keepNext/>
              <w:spacing w:line="240" w:lineRule="auto" w:after="0"/>
              <w:jc w:val="left"/>
            </w:pPr>
            <w:r>
              <w:t>Sur</w:t>
            </w:r>
          </w:p>
        </w:tc>
        <w:tc>
          <w:tcPr>
            <w:tcW w:type="dxa" w:w="1247"/>
            <w:vAlign w:val="center"/>
          </w:tcPr>
          <w:p>
            <w:pPr>
              <w:keepNext/>
              <w:spacing w:line="240" w:lineRule="auto" w:after="0"/>
              <w:jc w:val="center"/>
            </w:pPr>
            <w:r>
              <w:t>2630</w:t>
            </w:r>
          </w:p>
        </w:tc>
        <w:tc>
          <w:tcPr>
            <w:tcW w:type="dxa" w:w="1247"/>
            <w:vAlign w:val="center"/>
          </w:tcPr>
          <w:p>
            <w:pPr>
              <w:keepNext/>
              <w:spacing w:line="240" w:lineRule="auto" w:after="0"/>
              <w:jc w:val="center"/>
            </w:pPr>
            <w:r>
              <w:t>920</w:t>
            </w:r>
          </w:p>
        </w:tc>
        <w:tc>
          <w:tcPr>
            <w:tcW w:type="dxa" w:w="1417"/>
            <w:vAlign w:val="center"/>
          </w:tcPr>
          <w:p>
            <w:pPr>
              <w:keepNext/>
              <w:spacing w:line="240" w:lineRule="auto" w:after="0"/>
              <w:jc w:val="center"/>
            </w:pPr>
            <w:r>
              <w:t>71</w:t>
            </w:r>
          </w:p>
        </w:tc>
        <w:tc>
          <w:tcPr>
            <w:tcW w:type="dxa" w:w="1871"/>
            <w:vAlign w:val="center"/>
          </w:tcPr>
          <w:p>
            <w:pPr>
              <w:keepNext/>
              <w:spacing w:line="240" w:lineRule="auto" w:after="0"/>
              <w:jc w:val="center"/>
            </w:pPr>
            <w:r>
              <w:t>1,972</w:t>
            </w:r>
          </w:p>
        </w:tc>
        <w:tc>
          <w:tcPr>
            <w:tcW w:type="dxa" w:w="1871"/>
            <w:vAlign w:val="center"/>
          </w:tcPr>
          <w:p>
            <w:pPr>
              <w:keepNext/>
              <w:spacing w:line="240" w:lineRule="auto" w:after="0"/>
              <w:jc w:val="center"/>
            </w:pPr>
            <w:r>
              <w:t>2,034</w:t>
            </w:r>
          </w:p>
        </w:tc>
      </w:tr>
      <w:tr>
        <w:trPr>
          <w:cantSplit/>
        </w:trPr>
        <w:tc>
          <w:tcPr>
            <w:tcW w:type="dxa" w:w="1417"/>
            <w:vAlign w:val="center"/>
          </w:tcPr>
          <w:p>
            <w:pPr>
              <w:keepNext/>
              <w:spacing w:line="240" w:lineRule="auto" w:after="0"/>
              <w:jc w:val="left"/>
            </w:pPr>
            <w:r>
              <w:t>Centro</w:t>
            </w:r>
          </w:p>
        </w:tc>
        <w:tc>
          <w:tcPr>
            <w:tcW w:type="dxa" w:w="1247"/>
            <w:vAlign w:val="center"/>
          </w:tcPr>
          <w:p>
            <w:pPr>
              <w:keepNext/>
              <w:spacing w:line="240" w:lineRule="auto" w:after="0"/>
              <w:jc w:val="center"/>
            </w:pPr>
            <w:r>
              <w:t>1840</w:t>
            </w:r>
          </w:p>
        </w:tc>
        <w:tc>
          <w:tcPr>
            <w:tcW w:type="dxa" w:w="1247"/>
            <w:vAlign w:val="center"/>
          </w:tcPr>
          <w:p>
            <w:pPr>
              <w:keepNext/>
              <w:spacing w:line="240" w:lineRule="auto" w:after="0"/>
              <w:jc w:val="center"/>
            </w:pPr>
            <w:r>
              <w:t>1611</w:t>
            </w:r>
          </w:p>
        </w:tc>
        <w:tc>
          <w:tcPr>
            <w:tcW w:type="dxa" w:w="1417"/>
            <w:vAlign w:val="center"/>
          </w:tcPr>
          <w:p>
            <w:pPr>
              <w:keepNext/>
              <w:spacing w:line="240" w:lineRule="auto" w:after="0"/>
              <w:jc w:val="center"/>
            </w:pPr>
            <w:r>
              <w:t>170</w:t>
            </w:r>
          </w:p>
        </w:tc>
        <w:tc>
          <w:tcPr>
            <w:tcW w:type="dxa" w:w="1871"/>
            <w:vAlign w:val="center"/>
          </w:tcPr>
          <w:p>
            <w:pPr>
              <w:keepNext/>
              <w:spacing w:line="240" w:lineRule="auto" w:after="0"/>
              <w:jc w:val="center"/>
            </w:pPr>
            <w:r>
              <w:t>1,886</w:t>
            </w:r>
          </w:p>
        </w:tc>
        <w:tc>
          <w:tcPr>
            <w:tcW w:type="dxa" w:w="1871"/>
            <w:vAlign w:val="center"/>
          </w:tcPr>
          <w:p>
            <w:pPr>
              <w:keepNext/>
              <w:spacing w:line="240" w:lineRule="auto" w:after="0"/>
              <w:jc w:val="center"/>
            </w:pPr>
            <w:r>
              <w:t>1,993</w:t>
            </w:r>
          </w:p>
        </w:tc>
      </w:tr>
      <w:tr>
        <w:trPr>
          <w:cantSplit/>
        </w:trPr>
        <w:tc>
          <w:tcPr>
            <w:tcW w:type="dxa" w:w="1417"/>
            <w:vAlign w:val="center"/>
          </w:tcPr>
          <w:p>
            <w:pPr>
              <w:keepNext w:val="0"/>
              <w:spacing w:line="240" w:lineRule="auto" w:after="0"/>
              <w:jc w:val="left"/>
            </w:pPr>
            <w:r>
              <w:t>Norte</w:t>
            </w:r>
          </w:p>
        </w:tc>
        <w:tc>
          <w:tcPr>
            <w:tcW w:type="dxa" w:w="1247"/>
            <w:vAlign w:val="center"/>
          </w:tcPr>
          <w:p>
            <w:pPr>
              <w:keepNext w:val="0"/>
              <w:spacing w:line="240" w:lineRule="auto" w:after="0"/>
              <w:jc w:val="center"/>
            </w:pPr>
            <w:r>
              <w:t>2467</w:t>
            </w:r>
          </w:p>
        </w:tc>
        <w:tc>
          <w:tcPr>
            <w:tcW w:type="dxa" w:w="1247"/>
            <w:vAlign w:val="center"/>
          </w:tcPr>
          <w:p>
            <w:pPr>
              <w:keepNext w:val="0"/>
              <w:spacing w:line="240" w:lineRule="auto" w:after="0"/>
              <w:jc w:val="center"/>
            </w:pPr>
            <w:r>
              <w:t>1090</w:t>
            </w:r>
          </w:p>
        </w:tc>
        <w:tc>
          <w:tcPr>
            <w:tcW w:type="dxa" w:w="1417"/>
            <w:vAlign w:val="center"/>
          </w:tcPr>
          <w:p>
            <w:pPr>
              <w:keepNext w:val="0"/>
              <w:spacing w:line="240" w:lineRule="auto" w:after="0"/>
              <w:jc w:val="center"/>
            </w:pPr>
            <w:r>
              <w:t>64</w:t>
            </w:r>
          </w:p>
        </w:tc>
        <w:tc>
          <w:tcPr>
            <w:tcW w:type="dxa" w:w="1871"/>
            <w:vAlign w:val="center"/>
          </w:tcPr>
          <w:p>
            <w:pPr>
              <w:keepNext w:val="0"/>
              <w:spacing w:line="240" w:lineRule="auto" w:after="0"/>
              <w:jc w:val="center"/>
            </w:pPr>
            <w:r>
              <w:t>1,943</w:t>
            </w:r>
          </w:p>
        </w:tc>
        <w:tc>
          <w:tcPr>
            <w:tcW w:type="dxa" w:w="1871"/>
            <w:vAlign w:val="center"/>
          </w:tcPr>
          <w:p>
            <w:pPr>
              <w:keepNext w:val="0"/>
              <w:spacing w:line="240" w:lineRule="auto" w:after="0"/>
              <w:jc w:val="center"/>
            </w:pPr>
            <w:r>
              <w:t>2,240</w:t>
            </w:r>
          </w:p>
        </w:tc>
      </w:tr>
    </w:tbl>
    <w:p>
      <w:pPr>
        <w:spacing w:line="240" w:lineRule="auto"/>
        <w:jc w:val="both"/>
      </w:pPr>
    </w:p>
    <w:p>
      <w:pPr>
        <w:jc w:val="both"/>
      </w:pPr>
      <w:r>
        <w:t>Las regiones son latitud &lt; 4,5°, entre 4,5° y 8°, y ≥ 8°. Se agrupan predicciones de tres modelos distintos: RMS 1D fijo 1,928 s y 3D 2,094 s. Esta prueba conserva su alcance de tres rondas y no valida transferencia espacial del perfil 1D ajustable ni de los tres pesos de regularización absoluta. La exclusión se calcula en las posiciones iniciales y no garantiza la separación después de relocalizar.</w:t>
      </w:r>
    </w:p>
    <w:p>
      <w:pPr>
        <w:pStyle w:val="Heading2"/>
        <w:spacing w:before="160" w:after="40"/>
        <w:jc w:val="left"/>
      </w:pPr>
      <w:r>
        <w:t>4.7 Geometrías candidatas y división espacial</w:t>
      </w:r>
    </w:p>
    <w:p>
      <w:pPr>
        <w:jc w:val="both"/>
      </w:pPr>
      <w:r>
        <w:t>Entre k = 2–6, la mayor silueta corresponde a dos grupos en ambas métricas. En km, k = 2 obtiene silueta 0,585 y acuerdo de 90,1 % con la diagonal geográfica; los 30 de 30 inicios coinciden al menos en 99 % tras permutar etiquetas. Con coordenadas estandarizadas, la silueta es 0,444 y el acuerdo es 91,8 %. Estas cifras documentan una organización espacial reproducible del conjunto; la diagonal no fue estimada por k-means y la similitud de etiquetas no demuestra coincidencia de líneas ni identidad tectónica.</w:t>
      </w:r>
    </w:p>
    <w:p>
      <w:pPr>
        <w:jc w:val="both"/>
      </w:pPr>
      <w:r>
        <w:t>La superficie candidata Nazca se ajusta a 438 controles de celdas, con RMS vertical de 30,66 km. Tiene 35982 triángulos, de los cuales 16302 (45,3 %) cumplen el criterio combinado de proximidad y soporte activo. Para 242 eventos reservados con profundidad ≥40 km, dentro de la misma región geográfica y envolvente lateral, el RMS vertical es 25,59 km. Esos eventos conservan sus coordenadas de catálogo y no intervinieron en el ajuste; no se filtraron por brecha ni compatibilidad con Slab2. Los errores verticales geométricos comparan poblaciones distintas de celdas y eventos, y no son incertidumbres hipocentrales ni RMS de tiempos.</w:t>
      </w:r>
    </w:p>
    <w:p>
      <w:pPr>
        <w:jc w:val="both"/>
      </w:pPr>
      <w:r>
        <w:t>La superficie candidata Caribe se ajusta a 268 controles de celdas, con RMS vertical de 24,84 km. Tiene 16912 triángulos, de los cuales 10918 (64,6 %) cumplen el criterio combinado de proximidad y soporte activo. Para 131 eventos reservados con profundidad ≥40 km, dentro de la misma región geográfica y envolvente lateral, el RMS vertical es 19,24 km. Esos eventos conservan sus coordenadas de catálogo y no intervinieron en el ajuste; no se filtraron por brecha ni compatibilidad con Slab2. Los errores verticales geométricos comparan poblaciones distintas de celdas y eventos, y no son incertidumbres hipocentrales ni RMS de tiempos.</w:t>
      </w:r>
    </w:p>
    <w:p>
      <w:pPr>
        <w:jc w:val="both"/>
      </w:pPr>
      <w:r>
        <w:t>Los tres suplementos interactivos permiten evaluar conjuntamente las anomalías, las superficies continuas y los bisectores. En el primero, los fragmentos corresponden a isovalores del volumen final; en el segundo, Nazca se representa en morado y Caribe en naranja junto con los sismos SGC; en el tercero se puede cambiar k y la métrica. La continuidad de una superficie y su nombre tectónico constituyen la hipótesis sometida a evaluación, no una consecuencia automática del ajuste numérico.</w:t>
      </w:r>
    </w:p>
    <w:p>
      <w:pPr>
        <w:spacing w:line="240" w:lineRule="auto"/>
        <w:jc w:val="both"/>
      </w:pPr>
      <w:hyperlink r:id="rId13">
        <w:r>
          <w:rPr>
            <w:color w:val="000000"/>
            <w:rFonts w:ascii="Times New Roman" w:hAnsi="Times New Roman"/>
          </w:rPr>
          <w:t>Anomalías Vp y sismos en 3D</w:t>
        </w:r>
      </w:hyperlink>
    </w:p>
    <w:p>
      <w:pPr>
        <w:spacing w:line="240" w:lineRule="auto"/>
        <w:jc w:val="both"/>
      </w:pPr>
      <w:hyperlink r:id="rId14">
        <w:r>
          <w:rPr>
            <w:color w:val="000000"/>
            <w:rFonts w:ascii="Times New Roman" w:hAnsi="Times New Roman"/>
          </w:rPr>
          <w:t>Nazca morada y Caribe naranja reconstruidas con NURBS</w:t>
        </w:r>
      </w:hyperlink>
    </w:p>
    <w:p>
      <w:pPr>
        <w:spacing w:line="240" w:lineRule="auto"/>
        <w:jc w:val="both"/>
      </w:pPr>
      <w:hyperlink r:id="rId15">
        <w:r>
          <w:rPr>
            <w:color w:val="000000"/>
            <w:rFonts w:ascii="Times New Roman" w:hAnsi="Times New Roman"/>
          </w:rPr>
          <w:t>División espacial y sensibilidad k-means</w:t>
        </w:r>
      </w:hyperlink>
    </w:p>
    <w:p>
      <w:pPr>
        <w:pStyle w:val="Heading1"/>
        <w:spacing w:before="160" w:after="40"/>
        <w:jc w:val="left"/>
      </w:pPr>
      <w:r>
        <w:t>5 Discusión</w:t>
      </w:r>
    </w:p>
    <w:p>
      <w:pPr>
        <w:jc w:val="both"/>
      </w:pPr>
      <w:r>
        <w:t>Proponemos evaluar si la agrupación suroccidental es compatible con Nazca y la nororiental con Caribe, y si los fragmentos de anomalías coinciden con esos dominios. El acuerdo de k-means con una clasificación planteada previamente apoya su plausibilidad espacial, pero puede reflejar la distribución del catálogo y no una interfaz de placas. Las NURBS usan esa clasificación, por lo que su separación no es una segunda estimación independiente del límite. Una confirmación tectónica exigiría estabilidad al cambiar población y métrica, recuperación sintética a las escalas interpretadas, restricciones de mecanismos e interfaces y contraste con modelos regionales independientes. Aquí publicamos las superficies, los bisectores y los criterios para someter esa hipótesis a evaluación, manteniendo los resultados adversos de recuperación y predicción.</w:t>
      </w:r>
    </w:p>
    <w:p>
      <w:pPr>
        <w:jc w:val="both"/>
      </w:pPr>
      <w:r>
        <w:t>El contraste exige un control capaz de modificar el perfil en profundidad. Comparar solo contra una referencia fija puede atribuir a variaciones laterales una corrección que admite una explicación 1D. El brazo ajustable reduce ese sesgo de diseño, pero conserva un número finito de parámetros, penalización y límites de paso; no se afirma que sea un mínimo global de velocidad. Las trayectorias separan estabilización iterativa de una mejor predicción fuera del ajuste.</w:t>
      </w:r>
    </w:p>
    <w:p>
      <w:pPr>
        <w:jc w:val="both"/>
      </w:pPr>
      <w:r>
        <w:t>La rugosidad ofrece una hipótesis comprobable sobre el error de malla: cambios fuertes entre parámetros contiguos dificultan la aproximación del campo, aunque el tratamiento de la singularidad sea correcto. El barrido examina esa relación directamente. El error de refinamiento incluye también interfaces, interpolación y propagación; no se atribuye exclusivamente a rugosidad sin controlar esos mecanismos. Un peso que reduzca diferencias de malla tampoco prueba recuperar amplitudes: debe contrastarse con los datos reservados y el damero.</w:t>
      </w:r>
    </w:p>
    <w:p>
      <w:pPr>
        <w:jc w:val="both"/>
      </w:pPr>
      <w:r>
        <w:t>El RMS de entrenamiento evalúa las posiciones y orígenes ajustados, mientras que la reserva conserva el catálogo. Su diferencia refleja generalización y también esta asimetría de parámetros. Estáticas, cambios de origen y desplazamientos hipocentrales pueden absorber error de referencia y de picks. La combinación de ramas normalizadas, asociación con ventana amplia y umbrales de probabilidad no calibrados como incertidumbre impide tratar todo residual como ruido gaussiano independiente. El sintético efectivo aproxima dispersión empírica, pero no identifica el mecanismo de cada error ni reproduce su dependencia espacial.</w:t>
      </w:r>
    </w:p>
    <w:p>
      <w:pPr>
        <w:jc w:val="both"/>
      </w:pPr>
      <w:r>
        <w:t>El contraste pareado de altura permite evaluar su efecto sin cambiar población, operador o regularización. La disminución de la pendiente de las estáticas y del RMS reservado sustenta la incorporación de las cotas, dentro del protocolo utilizado; parte de la corrección asignada a estaciones a profundidad cero respondía a esa geometría. En cambio, diferencias entre ajustes con otros solucionadores y poblaciones no constituyen evidencia causal de que una sobreestimación numérica compensara un perfil demasiado rápido. Esa explicación es plausible y requeriría un contraste del operador a población y modelo idénticos, además de tiempos de referencia convergentes; no se adopta como hallazgo demostrado.</w:t>
      </w:r>
    </w:p>
    <w:p>
      <w:pPr>
        <w:jc w:val="both"/>
      </w:pPr>
      <w:r>
        <w:t>Las limitaciones restantes son uso exclusivo de P, tratamiento conjunto de Pn/Pg, relocalización en nodos, propagación cartesiana sin curvatura, extrapolación de roca sobre z = 0 y evaluación de malla fina en un subconjunto. La validación espacial auxiliar no se extiende automáticamente al perfil ajustable. Las superficies interpoladas del suplemento son construcciones geométricas exploratorias y no se usan para sostener amplitudes tomográficas ni un límite tectónico. El alcance estructural exige concordancia de controles, no apariencia continua de los cortes.</w:t>
      </w:r>
    </w:p>
    <w:p>
      <w:pPr>
        <w:pStyle w:val="Heading1"/>
        <w:spacing w:before="160" w:after="40"/>
        <w:jc w:val="left"/>
      </w:pPr>
      <w:r>
        <w:t>6 Conclusiones</w:t>
      </w:r>
    </w:p>
    <w:p>
      <w:pPr>
        <w:jc w:val="both"/>
      </w:pPr>
      <w:r>
        <w:t>La comparación incluye un perfil 1D fijo, otro ajustable y tres pesos de suavidad 3D, con la misma población, cotas y operador factorizado. El RMS reservado del perfil ajustable es 1,763 s y el del peso intermedio 3D es 1,935 s. Se conserva la diferencia observada y su incertidumbre condicional, sin seleccionar una ronda por reserva.</w:t>
      </w:r>
    </w:p>
    <w:p>
      <w:pPr>
        <w:jc w:val="both"/>
      </w:pPr>
      <w:r>
        <w:t>El modelo 3D λ = 20 satisface las tolerancias de refinamiento definidas. El damero con dispersión empírica no cumple conjuntamente las puertas de correlación y error L2. Los resultados de suavidad y altura delimitan qué parte del ajuste es estable y predictiva bajo el protocolo, sin demostrar recuperación a otras escalas.</w:t>
      </w:r>
    </w:p>
    <w:p>
      <w:pPr>
        <w:jc w:val="both"/>
      </w:pPr>
      <w:r>
        <w:t>La consistencia entre campos y sensibilidades es necesaria para interpretar una inversión. El experimento mantiene separados verificación algebraica, parada iterativa, refinamiento y resolución, y conserva también los resultados adversos. Las figuras se ofrecen como diagnóstico sujeto a esos controles.</w:t>
      </w:r>
    </w:p>
    <w:p>
      <w:pPr>
        <w:jc w:val="both"/>
      </w:pPr>
      <w:r>
        <w:t>La organización de la sismicidad en dos dominios motiva la hipótesis Nazca–Caribe publicada en los suplementos 3D. Las NURBS representan esa hipótesis con continuidad explícitamente interpolada; los fragmentos de Vp y la división k-means se ofrecen para contrastarla. La identidad tectónica, el contacto entre superficies y la asociación de las anomalías permanecen sujetos a evaluación independiente.</w:t>
      </w:r>
    </w:p>
    <w:p>
      <w:pPr>
        <w:pStyle w:val="Heading1"/>
        <w:spacing w:before="160" w:after="40"/>
        <w:jc w:val="left"/>
      </w:pPr>
      <w:r>
        <w:t>7 Agradecimientos y declaraciones</w:t>
      </w:r>
    </w:p>
    <w:p>
      <w:pPr>
        <w:jc w:val="both"/>
      </w:pPr>
      <w:r>
        <w:t>Agradecemos las fuentes públicas SGC, ISC y DANE. Esta investigación no recibió financiación específica. Los autores declaran que no existen conflictos de intereses.</w:t>
      </w:r>
    </w:p>
    <w:p>
      <w:pPr>
        <w:jc w:val="both"/>
      </w:pPr>
      <w:r>
        <w:t>Rómulo Sandoval Florez, Claudia Patricia Parra Medina y Francisco Cabrera Zambrano participaron por igual en conceptualización, metodología, análisis formal y redacción. Se utilizó Codex de OpenAI para programación, comprobaciones numéricas, organización bibliográfica y edición. Las decisiones científicas y la responsabilidad por el contenido corresponden a los autores.</w:t>
      </w:r>
    </w:p>
    <w:p>
      <w:pPr>
        <w:pStyle w:val="Heading1"/>
        <w:spacing w:before="160" w:after="40"/>
        <w:jc w:val="left"/>
      </w:pPr>
      <w:r>
        <w:t>8 Disponibilidad de datos y suplementos</w:t>
      </w:r>
    </w:p>
    <w:p>
      <w:pPr>
        <w:jc w:val="both"/>
      </w:pPr>
      <w:r>
        <w:t>El paquete de reproducción contiene observaciones seleccionadas, particiones, procedencia, configuraciones, código, modelos, predicciones, pruebas y huellas SHA256. Se distribuye en la rama tomografia-colombia-uis-h del repositorio público romusan/relocation-pwave-tomography, dentro de tomografia_colombia_uis. Los enlaces locales siguientes son portables dentro del paquete descargado. Los tres HTML geométricos se regeneraron con los datos de la campaña final h. Los resultados, celdas y etiquetas k-means, bisectores, parámetros NURBS y hashes de procedencia se incluyen en hipotesis_placas. El repositorio no tiene DOI.</w:t>
      </w:r>
    </w:p>
    <w:p>
      <w:pPr>
        <w:spacing w:line="240" w:lineRule="auto"/>
        <w:jc w:val="both"/>
      </w:pPr>
      <w:hyperlink r:id="rId16">
        <w:r>
          <w:rPr>
            <w:color w:val="000000"/>
            <w:rFonts w:ascii="Times New Roman" w:hAnsi="Times New Roman"/>
          </w:rPr>
          <w:t>Repositorio público de datos, código y suplementos</w:t>
        </w:r>
      </w:hyperlink>
    </w:p>
    <w:p>
      <w:pPr>
        <w:spacing w:line="240" w:lineRule="auto"/>
        <w:jc w:val="both"/>
      </w:pPr>
      <w:hyperlink r:id="rId17">
        <w:r>
          <w:rPr>
            <w:color w:val="000000"/>
            <w:rFonts w:ascii="Times New Roman" w:hAnsi="Times New Roman"/>
          </w:rPr>
          <w:t>Figura S1 estaciones y distribuciones</w:t>
        </w:r>
      </w:hyperlink>
    </w:p>
    <w:p>
      <w:pPr>
        <w:spacing w:line="240" w:lineRule="auto"/>
        <w:jc w:val="both"/>
      </w:pPr>
      <w:hyperlink r:id="rId18">
        <w:r>
          <w:rPr>
            <w:color w:val="000000"/>
            <w:rFonts w:ascii="Times New Roman" w:hAnsi="Times New Roman"/>
          </w:rPr>
          <w:t>Figura S2 trayectorias de RMS</w:t>
        </w:r>
      </w:hyperlink>
    </w:p>
    <w:p>
      <w:pPr>
        <w:spacing w:line="240" w:lineRule="auto"/>
        <w:jc w:val="both"/>
      </w:pPr>
      <w:hyperlink r:id="rId19">
        <w:r>
          <w:rPr>
            <w:color w:val="000000"/>
            <w:rFonts w:ascii="Times New Roman" w:hAnsi="Times New Roman"/>
          </w:rPr>
          <w:t>RMS por ronda en CSV</w:t>
        </w:r>
      </w:hyperlink>
    </w:p>
    <w:p>
      <w:pPr>
        <w:spacing w:line="240" w:lineRule="auto"/>
        <w:jc w:val="both"/>
      </w:pPr>
      <w:hyperlink r:id="rId20">
        <w:r>
          <w:rPr>
            <w:color w:val="000000"/>
            <w:rFonts w:ascii="Times New Roman" w:hAnsi="Times New Roman"/>
          </w:rPr>
          <w:t>Figura S3 perfiles inicial y ajustados</w:t>
        </w:r>
      </w:hyperlink>
    </w:p>
    <w:p>
      <w:pPr>
        <w:spacing w:line="240" w:lineRule="auto"/>
        <w:jc w:val="both"/>
      </w:pPr>
      <w:hyperlink r:id="rId21">
        <w:r>
          <w:rPr>
            <w:color w:val="000000"/>
            <w:rFonts w:ascii="Times New Roman" w:hAnsi="Times New Roman"/>
          </w:rPr>
          <w:t>Figura S4 damero y recuperación</w:t>
        </w:r>
      </w:hyperlink>
    </w:p>
    <w:p>
      <w:pPr>
        <w:spacing w:line="240" w:lineRule="auto"/>
        <w:jc w:val="both"/>
      </w:pPr>
      <w:hyperlink r:id="rId22">
        <w:r>
          <w:rPr>
            <w:color w:val="000000"/>
            <w:rFonts w:ascii="Times New Roman" w:hAnsi="Times New Roman"/>
          </w:rPr>
          <w:t>Figura S5 estáticas y elevación</w:t>
        </w:r>
      </w:hyperlink>
    </w:p>
    <w:p>
      <w:pPr>
        <w:spacing w:line="240" w:lineRule="auto"/>
        <w:jc w:val="both"/>
      </w:pPr>
      <w:hyperlink r:id="rId13">
        <w:r>
          <w:rPr>
            <w:color w:val="000000"/>
            <w:rFonts w:ascii="Times New Roman" w:hAnsi="Times New Roman"/>
          </w:rPr>
          <w:t>Vista 3D de sismos SGC y fragmentos</w:t>
        </w:r>
      </w:hyperlink>
    </w:p>
    <w:p>
      <w:pPr>
        <w:spacing w:line="240" w:lineRule="auto"/>
        <w:jc w:val="both"/>
      </w:pPr>
      <w:hyperlink r:id="rId14">
        <w:r>
          <w:rPr>
            <w:color w:val="000000"/>
            <w:rFonts w:ascii="Times New Roman" w:hAnsi="Times New Roman"/>
          </w:rPr>
          <w:t>Vista 3D de Nazca y Caribe interpoladas</w:t>
        </w:r>
      </w:hyperlink>
    </w:p>
    <w:p>
      <w:pPr>
        <w:spacing w:line="240" w:lineRule="auto"/>
        <w:jc w:val="both"/>
      </w:pPr>
      <w:hyperlink r:id="rId15">
        <w:r>
          <w:rPr>
            <w:color w:val="000000"/>
            <w:rFonts w:ascii="Times New Roman" w:hAnsi="Times New Roman"/>
          </w:rPr>
          <w:t>Agrupamiento exploratorio del catálogo</w:t>
        </w:r>
      </w:hyperlink>
    </w:p>
    <w:p>
      <w:pPr>
        <w:spacing w:line="240" w:lineRule="auto"/>
        <w:jc w:val="both"/>
      </w:pPr>
      <w:hyperlink r:id="rId23">
        <w:r>
          <w:rPr>
            <w:color w:val="000000"/>
            <w:rFonts w:ascii="Times New Roman" w:hAnsi="Times New Roman"/>
          </w:rPr>
          <w:t>Métodos y procedencia de las hipótesis 3D</w:t>
        </w:r>
      </w:hyperlink>
    </w:p>
    <w:p>
      <w:pPr>
        <w:spacing w:line="240" w:lineRule="auto"/>
        <w:jc w:val="both"/>
      </w:pPr>
      <w:hyperlink r:id="rId24">
        <w:r>
          <w:rPr>
            <w:color w:val="000000"/>
            <w:rFonts w:ascii="Times New Roman" w:hAnsi="Times New Roman"/>
          </w:rPr>
          <w:t>Métricas k-means por k y métrica espacial</w:t>
        </w:r>
      </w:hyperlink>
    </w:p>
    <w:p>
      <w:pPr>
        <w:spacing w:line="240" w:lineRule="auto"/>
        <w:jc w:val="both"/>
      </w:pPr>
      <w:hyperlink r:id="rId25">
        <w:r>
          <w:rPr>
            <w:color w:val="000000"/>
            <w:rFonts w:ascii="Times New Roman" w:hAnsi="Times New Roman"/>
          </w:rPr>
          <w:t>Celdas y clasificación espacial reproducible</w:t>
        </w:r>
      </w:hyperlink>
    </w:p>
    <w:p>
      <w:pPr>
        <w:pStyle w:val="Heading1"/>
        <w:spacing w:before="160" w:after="40"/>
        <w:jc w:val="left"/>
      </w:pPr>
      <w:r>
        <w:t>9 Referencias</w:t>
      </w:r>
    </w:p>
    <w:p>
      <w:pPr>
        <w:keepLines/>
        <w:spacing w:line="240" w:lineRule="auto"/>
        <w:jc w:val="left"/>
      </w:pPr>
      <w:r>
        <w:t>Chiarabba, C.; De Gori, P.; Faccenna, C.; Speranza, F.; Seccia, D.; Dionicio, V.; Prieto, G. A. (2016). Subduction system and flat slab beneath the Eastern Cordillera of Colombia. Geochemistry, Geophysics, Geosystems, 17(1), 16-27. https://doi.org/10.1002/2015gc006048 (artículo en revista).</w:t>
      </w:r>
    </w:p>
    <w:p>
      <w:pPr>
        <w:keepLines/>
        <w:spacing w:line="240" w:lineRule="auto"/>
        <w:jc w:val="left"/>
      </w:pPr>
      <w:r>
        <w:t>Cornthwaite, J.; Bezada, M. J.; Miao, W.; Schmitz, M.; Prieto, G. A.; Dionicio, V.; Niu, F.; Levander, A. (2021). Caribbean Slab Segmentation Beneath Northwest South America Revealed by 3-D Finite Frequency Teleseismic P-Wave Tomography. Geochemistry, Geophysics, Geosystems, 22(4), e2020GC009431. https://doi.org/10.1029/2020gc009431 (artículo en revista).</w:t>
      </w:r>
    </w:p>
    <w:p>
      <w:pPr>
        <w:keepLines/>
        <w:spacing w:line="240" w:lineRule="auto"/>
        <w:jc w:val="left"/>
      </w:pPr>
      <w:r>
        <w:t>Departamento Administrativo Nacional de Estadística (DANE) (2025). Servicio de límites departamentales Territoriales DANE 2025. https://geoportal.dane.gov.co/mparcgis/rest/services/Territoriales_DANE/Serv_Territoriales_DANE_2025/MapServer/1 (conjunto de datos cartográficos).</w:t>
      </w:r>
    </w:p>
    <w:p>
      <w:pPr>
        <w:keepLines/>
        <w:spacing w:line="240" w:lineRule="auto"/>
        <w:jc w:val="left"/>
      </w:pPr>
      <w:r>
        <w:t>Fichtner, A.; Kennett, B. L. N.; Tsai, V. C.; Thurber, C. H.; Rodgers, A. J.; Tape, C.; Rawlinson, N.; Borcherdt, R. D.; Lebedev, S.; Priestley, K.; Morency, C.; Bozdağ, E.; Tromp, J.; Ritsema, J.; Romanowicz, B.; Liu, Q.; Golos, E.; Lin, F. C. (2024). Seismic Tomography 2024. Bulletin of the Seismological Society of America, 114(3), 1185-1213. https://doi.org/10.1785/0120230229 (artículo en revista).</w:t>
      </w:r>
    </w:p>
    <w:p>
      <w:pPr>
        <w:keepLines/>
        <w:spacing w:line="240" w:lineRule="auto"/>
        <w:jc w:val="left"/>
      </w:pPr>
      <w:r>
        <w:t>Fomel, S.; Luo, S.; Zhao, H. (2009). Fast sweeping method for the factored eikonal equation. Journal of Computational Physics, 228(17), 6440–6455. https://doi.org/10.1016/j.jcp.2009.05.029 (artículo en revista).</w:t>
      </w:r>
    </w:p>
    <w:p>
      <w:pPr>
        <w:keepLines/>
        <w:spacing w:line="240" w:lineRule="auto"/>
        <w:jc w:val="left"/>
      </w:pPr>
      <w:r>
        <w:t>Fong, D. C. L.; Saunders, M. (2011). LSMR: An Iterative Algorithm for Sparse Least-Squares Problems. SIAM Journal on Scientific Computing, 33(5), 2950-2971. https://doi.org/10.1137/10079687x (artículo en revista).</w:t>
      </w:r>
    </w:p>
    <w:p>
      <w:pPr>
        <w:keepLines/>
        <w:spacing w:line="240" w:lineRule="auto"/>
        <w:jc w:val="left"/>
      </w:pPr>
      <w:r>
        <w:t>Hayes, G. P.; Moore, G. L.; Portner, D. E.; Hearne, M.; Flamme, H.; Furtney, M.; Smoczyk, G. M. (2018). Slab2, a comprehensive subduction zone geometry model. Science, 362(6410), 58-61. https://doi.org/10.1126/science.aat4723 (artículo en revista).</w:t>
      </w:r>
    </w:p>
    <w:p>
      <w:pPr>
        <w:keepLines/>
        <w:spacing w:line="240" w:lineRule="auto"/>
        <w:jc w:val="left"/>
      </w:pPr>
      <w:r>
        <w:t>International Seismological Centre (2026). On-line Bulletin. https://doi.org/10.31905/D808B830 (conjunto de datos).</w:t>
      </w:r>
    </w:p>
    <w:p>
      <w:pPr>
        <w:keepLines/>
        <w:spacing w:line="240" w:lineRule="auto"/>
        <w:jc w:val="left"/>
      </w:pPr>
      <w:r>
        <w:t>Kissling, E.; Ellsworth, W. L.; Eberhart-Phillips, D.; Kradolfer, U. (1994). Initial reference models in local earthquake tomography. Journal of Geophysical Research: Solid Earth, 99(B10), 19635-19646. https://doi.org/10.1029/93jb03138 (artículo en revista).</w:t>
      </w:r>
    </w:p>
    <w:p>
      <w:pPr>
        <w:keepLines/>
        <w:spacing w:line="240" w:lineRule="auto"/>
        <w:jc w:val="left"/>
      </w:pPr>
      <w:r>
        <w:t>Michelini, A.; Cianetti, S.; Gaviano, S.; Giunchi, C.; Jozinović, D.; Lauciani, V. (2021). INSTANCE – the Italian seismic dataset for machine learning. Earth System Science Data, 13, 5509–5544. https://doi.org/10.5194/essd-13-5509-2021.</w:t>
      </w:r>
    </w:p>
    <w:p>
      <w:pPr>
        <w:keepLines/>
        <w:spacing w:line="240" w:lineRule="auto"/>
        <w:jc w:val="left"/>
      </w:pPr>
      <w:r>
        <w:t>Rawlinson, N.; Spakman, W. (2016). On the use of sensitivity tests in seismic tomography. Geophysical Journal International, 205(2), 1221-1243. https://doi.org/10.1093/gji/ggw084 (artículo en revista).</w:t>
      </w:r>
    </w:p>
    <w:p>
      <w:pPr>
        <w:keepLines/>
        <w:spacing w:line="240" w:lineRule="auto"/>
        <w:jc w:val="left"/>
      </w:pPr>
      <w:r>
        <w:t>Servicio Geológico Colombiano (2026). Catálogo de sismicidad y servicios de consulta de eventos y fases. https://catalogosismico.sgc.gov.co/visor/index.html (conjunto de datos).</w:t>
      </w:r>
    </w:p>
    <w:p>
      <w:pPr>
        <w:keepLines/>
        <w:spacing w:line="240" w:lineRule="auto"/>
        <w:jc w:val="left"/>
      </w:pPr>
      <w:r>
        <w:t>Sun, M.; Bezada, M. J.; Cornthwaite, J.; Prieto, G. A.; Niu, F.; Levander, A. (2022). Overlapping slabs: Untangling subduction in NW South America through finite-frequency teleseismic tomography. Earth and Planetary Science Letters, 577, 117253. https://doi.org/10.1016/j.epsl.2021.117253 (artículo en revista).</w:t>
      </w:r>
    </w:p>
    <w:p>
      <w:pPr>
        <w:keepLines/>
        <w:spacing w:line="240" w:lineRule="auto"/>
        <w:jc w:val="left"/>
      </w:pPr>
      <w:r>
        <w:t>Syracuse, E. M.; Maceira, M.; Prieto, G. A.; Zhang, H.; Ammon, C. J. (2016). Multiple plates subducting beneath Colombia, as illuminated by seismicity and velocity from the joint inversion of seismic and gravity data. Earth and Planetary Science Letters, 444, 139-149. https://doi.org/10.1016/j.epsl.2016.03.050 (artículo en revista).</w:t>
      </w:r>
    </w:p>
    <w:p>
      <w:pPr>
        <w:keepLines/>
        <w:spacing w:line="240" w:lineRule="auto"/>
        <w:jc w:val="left"/>
      </w:pPr>
      <w:r>
        <w:t>Tarantola, A. (2005). Inverse Problem Theory and Methods for Model Parameter Estimation. Society for Industrial and Applied Mathematics. https://doi.org/10.1137/1.9780898717921 (libro).</w:t>
      </w:r>
    </w:p>
    <w:p>
      <w:pPr>
        <w:keepLines/>
        <w:spacing w:line="240" w:lineRule="auto"/>
        <w:jc w:val="left"/>
      </w:pPr>
      <w:r>
        <w:t>Treister, E.; Haber, E. (2016). A fast marching algorithm for the factored eikonal equation. Journal of Computational Physics, 324, 210–225. https://doi.org/10.1016/j.jcp.2016.08.012.</w:t>
      </w:r>
    </w:p>
    <w:p>
      <w:pPr>
        <w:keepLines/>
        <w:spacing w:line="240" w:lineRule="auto"/>
        <w:jc w:val="left"/>
      </w:pPr>
      <w:r>
        <w:t>Waldhauser, F.; Ellsworth, W. L. (2000). A Double-Difference Earthquake Location Algorithm: Method and Application to the Northern Hayward Fault, California. Bulletin of the Seismological Society of America, 90(6), 1353-1368. https://doi.org/10.1785/0120000006 (artículo en revista).</w:t>
      </w:r>
    </w:p>
    <w:p>
      <w:pPr>
        <w:keepLines/>
        <w:spacing w:line="240" w:lineRule="auto"/>
        <w:jc w:val="left"/>
      </w:pPr>
      <w:r>
        <w:t>Zhang, H.; Thurber, C. H. (2003). Double-Difference Tomography: The Method and Its Application to the Hayward Fault, California. Bulletin of the Seismological Society of America, 93(5), 1875-1889. https://doi.org/10.1785/0120020190 (artículo en revista).</w:t>
      </w:r>
    </w:p>
    <w:p>
      <w:pPr>
        <w:keepLines/>
        <w:spacing w:line="240" w:lineRule="auto"/>
        <w:jc w:val="left"/>
      </w:pPr>
      <w:r>
        <w:t>Zhu, W.; Beroza, G. C. (2019). PhaseNet: a deep-neural-network-based seismic arrival-time picking method. Geophysical Journal International, 216(1), 261–273. https://doi.org/10.1093/gji/ggy423.</w:t>
      </w:r>
    </w:p>
    <w:sectPr w:rsidR="009321D5" w:rsidRPr="009321D5">
      <w:headerReference w:type="default" r:id="rId8"/>
      <w:footerReference w:type="default" r:id="rId9"/>
      <w:pgSz w:w="12240" w:h="15840"/>
      <w:pgMar w:top="1701" w:right="1417"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1D5"/>
    <w:rsid w:val="00001236"/>
    <w:rsid w:val="00023BB6"/>
    <w:rsid w:val="000439FB"/>
    <w:rsid w:val="00173CCF"/>
    <w:rsid w:val="001E66E9"/>
    <w:rsid w:val="00366D43"/>
    <w:rsid w:val="004A3185"/>
    <w:rsid w:val="004A48A1"/>
    <w:rsid w:val="00741017"/>
    <w:rsid w:val="009321D5"/>
    <w:rsid w:val="00A50B09"/>
    <w:rsid w:val="00BA13F5"/>
    <w:rsid w:val="00C526E9"/>
    <w:rsid w:val="00CB7F51"/>
    <w:rsid w:val="00F752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F88D0"/>
  <w15:chartTrackingRefBased/>
  <w15:docId w15:val="{7D007ACB-5EA0-454D-B8C5-5F4347670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keepNext w:val="0"/>
      <w:widowControl/>
      <w:spacing w:line="480" w:lineRule="auto" w:before="0" w:after="0"/>
    </w:pPr>
    <w:rPr>
      <w:rFonts w:ascii="Times New Roman" w:hAnsi="Times New Roman"/>
      <w:b w:val="0"/>
      <w:i w:val="0"/>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9321D5"/>
    <w:pPr>
      <w:autoSpaceDE w:val="0"/>
      <w:autoSpaceDN w:val="0"/>
      <w:adjustRightInd w:val="0"/>
      <w:spacing w:after="0" w:line="240" w:lineRule="auto"/>
    </w:pPr>
    <w:rPr>
      <w:rFonts w:ascii="Times New Roman" w:hAnsi="Times New Roman" w:cs="Times New Roman"/>
      <w:color w:val="000000"/>
      <w:sz w:val="24"/>
      <w:szCs w:val="24"/>
    </w:rPr>
  </w:style>
  <w:style w:type="character" w:styleId="Refdenotaalpie">
    <w:name w:val="footnote reference"/>
    <w:basedOn w:val="Fuentedeprrafopredeter"/>
    <w:uiPriority w:val="99"/>
    <w:unhideWhenUsed/>
    <w:rsid w:val="009321D5"/>
    <w:rPr>
      <w:vertAlign w:val="superscript"/>
    </w:rPr>
  </w:style>
  <w:style w:type="character" w:customStyle="1" w:styleId="hps">
    <w:name w:val="hps"/>
    <w:basedOn w:val="Fuentedeprrafopredeter"/>
    <w:rsid w:val="009321D5"/>
  </w:style>
  <w:style w:type="paragraph" w:customStyle="1" w:styleId="Title">
    <w:name w:val="Title"/>
    <w:pPr>
      <w:keepNext/>
      <w:spacing w:line="480" w:lineRule="auto" w:before="0" w:after="0"/>
    </w:pPr>
    <w:rPr>
      <w:rFonts w:ascii="Times New Roman" w:hAnsi="Times New Roman"/>
      <w:b/>
      <w:i w:val="0"/>
      <w:color w:val="000000"/>
      <w:sz w:val="24"/>
    </w:rPr>
  </w:style>
  <w:style w:type="paragraph" w:customStyle="1" w:styleId="Heading1">
    <w:name w:val="heading 1"/>
    <w:pPr>
      <w:keepNext/>
      <w:spacing w:line="480" w:lineRule="auto" w:before="0" w:after="0"/>
    </w:pPr>
    <w:rPr>
      <w:rFonts w:ascii="Times New Roman" w:hAnsi="Times New Roman"/>
      <w:b/>
      <w:i w:val="0"/>
      <w:color w:val="000000"/>
      <w:sz w:val="24"/>
    </w:rPr>
  </w:style>
  <w:style w:type="paragraph" w:customStyle="1" w:styleId="Heading2">
    <w:name w:val="heading 2"/>
    <w:pPr>
      <w:keepNext/>
      <w:spacing w:line="480" w:lineRule="auto" w:before="0" w:after="0"/>
    </w:pPr>
    <w:rPr>
      <w:rFonts w:ascii="Times New Roman" w:hAnsi="Times New Roman"/>
      <w:b/>
      <w:i w:val="0"/>
      <w:color w:val="000000"/>
      <w:sz w:val="24"/>
    </w:rPr>
  </w:style>
  <w:style w:type="paragraph" w:customStyle="1" w:styleId="Caption">
    <w:name w:val="caption"/>
    <w:pPr>
      <w:keepNext/>
      <w:spacing w:line="480" w:lineRule="auto" w:before="0" w:after="0"/>
    </w:pPr>
    <w:rPr>
      <w:rFonts w:ascii="Times New Roman" w:hAnsi="Times New Roman"/>
      <w:b w:val="0"/>
      <w:i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orcid.org/"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yperlink" Target="mailto:romulo@ecci.edu.co"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suplementos/figura_1_fragmentos_sgc.html" TargetMode="External"/><Relationship Id="rId14" Type="http://schemas.openxmlformats.org/officeDocument/2006/relationships/hyperlink" Target="suplementos/figura_2_nurbs_nazca_caribe_sgc.html" TargetMode="External"/><Relationship Id="rId15" Type="http://schemas.openxmlformats.org/officeDocument/2006/relationships/hyperlink" Target="suplementos/clasificacion_kmeans_sgc.html" TargetMode="External"/><Relationship Id="rId16" Type="http://schemas.openxmlformats.org/officeDocument/2006/relationships/hyperlink" Target="https://github.com/romusan/relocation-pwave-tomography/tree/tomografia-colombia-uis-h/tomografia_colombia_uis" TargetMode="External"/><Relationship Id="rId17" Type="http://schemas.openxmlformats.org/officeDocument/2006/relationships/hyperlink" Target="suplementos/Datos_estaciones_magnitudes_profundidades.png" TargetMode="External"/><Relationship Id="rId18" Type="http://schemas.openxmlformats.org/officeDocument/2006/relationships/hyperlink" Target="suplementos/RMS_por_ronda.png" TargetMode="External"/><Relationship Id="rId19" Type="http://schemas.openxmlformats.org/officeDocument/2006/relationships/hyperlink" Target="suplementos/rms_por_ronda.csv" TargetMode="External"/><Relationship Id="rId20" Type="http://schemas.openxmlformats.org/officeDocument/2006/relationships/hyperlink" Target="suplementos/Perfiles_velocidad.png" TargetMode="External"/><Relationship Id="rId21" Type="http://schemas.openxmlformats.org/officeDocument/2006/relationships/hyperlink" Target="suplementos/Damero_efectivo.png" TargetMode="External"/><Relationship Id="rId22" Type="http://schemas.openxmlformats.org/officeDocument/2006/relationships/hyperlink" Target="suplementos/Estaticas_elevacion.png" TargetMode="External"/><Relationship Id="rId23" Type="http://schemas.openxmlformats.org/officeDocument/2006/relationships/hyperlink" Target="suplementos/hipotesis_h_metodologia.json" TargetMode="External"/><Relationship Id="rId24" Type="http://schemas.openxmlformats.org/officeDocument/2006/relationships/hyperlink" Target="suplementos/hipotesis_h_metricas_kmeans.csv" TargetMode="External"/><Relationship Id="rId25" Type="http://schemas.openxmlformats.org/officeDocument/2006/relationships/hyperlink" Target="suplementos/hipotesis_h_kmeans_celdas.cs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184</Words>
  <Characters>1014</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Controles predictivos y numéricos de una tomografía local de Vp en Colombia</dc:title>
  <dc:subject>Comparación de perfiles 1D y modelos 3D con regularización y eikonal factorizado</dc:subject>
  <dc:creator>Rómulo Sandoval Florez; Claudia Patricia Parra Medina; Francisco Cabrera Zambrano</dc:creator>
  <cp:keywords/>
  <dc:description/>
  <cp:lastModifiedBy>usuario</cp:lastModifiedBy>
  <cp:revision>12</cp:revision>
  <dcterms:created xsi:type="dcterms:W3CDTF">2020-04-13T19:55:00Z</dcterms:created>
  <dcterms:modified xsi:type="dcterms:W3CDTF">2020-12-09T21:51:00Z</dcterms:modified>
</cp:coreProperties>
</file>