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!!! warning</w:t>
      </w:r>
      <w:r>
        <w:t xml:space="preserve"> </w:t>
      </w:r>
      <w:r>
        <w:t xml:space="preserve">“</w:t>
      </w:r>
      <w:r>
        <w:t xml:space="preserve">Draft Draft Draft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This is a draft of the storage description, layout and recommended usage.</w:t>
      </w:r>
      <w:r>
        <w:br/>
      </w:r>
      <w:r>
        <w:rPr>
          <w:rStyle w:val="VerbatimChar"/>
        </w:rPr>
        <w:t xml:space="preserve">Comments/suggestions/critiques to us in Slack #hpc-community.</w:t>
      </w:r>
    </w:p>
    <w:bookmarkEnd w:id="20"/>
    <w:bookmarkStart w:id="33" w:name="storage-namespaces"/>
    <w:p>
      <w:pPr>
        <w:pStyle w:val="Heading1"/>
      </w:pPr>
      <w:r>
        <w:t xml:space="preserve">Storage Namespaces</w:t>
      </w:r>
    </w:p>
    <w:p>
      <w:pPr>
        <w:pStyle w:val="FirstParagraph"/>
      </w:pPr>
      <w:r>
        <w:t xml:space="preserve">The following table outlines the available storage namespaces in which storage is either already available or can be provisioned upon request.</w:t>
      </w:r>
    </w:p>
    <w:tbl>
      <w:tblPr>
        <w:tblStyle w:val="Table"/>
        <w:tblW w:type="pct" w:w="4825"/>
        <w:tblLayout w:type="fixed"/>
        <w:tblLook w:firstRow="1" w:lastRow="0" w:firstColumn="0" w:lastColumn="0" w:noHBand="0" w:noVBand="0" w:val="0020"/>
      </w:tblPr>
      <w:tblGrid>
        <w:gridCol w:w="1606"/>
        <w:gridCol w:w="996"/>
        <w:gridCol w:w="664"/>
        <w:gridCol w:w="775"/>
        <w:gridCol w:w="886"/>
        <w:gridCol w:w="996"/>
        <w:gridCol w:w="17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Unix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Disk/Server</w:t>
            </w:r>
            <w:r>
              <w:t xml:space="preserve"> </w:t>
            </w:r>
            <w:r>
              <w:t xml:space="preserve">Redundancy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Snapshots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On-Site</w:t>
            </w:r>
            <w:r>
              <w:t xml:space="preserve"> </w:t>
            </w:r>
            <w:r>
              <w:t xml:space="preserve">Replica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Off-Site</w:t>
            </w:r>
            <w:r>
              <w:t xml:space="preserve"> </w:t>
            </w:r>
            <w:r>
              <w:t xml:space="preserve">Replica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Glacier</w:t>
            </w:r>
            <w:r>
              <w:t xml:space="preserve"> </w:t>
            </w:r>
            <w:r>
              <w:t xml:space="preserve">Deep Archive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used for/data which is: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${HOME}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private data/applications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/hpc/mydata/${USER}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personal working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/local/scratch</w:t>
            </w:r>
            <w:r>
              <w:t xml:space="preserve"> </w:t>
            </w:r>
            <w:r>
              <w:rPr>
                <w:rStyle w:val="VerbatimChar"/>
              </w:rPr>
              <w:t xml:space="preserve">/hpc/nodes/${NODE}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scratch data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easily reproducible data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intermediate job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/hpc/scratch/${NAME}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scratch data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easily reproducible data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intermediate job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/hpc/projects/${NAME}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t xml:space="preserve"> </w:t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  <w:r>
              <w:t xml:space="preserve"> 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  <w:r>
              <w:t xml:space="preserve"> 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working/active data sets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results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difficult to reproduce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/hpc/archives/${NAME}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t xml:space="preserve"> </w:t>
            </w:r>
            <w:r>
              <w:rPr>
                <w:rStyle w:val="FootnoteReference"/>
              </w:rPr>
              <w:footnoteReference w:id="24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  <w:r>
              <w:t xml:space="preserve"> 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  <w:r>
              <w:t xml:space="preserve"> </w:t>
            </w:r>
            <w:r>
              <w:rPr>
                <w:rStyle w:val="FootnoteReference"/>
              </w:rPr>
              <w:footnoteReference w:id="26"/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completed projects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data with retention</w:t>
            </w:r>
            <w:r>
              <w:t xml:space="preserve"> </w:t>
            </w:r>
            <w:r>
              <w:t xml:space="preserve">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/hpc/user_apps/${GROUP}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t xml:space="preserve"> </w:t>
            </w:r>
            <w:r>
              <w:rPr>
                <w:rStyle w:val="FootnoteReference"/>
              </w:rPr>
              <w:footnoteReference w:id="27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t xml:space="preserve"> </w:t>
            </w:r>
            <w:r>
              <w:rPr>
                <w:rStyle w:val="FootnoteReference"/>
              </w:rPr>
              <w:footnoteReference w:id="28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shared application</w:t>
            </w:r>
            <w:r>
              <w:t xml:space="preserve"> </w:t>
            </w:r>
            <w:r>
              <w:t xml:space="preserve">installations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/hpc/reference/${NAME}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t xml:space="preserve"> </w:t>
            </w:r>
            <w:r>
              <w:rPr>
                <w:rStyle w:val="FootnoteReference"/>
              </w:rPr>
              <w:footnoteReference w:id="29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easy to re-download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easy to reproduce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write-once, read-many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storage optimized for</w:t>
            </w:r>
            <w:r>
              <w:t xml:space="preserve"> </w:t>
            </w:r>
            <w:r>
              <w:t xml:space="preserve">reads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/hpc/instruments/${NAME}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t xml:space="preserve"> </w:t>
            </w:r>
            <w:r>
              <w:rPr>
                <w:rStyle w:val="FootnoteReference"/>
              </w:rPr>
              <w:footnoteReference w:id="3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  <w:r>
              <w:t xml:space="preserve"> </w:t>
            </w:r>
            <w:r>
              <w:rPr>
                <w:rStyle w:val="FootnoteReference"/>
              </w:rPr>
              <w:footnoteReference w:id="3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  <w:r>
              <w:t xml:space="preserve"> </w:t>
            </w:r>
            <w:r>
              <w:rPr>
                <w:rStyle w:val="FootnoteReference"/>
              </w:rPr>
              <w:footnoteReference w:id="32"/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raw or preprocessed</w:t>
            </w:r>
            <w:r>
              <w:t xml:space="preserve"> </w:t>
            </w:r>
            <w:r>
              <w:t xml:space="preserve">instrument data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directory per-instrument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/hpc/websites/${VHOST}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static web content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requires a vhost</w:t>
            </w:r>
            <w:r>
              <w:t xml:space="preserve"> </w:t>
            </w:r>
            <w:r>
              <w:t xml:space="preserve">name for website</w:t>
            </w:r>
          </w:p>
        </w:tc>
      </w:tr>
    </w:tbl>
    <w:bookmarkEnd w:id="33"/>
    <w:bookmarkStart w:id="46" w:name="namespace-details"/>
    <w:p>
      <w:pPr>
        <w:pStyle w:val="Heading1"/>
      </w:pPr>
      <w:r>
        <w:t xml:space="preserve">Namespace Details</w:t>
      </w:r>
    </w:p>
    <w:bookmarkStart w:id="34" w:name="home"/>
    <w:p>
      <w:pPr>
        <w:pStyle w:val="Heading2"/>
      </w:pPr>
      <w:r>
        <w:rPr>
          <w:rStyle w:val="VerbatimChar"/>
        </w:rPr>
        <w:t xml:space="preserve">${HOME}</w:t>
      </w:r>
    </w:p>
    <w:p>
      <w:pPr>
        <w:pStyle w:val="FirstParagraph"/>
      </w:pPr>
      <w:r>
        <w:t xml:space="preserve">The user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directory, also known as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 on Scientific Computing</w:t>
      </w:r>
      <w:r>
        <w:t xml:space="preserve"> </w:t>
      </w:r>
      <w:r>
        <w:t xml:space="preserve">systems, always located at</w:t>
      </w:r>
      <w:r>
        <w:t xml:space="preserve"> </w:t>
      </w:r>
      <w:r>
        <w:rPr>
          <w:rStyle w:val="VerbatimChar"/>
        </w:rPr>
        <w:t xml:space="preserve">/home/${USER}</w:t>
      </w:r>
      <w:r>
        <w:t xml:space="preserve">, is for private user data. The</w:t>
      </w:r>
      <w:r>
        <w:t xml:space="preserve"> </w:t>
      </w:r>
      <w:r>
        <w:t xml:space="preserve">system uses this location to store sensitive data, website caches/cookies,</w:t>
      </w:r>
      <w:r>
        <w:t xml:space="preserve"> </w:t>
      </w:r>
      <w:r>
        <w:t xml:space="preserve">Kerberos ticket data, credentials, etc., and because of this should always have</w:t>
      </w:r>
      <w:r>
        <w:t xml:space="preserve"> </w:t>
      </w:r>
      <w:r>
        <w:t xml:space="preserve">permissions of</w:t>
      </w:r>
      <w:r>
        <w:t xml:space="preserve"> </w:t>
      </w:r>
      <w:r>
        <w:rPr>
          <w:rStyle w:val="VerbatimChar"/>
        </w:rPr>
        <w:t xml:space="preserve">0700</w:t>
      </w:r>
      <w:r>
        <w:t xml:space="preserve"> </w:t>
      </w:r>
      <w:r>
        <w:t xml:space="preserve">and ownership of</w:t>
      </w:r>
      <w:r>
        <w:t xml:space="preserve"> </w:t>
      </w:r>
      <w:r>
        <w:rPr>
          <w:rStyle w:val="VerbatimChar"/>
        </w:rPr>
        <w:t xml:space="preserve">${USER}:${USER}.grp</w:t>
      </w:r>
      <w:r>
        <w:t xml:space="preserve">. This location</w:t>
      </w:r>
      <w:r>
        <w:t xml:space="preserve"> </w:t>
      </w:r>
      <w:r>
        <w:t xml:space="preserve">should NEVER be shared with another account or user on the system. If there is a</w:t>
      </w:r>
      <w:r>
        <w:t xml:space="preserve"> </w:t>
      </w:r>
      <w:r>
        <w:t xml:space="preserve">need for multiple people to share an account, please request a shared service</w:t>
      </w:r>
      <w:r>
        <w:t xml:space="preserve"> </w:t>
      </w:r>
      <w:r>
        <w:t xml:space="preserve">account that is not a real person.</w:t>
      </w:r>
    </w:p>
    <w:bookmarkEnd w:id="34"/>
    <w:bookmarkStart w:id="35" w:name="hpcmydatauser"/>
    <w:p>
      <w:pPr>
        <w:pStyle w:val="Heading2"/>
      </w:pPr>
      <w:r>
        <w:rPr>
          <w:rStyle w:val="VerbatimChar"/>
        </w:rPr>
        <w:t xml:space="preserve">/hpc/mydata/${USER}</w:t>
      </w:r>
    </w:p>
    <w:p>
      <w:pPr>
        <w:pStyle w:val="FirstParagraph"/>
      </w:pPr>
      <w:r>
        <w:t xml:space="preserve">This location is provided to give each user 1 TB of personal working space</w:t>
      </w:r>
      <w:r>
        <w:t xml:space="preserve"> </w:t>
      </w:r>
      <w:r>
        <w:t xml:space="preserve">where they can relax permissions to share data or work on small collaborations</w:t>
      </w:r>
      <w:r>
        <w:t xml:space="preserve"> </w:t>
      </w:r>
      <w:r>
        <w:t xml:space="preserve">without needed to request storage spaces. It’s intended to provide a space to</w:t>
      </w:r>
      <w:r>
        <w:t xml:space="preserve"> </w:t>
      </w:r>
      <w:r>
        <w:t xml:space="preserve">try things out and once a project has matured, to then request project, archive</w:t>
      </w:r>
      <w:r>
        <w:t xml:space="preserve"> </w:t>
      </w:r>
      <w:r>
        <w:t xml:space="preserve">or other explicit space for the project.</w:t>
      </w:r>
    </w:p>
    <w:bookmarkEnd w:id="35"/>
    <w:bookmarkStart w:id="36" w:name="localscratch-hpcnodesnode"/>
    <w:p>
      <w:pPr>
        <w:pStyle w:val="Heading2"/>
      </w:pPr>
      <w:r>
        <w:rPr>
          <w:rStyle w:val="VerbatimChar"/>
        </w:rPr>
        <w:t xml:space="preserve">/local/scratch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/hpc/nodes/${NODE}</w:t>
      </w:r>
    </w:p>
    <w:p>
      <w:pPr>
        <w:pStyle w:val="FirstParagraph"/>
      </w:pPr>
      <w:r>
        <w:t xml:space="preserve">!!! Warning</w:t>
      </w:r>
    </w:p>
    <w:p>
      <w:pPr>
        <w:pStyle w:val="SourceCode"/>
      </w:pPr>
      <w:r>
        <w:rPr>
          <w:rStyle w:val="VerbatimChar"/>
        </w:rPr>
        <w:t xml:space="preserve">This space is subject to being purged at each node reboot.</w:t>
      </w:r>
    </w:p>
    <w:p>
      <w:pPr>
        <w:pStyle w:val="FirstParagraph"/>
      </w:pPr>
      <w:r>
        <w:t xml:space="preserve">Each node has some amount of local working storage. This can always be accessed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which is a per-user namespace only available when on the node.</w:t>
      </w:r>
      <w:r>
        <w:t xml:space="preserve"> </w:t>
      </w:r>
      <w:r>
        <w:rPr>
          <w:rStyle w:val="VerbatimChar"/>
        </w:rPr>
        <w:t xml:space="preserve">/local/scratch</w:t>
      </w:r>
      <w:r>
        <w:t xml:space="preserve"> </w:t>
      </w:r>
      <w:r>
        <w:t xml:space="preserve">is available for use where a project might want to stage data</w:t>
      </w:r>
      <w:r>
        <w:t xml:space="preserve"> </w:t>
      </w:r>
      <w:r>
        <w:t xml:space="preserve">which remains on the node across multiple jobs.</w:t>
      </w:r>
      <w:r>
        <w:t xml:space="preserve"> </w:t>
      </w:r>
      <w:r>
        <w:rPr>
          <w:rStyle w:val="VerbatimChar"/>
        </w:rPr>
        <w:t xml:space="preserve">/local/scratch</w:t>
      </w:r>
      <w:r>
        <w:t xml:space="preserve"> </w:t>
      </w:r>
      <w:r>
        <w:t xml:space="preserve">on each node</w:t>
      </w:r>
      <w:r>
        <w:t xml:space="preserve"> </w:t>
      </w:r>
      <w:r>
        <w:t xml:space="preserve">is then NFS exported to all other nodes and can be found at</w:t>
      </w:r>
      <w:r>
        <w:t xml:space="preserve"> </w:t>
      </w:r>
      <w:r>
        <w:rPr>
          <w:rStyle w:val="VerbatimChar"/>
        </w:rPr>
        <w:t xml:space="preserve">/hpc/nodes/${NODENAME}</w:t>
      </w:r>
      <w:r>
        <w:t xml:space="preserve">. Please consult with us before using this space as</w:t>
      </w:r>
      <w:r>
        <w:t xml:space="preserve"> </w:t>
      </w:r>
      <w:r>
        <w:t xml:space="preserve">local storage is not treated as a consumable by Slurm and filling a node’s</w:t>
      </w:r>
      <w:r>
        <w:t xml:space="preserve"> </w:t>
      </w:r>
      <w:r>
        <w:t xml:space="preserve">local disks can negatively impact other jobs.</w:t>
      </w:r>
    </w:p>
    <w:bookmarkEnd w:id="36"/>
    <w:bookmarkStart w:id="37" w:name="hpcscratchname"/>
    <w:p>
      <w:pPr>
        <w:pStyle w:val="Heading2"/>
      </w:pPr>
      <w:r>
        <w:rPr>
          <w:rStyle w:val="VerbatimChar"/>
        </w:rPr>
        <w:t xml:space="preserve">/hpc/scratch/${NAME}</w:t>
      </w:r>
    </w:p>
    <w:p>
      <w:pPr>
        <w:pStyle w:val="FirstParagraph"/>
      </w:pPr>
      <w:r>
        <w:t xml:space="preserve">!!! warning</w:t>
      </w:r>
    </w:p>
    <w:p>
      <w:pPr>
        <w:pStyle w:val="SourceCode"/>
      </w:pPr>
      <w:r>
        <w:rPr>
          <w:rStyle w:val="VerbatimChar"/>
        </w:rPr>
        <w:t xml:space="preserve">NEVER LEAVE THE ONLY COPY OF IMPORTANT DATA ON A SCRATCH SPACE.</w:t>
      </w:r>
    </w:p>
    <w:p>
      <w:pPr>
        <w:pStyle w:val="FirstParagraph"/>
      </w:pPr>
      <w:r>
        <w:t xml:space="preserve">Shared scratch storage areas are available via this namespace. The locations</w:t>
      </w:r>
      <w:r>
        <w:t xml:space="preserve"> </w:t>
      </w:r>
      <w:r>
        <w:t xml:space="preserve">will be tuned for maximum performance and the cost of reliability. Scratch</w:t>
      </w:r>
      <w:r>
        <w:t xml:space="preserve"> </w:t>
      </w:r>
      <w:r>
        <w:t xml:space="preserve">spaces are subject to being lost as a result of very few disk failures or being</w:t>
      </w:r>
      <w:r>
        <w:t xml:space="preserve"> </w:t>
      </w:r>
      <w:r>
        <w:t xml:space="preserve">purged and rebuilt on relatively short notice to address performance or space</w:t>
      </w:r>
      <w:r>
        <w:t xml:space="preserve"> </w:t>
      </w:r>
      <w:r>
        <w:t xml:space="preserve">issues.</w:t>
      </w:r>
    </w:p>
    <w:bookmarkEnd w:id="37"/>
    <w:bookmarkStart w:id="38" w:name="hpcprojectsname"/>
    <w:p>
      <w:pPr>
        <w:pStyle w:val="Heading2"/>
      </w:pPr>
      <w:r>
        <w:rPr>
          <w:rStyle w:val="VerbatimChar"/>
        </w:rPr>
        <w:t xml:space="preserve">/hpc/projects/${NAME}</w:t>
      </w:r>
    </w:p>
    <w:p>
      <w:pPr>
        <w:pStyle w:val="FirstParagraph"/>
      </w:pPr>
      <w:r>
        <w:t xml:space="preserve">Project spaces are intended to be good working spaces with high reliability.</w:t>
      </w:r>
      <w:r>
        <w:t xml:space="preserve"> </w:t>
      </w:r>
      <w:r>
        <w:t xml:space="preserve">Snapshots, where possible, provide a history to help recover from mistaken</w:t>
      </w:r>
      <w:r>
        <w:t xml:space="preserve"> </w:t>
      </w:r>
      <w:r>
        <w:t xml:space="preserve">deletes or changes, but as noted above the amount of retained history is</w:t>
      </w:r>
      <w:r>
        <w:t xml:space="preserve"> </w:t>
      </w:r>
      <w:r>
        <w:t xml:space="preserve">subject to the usage pattern of the project. The level of replication/backup</w:t>
      </w:r>
      <w:r>
        <w:t xml:space="preserve"> </w:t>
      </w:r>
      <w:r>
        <w:t xml:space="preserve">and long term archiving can be adjusted as needed for a given projects</w:t>
      </w:r>
      <w:r>
        <w:t xml:space="preserve"> </w:t>
      </w:r>
      <w:r>
        <w:t xml:space="preserve">requirements.</w:t>
      </w:r>
    </w:p>
    <w:bookmarkEnd w:id="38"/>
    <w:bookmarkStart w:id="40" w:name="hpcarchivesname"/>
    <w:p>
      <w:pPr>
        <w:pStyle w:val="Heading2"/>
      </w:pPr>
      <w:r>
        <w:rPr>
          <w:rStyle w:val="VerbatimChar"/>
        </w:rPr>
        <w:t xml:space="preserve">/hpc/archives/${NAME}</w:t>
      </w:r>
    </w:p>
    <w:p>
      <w:pPr>
        <w:pStyle w:val="FirstParagraph"/>
      </w:pPr>
      <w:r>
        <w:t xml:space="preserve">Archive spaces are intended to be write-once and then never or extremely rarely</w:t>
      </w:r>
      <w:r>
        <w:t xml:space="preserve"> </w:t>
      </w:r>
      <w:r>
        <w:t xml:space="preserve">updated, until they reach a pre-determined end-of-life and are removed. The</w:t>
      </w:r>
      <w:r>
        <w:t xml:space="preserve"> </w:t>
      </w:r>
      <w:r>
        <w:t xml:space="preserve">underlying on-prem/site storage will be optimized for reliability and read</w:t>
      </w:r>
      <w:r>
        <w:t xml:space="preserve"> </w:t>
      </w:r>
      <w:r>
        <w:t xml:space="preserve">performance and this is a good location to park data which needs to be made</w:t>
      </w:r>
      <w:r>
        <w:t xml:space="preserve"> </w:t>
      </w:r>
      <w:r>
        <w:t xml:space="preserve">available via the web or</w:t>
      </w:r>
      <w:r>
        <w:t xml:space="preserve"> </w:t>
      </w:r>
      <w:hyperlink r:id="rId39">
        <w:r>
          <w:rPr>
            <w:rStyle w:val="Hyperlink"/>
          </w:rPr>
          <w:t xml:space="preserve">Globus</w:t>
        </w:r>
      </w:hyperlink>
      <w:r>
        <w:t xml:space="preserve"> </w:t>
      </w:r>
      <w:r>
        <w:t xml:space="preserve">on a long term basis.</w:t>
      </w:r>
    </w:p>
    <w:bookmarkEnd w:id="40"/>
    <w:bookmarkStart w:id="41" w:name="hpcuser_appsgroup"/>
    <w:p>
      <w:pPr>
        <w:pStyle w:val="Heading2"/>
      </w:pPr>
      <w:r>
        <w:rPr>
          <w:rStyle w:val="VerbatimChar"/>
        </w:rPr>
        <w:t xml:space="preserve">/hpc/user_apps/${GROUP}</w:t>
      </w:r>
    </w:p>
    <w:p>
      <w:pPr>
        <w:pStyle w:val="FirstParagraph"/>
      </w:pPr>
      <w:r>
        <w:t xml:space="preserve">This location provides an optimized location for installing shared</w:t>
      </w:r>
      <w:r>
        <w:t xml:space="preserve"> </w:t>
      </w:r>
      <w:r>
        <w:t xml:space="preserve">applications. It is organized by groups, with each PI/lab group having a</w:t>
      </w:r>
      <w:r>
        <w:t xml:space="preserve"> </w:t>
      </w:r>
      <w:r>
        <w:t xml:space="preserve">location where they can install applications, with permissions to share those</w:t>
      </w:r>
      <w:r>
        <w:t xml:space="preserve"> </w:t>
      </w:r>
      <w:r>
        <w:t xml:space="preserve">as widely as need. Optionally a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can be added so that applications here</w:t>
      </w:r>
      <w:r>
        <w:t xml:space="preserve"> </w:t>
      </w:r>
      <w:r>
        <w:t xml:space="preserve">can be managed with</w:t>
      </w:r>
      <w:r>
        <w:t xml:space="preserve"> </w:t>
      </w:r>
      <w:r>
        <w:rPr>
          <w:rStyle w:val="VerbatimChar"/>
        </w:rPr>
        <w:t xml:space="preserve">module load appname/version</w:t>
      </w:r>
      <w:r>
        <w:t xml:space="preserve"> </w:t>
      </w:r>
      <w:r>
        <w:t xml:space="preserve">after doing</w:t>
      </w:r>
      <w:r>
        <w:t xml:space="preserve"> </w:t>
      </w:r>
      <w:r>
        <w:rPr>
          <w:rStyle w:val="VerbatimChar"/>
        </w:rPr>
        <w:t xml:space="preserve">module load ${GROUP}</w:t>
      </w:r>
      <w:r>
        <w:t xml:space="preserve">.</w:t>
      </w:r>
    </w:p>
    <w:bookmarkEnd w:id="41"/>
    <w:bookmarkStart w:id="42" w:name="hpcreferencename"/>
    <w:p>
      <w:pPr>
        <w:pStyle w:val="Heading2"/>
      </w:pPr>
      <w:r>
        <w:rPr>
          <w:rStyle w:val="VerbatimChar"/>
        </w:rPr>
        <w:t xml:space="preserve">/hpc/reference/${NAME}</w:t>
      </w:r>
    </w:p>
    <w:p>
      <w:pPr>
        <w:pStyle w:val="FirstParagraph"/>
      </w:pPr>
      <w:r>
        <w:t xml:space="preserve">The reference location is provided as a place to store on-site copies of public</w:t>
      </w:r>
      <w:r>
        <w:t xml:space="preserve"> </w:t>
      </w:r>
      <w:r>
        <w:t xml:space="preserve">or other reference data to avoid re-downloading the same datasets repeatedly.</w:t>
      </w:r>
      <w:r>
        <w:t xml:space="preserve"> </w:t>
      </w:r>
      <w:r>
        <w:t xml:space="preserve">Many NCBI datasets fall into this category, where it makes sense to manage one</w:t>
      </w:r>
      <w:r>
        <w:t xml:space="preserve"> </w:t>
      </w:r>
      <w:r>
        <w:t xml:space="preserve">copy everyone can access and use. Only things easy to reproduce or re-download</w:t>
      </w:r>
      <w:r>
        <w:t xml:space="preserve"> </w:t>
      </w:r>
      <w:r>
        <w:t xml:space="preserve">should be kept here. This space is optimized for reading to support being used</w:t>
      </w:r>
      <w:r>
        <w:t xml:space="preserve"> </w:t>
      </w:r>
      <w:r>
        <w:t xml:space="preserve">in scale-out workflows that need to access reference data.</w:t>
      </w:r>
    </w:p>
    <w:bookmarkEnd w:id="42"/>
    <w:bookmarkStart w:id="43" w:name="hpcinstrumentsname"/>
    <w:p>
      <w:pPr>
        <w:pStyle w:val="Heading2"/>
      </w:pPr>
      <w:r>
        <w:rPr>
          <w:rStyle w:val="VerbatimChar"/>
        </w:rPr>
        <w:t xml:space="preserve">/hpc/instruments/${NAME}</w:t>
      </w:r>
    </w:p>
    <w:p>
      <w:pPr>
        <w:pStyle w:val="FirstParagraph"/>
      </w:pPr>
      <w:r>
        <w:t xml:space="preserve">Storing data from instruments presents some special problems. It’s common to</w:t>
      </w:r>
      <w:r>
        <w:t xml:space="preserve"> </w:t>
      </w:r>
      <w:r>
        <w:t xml:space="preserve">have an instrument controlled by a Windows PC which cannot be updated due to</w:t>
      </w:r>
      <w:r>
        <w:t xml:space="preserve"> </w:t>
      </w:r>
      <w:r>
        <w:t xml:space="preserve">vendor/support restrictions and is at increased risk for malware or ransomware.</w:t>
      </w:r>
      <w:r>
        <w:t xml:space="preserve"> </w:t>
      </w:r>
      <w:r>
        <w:t xml:space="preserve">To limit the impact of an infected instrument PC, each instrument can have a</w:t>
      </w:r>
      <w:r>
        <w:t xml:space="preserve"> </w:t>
      </w:r>
      <w:r>
        <w:t xml:space="preserve">separate service account such that a given instrument can only reach/modify its</w:t>
      </w:r>
      <w:r>
        <w:t xml:space="preserve"> </w:t>
      </w:r>
      <w:r>
        <w:t xml:space="preserve">own data. Additionally, by having this space accept data but be treated as</w:t>
      </w:r>
      <w:r>
        <w:t xml:space="preserve"> </w:t>
      </w:r>
      <w:r>
        <w:t xml:space="preserve">read-only to all other systems, it’s possible to maintain a long snapshot</w:t>
      </w:r>
      <w:r>
        <w:t xml:space="preserve"> </w:t>
      </w:r>
      <w:r>
        <w:t xml:space="preserve">history to enable recovering from a potential ransomware infection with minimal</w:t>
      </w:r>
      <w:r>
        <w:t xml:space="preserve"> </w:t>
      </w:r>
      <w:r>
        <w:t xml:space="preserve">data loss.</w:t>
      </w:r>
    </w:p>
    <w:bookmarkEnd w:id="43"/>
    <w:bookmarkStart w:id="45" w:name="hpcwebsitesvhost"/>
    <w:p>
      <w:pPr>
        <w:pStyle w:val="Heading2"/>
      </w:pPr>
      <w:r>
        <w:rPr>
          <w:rStyle w:val="VerbatimChar"/>
        </w:rPr>
        <w:t xml:space="preserve">/hpc/websites/${VHOST}</w:t>
      </w:r>
    </w:p>
    <w:p>
      <w:pPr>
        <w:pStyle w:val="FirstParagraph"/>
      </w:pPr>
      <w:r>
        <w:t xml:space="preserve">It’s often convenient to be able to produce static website content from the HPC</w:t>
      </w:r>
      <w:r>
        <w:t xml:space="preserve"> </w:t>
      </w:r>
      <w:r>
        <w:t xml:space="preserve">environment and make it available via a public website. The most basic use of</w:t>
      </w:r>
      <w:r>
        <w:t xml:space="preserve"> </w:t>
      </w:r>
      <w:r>
        <w:t xml:space="preserve">this location is to create a hostname, say</w:t>
      </w:r>
      <w:r>
        <w:t xml:space="preserve"> </w:t>
      </w:r>
      <w:r>
        <w:rPr>
          <w:rStyle w:val="VerbatimChar"/>
        </w:rPr>
        <w:t xml:space="preserve">myproject.czbiohub.org</w:t>
      </w:r>
      <w:r>
        <w:t xml:space="preserve">, then any</w:t>
      </w:r>
      <w:r>
        <w:t xml:space="preserve"> </w:t>
      </w:r>
      <w:r>
        <w:t xml:space="preserve">data written to</w:t>
      </w:r>
      <w:r>
        <w:t xml:space="preserve"> </w:t>
      </w:r>
      <w:r>
        <w:rPr>
          <w:rStyle w:val="VerbatimChar"/>
        </w:rPr>
        <w:t xml:space="preserve">/hpc/websites/myproject.czbiohub.org</w:t>
      </w:r>
      <w:r>
        <w:t xml:space="preserve"> </w:t>
      </w:r>
      <w:r>
        <w:t xml:space="preserve">will be available via</w:t>
      </w:r>
      <w:r>
        <w:t xml:space="preserve"> </w:t>
      </w:r>
      <w:hyperlink r:id="rId44">
        <w:r>
          <w:rPr>
            <w:rStyle w:val="Hyperlink"/>
          </w:rPr>
          <w:t xml:space="preserve">https://myproject.czbiohub.org</w:t>
        </w:r>
      </w:hyperlink>
      <w:r>
        <w:t xml:space="preserve">. Additional</w:t>
      </w:r>
      <w:r>
        <w:t xml:space="preserve"> </w:t>
      </w:r>
      <w:r>
        <w:t xml:space="preserve">features, like authentication and access control can be made available upon</w:t>
      </w:r>
      <w:r>
        <w:t xml:space="preserve"> </w:t>
      </w:r>
      <w:r>
        <w:t xml:space="preserve">request.</w:t>
      </w:r>
    </w:p>
    <w:bookmarkEnd w:id="45"/>
    <w:bookmarkEnd w:id="46"/>
    <w:bookmarkStart w:id="48" w:name="example-use-cases"/>
    <w:p>
      <w:pPr>
        <w:pStyle w:val="Heading1"/>
      </w:pPr>
      <w:r>
        <w:t xml:space="preserve">Example Use Cases</w:t>
      </w:r>
    </w:p>
    <w:bookmarkStart w:id="47" w:name="analysis-pipeline"/>
    <w:p>
      <w:pPr>
        <w:pStyle w:val="Heading2"/>
      </w:pPr>
      <w:r>
        <w:t xml:space="preserve">Analysis Pipeline</w:t>
      </w:r>
    </w:p>
    <w:p>
      <w:pPr>
        <w:pStyle w:val="FirstParagraph"/>
      </w:pPr>
      <w:r>
        <w:t xml:space="preserve">Suppose we have a pipeline, managed by a workflow tool like</w:t>
      </w:r>
      <w:r>
        <w:t xml:space="preserve"> </w:t>
      </w:r>
      <w:r>
        <w:rPr>
          <w:rStyle w:val="VerbatimChar"/>
        </w:rPr>
        <w:t xml:space="preserve">nextflow</w:t>
      </w:r>
      <w:r>
        <w:t xml:space="preserve">. The</w:t>
      </w:r>
      <w:r>
        <w:t xml:space="preserve"> </w:t>
      </w:r>
      <w:r>
        <w:t xml:space="preserve">incoming raw data for this pipeline is generated from one or more lab</w:t>
      </w:r>
      <w:r>
        <w:t xml:space="preserve"> </w:t>
      </w:r>
      <w:r>
        <w:t xml:space="preserve">instruments. The pipeline processing will produce</w:t>
      </w:r>
    </w:p>
    <w:p>
      <w:pPr>
        <w:pStyle w:val="Compact"/>
        <w:numPr>
          <w:ilvl w:val="0"/>
          <w:numId w:val="1011"/>
        </w:numPr>
      </w:pPr>
      <w:r>
        <w:t xml:space="preserve">intermediate/scratch files</w:t>
      </w:r>
    </w:p>
    <w:p>
      <w:pPr>
        <w:pStyle w:val="Compact"/>
        <w:numPr>
          <w:ilvl w:val="0"/>
          <w:numId w:val="1011"/>
        </w:numPr>
      </w:pPr>
      <w:r>
        <w:t xml:space="preserve">quality control results to be web-accessible</w:t>
      </w:r>
    </w:p>
    <w:p>
      <w:pPr>
        <w:pStyle w:val="Compact"/>
        <w:numPr>
          <w:ilvl w:val="0"/>
          <w:numId w:val="1011"/>
        </w:numPr>
      </w:pPr>
      <w:r>
        <w:t xml:space="preserve">processed data made available for researcher secondary analysis via local filesystem and globus</w:t>
      </w:r>
    </w:p>
    <w:p>
      <w:pPr>
        <w:pStyle w:val="FirstParagraph"/>
      </w:pPr>
      <w:r>
        <w:t xml:space="preserve">The steps in our hypothetical data flow might be:</w:t>
      </w:r>
    </w:p>
    <w:p>
      <w:pPr>
        <w:pStyle w:val="Compact"/>
        <w:numPr>
          <w:ilvl w:val="0"/>
          <w:numId w:val="1012"/>
        </w:numPr>
      </w:pPr>
      <w:r>
        <w:t xml:space="preserve">Data moves from instrument(s) to</w:t>
      </w:r>
      <w:r>
        <w:t xml:space="preserve"> </w:t>
      </w:r>
      <w:r>
        <w:rPr>
          <w:rStyle w:val="VerbatimChar"/>
        </w:rPr>
        <w:t xml:space="preserve">/hpc/instruments/${INSTRUMENT_NAME}(s)</w:t>
      </w:r>
      <w:r>
        <w:t xml:space="preserve">. Can be push or pull.</w:t>
      </w:r>
    </w:p>
    <w:p>
      <w:pPr>
        <w:pStyle w:val="Compact"/>
        <w:numPr>
          <w:ilvl w:val="0"/>
          <w:numId w:val="1012"/>
        </w:numPr>
      </w:pPr>
      <w:r>
        <w:t xml:space="preserve">Pipeline copies data to</w:t>
      </w:r>
      <w:r>
        <w:t xml:space="preserve"> </w:t>
      </w:r>
      <w:r>
        <w:rPr>
          <w:rStyle w:val="VerbatimChar"/>
        </w:rPr>
        <w:t xml:space="preserve">/hpc/scratch/${NAME}</w:t>
      </w:r>
      <w:r>
        <w:t xml:space="preserve"> </w:t>
      </w:r>
      <w:r>
        <w:t xml:space="preserve">as a working location.</w:t>
      </w:r>
    </w:p>
    <w:p>
      <w:pPr>
        <w:pStyle w:val="Compact"/>
        <w:numPr>
          <w:ilvl w:val="0"/>
          <w:numId w:val="1012"/>
        </w:numPr>
      </w:pPr>
      <w:r>
        <w:t xml:space="preserve">HPC Cluster jobs perform analysis:</w:t>
      </w:r>
    </w:p>
    <w:p>
      <w:pPr>
        <w:pStyle w:val="Compact"/>
        <w:numPr>
          <w:ilvl w:val="1"/>
          <w:numId w:val="1013"/>
        </w:numPr>
      </w:pPr>
      <w:r>
        <w:t xml:space="preserve">Reference data read from</w:t>
      </w:r>
      <w:r>
        <w:t xml:space="preserve"> </w:t>
      </w:r>
      <w:r>
        <w:rPr>
          <w:rStyle w:val="VerbatimChar"/>
        </w:rPr>
        <w:t xml:space="preserve">/hpc/reference/${DBNAME}</w:t>
      </w:r>
    </w:p>
    <w:p>
      <w:pPr>
        <w:pStyle w:val="Compact"/>
        <w:numPr>
          <w:ilvl w:val="1"/>
          <w:numId w:val="1013"/>
        </w:numPr>
      </w:pPr>
      <w:r>
        <w:t xml:space="preserve">Running jobs use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/local/scratch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/hpc/scratch/${NAME}</w:t>
      </w:r>
      <w:r>
        <w:t xml:space="preserve"> </w:t>
      </w:r>
      <w:r>
        <w:t xml:space="preserve">for intermediate and temporary files.</w:t>
      </w:r>
    </w:p>
    <w:p>
      <w:pPr>
        <w:pStyle w:val="Compact"/>
        <w:numPr>
          <w:ilvl w:val="1"/>
          <w:numId w:val="1013"/>
        </w:numPr>
      </w:pPr>
      <w:r>
        <w:t xml:space="preserve">Results written to</w:t>
      </w:r>
      <w:r>
        <w:t xml:space="preserve"> </w:t>
      </w:r>
      <w:r>
        <w:rPr>
          <w:rStyle w:val="VerbatimChar"/>
        </w:rPr>
        <w:t xml:space="preserve">/hpc/projects/${NAME}</w:t>
      </w:r>
    </w:p>
    <w:p>
      <w:pPr>
        <w:pStyle w:val="Compact"/>
        <w:numPr>
          <w:ilvl w:val="0"/>
          <w:numId w:val="1012"/>
        </w:numPr>
      </w:pPr>
      <w:r>
        <w:t xml:space="preserve">QC output formatted and written to</w:t>
      </w:r>
      <w:r>
        <w:t xml:space="preserve"> </w:t>
      </w:r>
      <w:r>
        <w:rPr>
          <w:rStyle w:val="VerbatimChar"/>
        </w:rPr>
        <w:t xml:space="preserve">/hpc/websites/${NAME}.czbiohub.org</w:t>
      </w:r>
    </w:p>
    <w:p>
      <w:pPr>
        <w:pStyle w:val="Compact"/>
        <w:numPr>
          <w:ilvl w:val="0"/>
          <w:numId w:val="1012"/>
        </w:numPr>
      </w:pPr>
      <w:r>
        <w:t xml:space="preserve">Data to be retained long-term copied to</w:t>
      </w:r>
      <w:r>
        <w:t xml:space="preserve"> </w:t>
      </w:r>
      <w:r>
        <w:rPr>
          <w:rStyle w:val="VerbatimChar"/>
        </w:rPr>
        <w:t xml:space="preserve">/hpc/archives/%{NAME}</w:t>
      </w:r>
    </w:p>
    <w:p>
      <w:pPr>
        <w:pStyle w:val="FirstParagraph"/>
      </w:pPr>
      <w:r>
        <w:t xml:space="preserve">This example uses shared and local scratch, instrument storage, projects</w:t>
      </w:r>
      <w:r>
        <w:t xml:space="preserve"> </w:t>
      </w:r>
      <w:r>
        <w:t xml:space="preserve">storage, website storage and archive storage. As all these are also available</w:t>
      </w:r>
      <w:r>
        <w:t xml:space="preserve"> </w:t>
      </w:r>
      <w:r>
        <w:t xml:space="preserve">(or can be) via</w:t>
      </w:r>
      <w:r>
        <w:t xml:space="preserve"> </w:t>
      </w:r>
      <w:hyperlink r:id="rId39">
        <w:r>
          <w:rPr>
            <w:rStyle w:val="Hyperlink"/>
          </w:rPr>
          <w:t xml:space="preserve">Globus</w:t>
        </w:r>
      </w:hyperlink>
      <w:r>
        <w:t xml:space="preserve">, any of these spaces can be</w:t>
      </w:r>
      <w:r>
        <w:t xml:space="preserve"> </w:t>
      </w:r>
      <w:r>
        <w:t xml:space="preserve">optionally used for data delivery to or sharing with collaborators.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Snapshot polices will vary based on space constraints and the underlying</w:t>
      </w:r>
      <w:r>
        <w:t xml:space="preserve"> </w:t>
      </w:r>
      <w:r>
        <w:t xml:space="preserve">storage snapshot features. Dynamic workflow patterns, with frequent</w:t>
      </w:r>
      <w:r>
        <w:t xml:space="preserve"> </w:t>
      </w:r>
      <w:r>
        <w:t xml:space="preserve">writes/re-writes/deletes, typically requires reducing snapshot lifespan.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Off-site replicas available on a per-project basis, subject to constraints</w:t>
      </w:r>
      <w:r>
        <w:t xml:space="preserve"> </w:t>
      </w:r>
      <w:r>
        <w:t xml:space="preserve">on space and available inter-site bandwidth.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Long-term archiving a copy of data to Deep Archive is available upon request.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Snapshot polices will vary based on space constraints and the underlying</w:t>
      </w:r>
      <w:r>
        <w:t xml:space="preserve"> </w:t>
      </w:r>
      <w:r>
        <w:t xml:space="preserve">storage snapshot features. Dynamic workflow patterns, with frequent</w:t>
      </w:r>
      <w:r>
        <w:t xml:space="preserve"> </w:t>
      </w:r>
      <w:r>
        <w:t xml:space="preserve">writes/re-writes/deletes, typically requires reducing snapshot lifespan.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Off-site replicas available on a per-project basis, subject to constraints</w:t>
      </w:r>
      <w:r>
        <w:t xml:space="preserve"> </w:t>
      </w:r>
      <w:r>
        <w:t xml:space="preserve">on space and available inter-site bandwidth.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Long-term archiving a copy of data to Deep Archive is available upon request.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Snapshot polices will vary based on space constraints and the underlying</w:t>
      </w:r>
      <w:r>
        <w:t xml:space="preserve"> </w:t>
      </w:r>
      <w:r>
        <w:t xml:space="preserve">storage snapshot features. Dynamic workflow patterns, with frequent</w:t>
      </w:r>
      <w:r>
        <w:t xml:space="preserve"> </w:t>
      </w:r>
      <w:r>
        <w:t xml:space="preserve">writes/re-writes/deletes, typically requires reducing snapshot lifespan.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/hpc/user_apps</w:t>
      </w:r>
      <w:r>
        <w:t xml:space="preserve"> </w:t>
      </w:r>
      <w:r>
        <w:t xml:space="preserve">may be replicated read-only and require a specific host or</w:t>
      </w:r>
      <w:r>
        <w:t xml:space="preserve"> </w:t>
      </w:r>
      <w:r>
        <w:t xml:space="preserve">hosts for writes.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Snapshot polices will vary based on space constraints and the underlying</w:t>
      </w:r>
      <w:r>
        <w:t xml:space="preserve"> </w:t>
      </w:r>
      <w:r>
        <w:t xml:space="preserve">storage snapshot features. Dynamic workflow patterns, with frequent</w:t>
      </w:r>
      <w:r>
        <w:t xml:space="preserve"> </w:t>
      </w:r>
      <w:r>
        <w:t xml:space="preserve">writes/re-writes/deletes, typically requires reducing snapshot lifespan.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Snapshot polices will vary based on space constraints and the underlying</w:t>
      </w:r>
      <w:r>
        <w:t xml:space="preserve"> </w:t>
      </w:r>
      <w:r>
        <w:t xml:space="preserve">storage snapshot features. Dynamic workflow patterns, with frequent</w:t>
      </w:r>
      <w:r>
        <w:t xml:space="preserve"> </w:t>
      </w:r>
      <w:r>
        <w:t xml:space="preserve">writes/re-writes/deletes, typically requires reducing snapshot lifespan.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Off-site replicas available on a per-project basis, subject to constraints</w:t>
      </w:r>
      <w:r>
        <w:t xml:space="preserve"> </w:t>
      </w:r>
      <w:r>
        <w:t xml:space="preserve">on space and available inter-site bandwidth.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Long-term archiving a copy of data to Deep Archive is available upon request.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lobus.org" TargetMode="External" /><Relationship Type="http://schemas.openxmlformats.org/officeDocument/2006/relationships/hyperlink" Id="rId44" Target="https://myproject.czbiohub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lobus.org" TargetMode="External" /><Relationship Type="http://schemas.openxmlformats.org/officeDocument/2006/relationships/hyperlink" Id="rId44" Target="https://myproject.czbiohub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