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Calibri" w:hAnsi="Calibri"/>
          <w:b/>
          <w:color w:val="0E7490"/>
          <w:sz w:val="26"/>
        </w:rPr>
        <w:t>EASTWEST RETAIL CORE BANKING PLATFORM</w:t>
      </w:r>
    </w:p>
    <w:p>
      <w:pPr>
        <w:spacing w:after="80"/>
        <w:jc w:val="center"/>
      </w:pPr>
      <w:r>
        <w:rPr>
          <w:rFonts w:ascii="Calibri" w:hAnsi="Calibri"/>
          <w:b/>
          <w:color w:val="0F172A"/>
          <w:sz w:val="40"/>
        </w:rPr>
        <w:t>Notification &amp; Alert Microservice (:8083)</w:t>
        <w:br/>
        <w:t>Comprehensive Technical Documentation &amp; Showcase Guide</w:t>
      </w:r>
    </w:p>
    <w:p>
      <w:pPr>
        <w:spacing w:after="280"/>
        <w:jc w:val="center"/>
      </w:pPr>
      <w:r>
        <w:rPr>
          <w:rFonts w:ascii="Calibri" w:hAnsi="Calibri"/>
          <w:i/>
          <w:color w:val="334155"/>
          <w:sz w:val="21"/>
        </w:rPr>
        <w:t>Pure Online Banking Architecture, Maker-Checker Matrix, BSP MORB &amp; AMLA Statutory Playbook</w:t>
        <w:br/>
        <w:t>Group 3 — Full Stack Engineering (FSE) Capstone Project</w:t>
      </w:r>
    </w:p>
    <w:p>
      <w:pPr>
        <w:spacing w:before="320" w:after="80"/>
      </w:pPr>
      <w:r>
        <w:rPr>
          <w:rFonts w:ascii="Calibri" w:hAnsi="Calibri"/>
          <w:b/>
          <w:color w:val="0E7490"/>
          <w:sz w:val="28"/>
        </w:rPr>
        <w:t>1. Architectural Overview &amp; Pure Online Banking Paradigm</w:t>
      </w:r>
    </w:p>
    <w:p>
      <w:pPr>
        <w:spacing w:after="60" w:line="276" w:lineRule="auto"/>
      </w:pPr>
      <w:r>
        <w:rPr>
          <w:rFonts w:ascii="Calibri" w:hAnsi="Calibri"/>
          <w:color w:val="334155"/>
          <w:sz w:val="20"/>
        </w:rPr>
        <w:t>The Notification &amp; Alert Microservice (running on port :8083) is an asynchronous, event-driven Spring Boot 3.3.x engine designed in strict accordance with the Bangko Sentral ng Pilipinas (BSP) Manual of Regulations for Banks (MORB) and the Anti-Money Laundering Act (RA 9160).</w:t>
      </w:r>
    </w:p>
    <w:p>
      <w:pPr>
        <w:spacing w:after="60" w:line="276" w:lineRule="auto"/>
      </w:pPr>
      <w:r>
        <w:rPr>
          <w:rFonts w:ascii="Calibri" w:hAnsi="Calibri"/>
          <w:color w:val="334155"/>
          <w:sz w:val="20"/>
        </w:rPr>
        <w:t>In this Pure Retail Online Banking architecture, the Customer operates as the Maker via the client web portal. Branch tellers are eliminated for digital retail fund transfers. Transfers requiring operational oversight (amounts exceeding PHP 50,000.00) are routed directly to Bank Operations Managers via WebSocket push notifications and actionable compliance emails.</w:t>
      </w:r>
    </w:p>
    <w:p>
      <w:pPr>
        <w:spacing w:before="320" w:after="80"/>
      </w:pPr>
      <w:r>
        <w:rPr>
          <w:rFonts w:ascii="Calibri" w:hAnsi="Calibri"/>
          <w:b/>
          <w:color w:val="0E7490"/>
          <w:sz w:val="28"/>
        </w:rPr>
        <w:t>2. System Actors &amp; Segregation of Duties (SoD) Directory</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172A"/>
            <w:tcMar>
              <w:top w:w="100" w:type="dxa"/>
              <w:bottom w:w="100" w:type="dxa"/>
              <w:left w:w="120" w:type="dxa"/>
              <w:right w:w="120" w:type="dxa"/>
            </w:tcMar>
          </w:tcPr>
          <w:p>
            <w:r>
              <w:rPr>
                <w:b/>
                <w:color w:val="FFFFFF"/>
                <w:sz w:val="18"/>
              </w:rPr>
              <w:t>User ID</w:t>
            </w:r>
          </w:p>
        </w:tc>
        <w:tc>
          <w:tcPr>
            <w:tcW w:type="dxa" w:w="1987"/>
            <w:shd w:fill="0F172A"/>
            <w:tcMar>
              <w:top w:w="100" w:type="dxa"/>
              <w:bottom w:w="100" w:type="dxa"/>
              <w:left w:w="120" w:type="dxa"/>
              <w:right w:w="120" w:type="dxa"/>
            </w:tcMar>
          </w:tcPr>
          <w:p>
            <w:r>
              <w:rPr>
                <w:b/>
                <w:color w:val="FFFFFF"/>
                <w:sz w:val="18"/>
              </w:rPr>
              <w:t>Full Name</w:t>
            </w:r>
          </w:p>
        </w:tc>
        <w:tc>
          <w:tcPr>
            <w:tcW w:type="dxa" w:w="1987"/>
            <w:shd w:fill="0F172A"/>
            <w:tcMar>
              <w:top w:w="100" w:type="dxa"/>
              <w:bottom w:w="100" w:type="dxa"/>
              <w:left w:w="120" w:type="dxa"/>
              <w:right w:w="120" w:type="dxa"/>
            </w:tcMar>
          </w:tcPr>
          <w:p>
            <w:r>
              <w:rPr>
                <w:b/>
                <w:color w:val="FFFFFF"/>
                <w:sz w:val="18"/>
              </w:rPr>
              <w:t>DB Role</w:t>
            </w:r>
          </w:p>
        </w:tc>
        <w:tc>
          <w:tcPr>
            <w:tcW w:type="dxa" w:w="1987"/>
            <w:shd w:fill="0F172A"/>
            <w:tcMar>
              <w:top w:w="100" w:type="dxa"/>
              <w:bottom w:w="100" w:type="dxa"/>
              <w:left w:w="120" w:type="dxa"/>
              <w:right w:w="120" w:type="dxa"/>
            </w:tcMar>
          </w:tcPr>
          <w:p>
            <w:r>
              <w:rPr>
                <w:b/>
                <w:color w:val="FFFFFF"/>
                <w:sz w:val="18"/>
              </w:rPr>
              <w:t>Maker / Checker Designation</w:t>
            </w:r>
          </w:p>
        </w:tc>
        <w:tc>
          <w:tcPr>
            <w:tcW w:type="dxa" w:w="1987"/>
            <w:shd w:fill="0F172A"/>
            <w:tcMar>
              <w:top w:w="100" w:type="dxa"/>
              <w:bottom w:w="100" w:type="dxa"/>
              <w:left w:w="120" w:type="dxa"/>
              <w:right w:w="120" w:type="dxa"/>
            </w:tcMar>
          </w:tcPr>
          <w:p>
            <w:r>
              <w:rPr>
                <w:b/>
                <w:color w:val="FFFFFF"/>
                <w:sz w:val="18"/>
              </w:rPr>
              <w:t>Approval Authority &amp; SoD Rule</w:t>
            </w:r>
          </w:p>
        </w:tc>
      </w:tr>
      <w:tr>
        <w:tc>
          <w:tcPr>
            <w:tcW w:type="dxa" w:w="1987"/>
            <w:tcMar>
              <w:top w:w="70" w:type="dxa"/>
              <w:bottom w:w="70" w:type="dxa"/>
              <w:left w:w="100" w:type="dxa"/>
              <w:right w:w="100" w:type="dxa"/>
            </w:tcMar>
          </w:tcPr>
          <w:p>
            <w:r>
              <w:rPr>
                <w:color w:val="334155"/>
                <w:sz w:val="17"/>
              </w:rPr>
              <w:t>U1001</w:t>
            </w:r>
          </w:p>
        </w:tc>
        <w:tc>
          <w:tcPr>
            <w:tcW w:type="dxa" w:w="1987"/>
            <w:tcMar>
              <w:top w:w="70" w:type="dxa"/>
              <w:bottom w:w="70" w:type="dxa"/>
              <w:left w:w="100" w:type="dxa"/>
              <w:right w:w="100" w:type="dxa"/>
            </w:tcMar>
          </w:tcPr>
          <w:p>
            <w:r>
              <w:rPr>
                <w:color w:val="334155"/>
                <w:sz w:val="17"/>
              </w:rPr>
              <w:t>Juan Dela Cruz</w:t>
            </w:r>
          </w:p>
        </w:tc>
        <w:tc>
          <w:tcPr>
            <w:tcW w:type="dxa" w:w="1987"/>
            <w:tcMar>
              <w:top w:w="70" w:type="dxa"/>
              <w:bottom w:w="70" w:type="dxa"/>
              <w:left w:w="100" w:type="dxa"/>
              <w:right w:w="100" w:type="dxa"/>
            </w:tcMar>
          </w:tcPr>
          <w:p>
            <w:r>
              <w:rPr>
                <w:color w:val="334155"/>
                <w:sz w:val="17"/>
              </w:rPr>
              <w:t>CUSTOMER</w:t>
            </w:r>
          </w:p>
        </w:tc>
        <w:tc>
          <w:tcPr>
            <w:tcW w:type="dxa" w:w="1987"/>
            <w:tcMar>
              <w:top w:w="70" w:type="dxa"/>
              <w:bottom w:w="70" w:type="dxa"/>
              <w:left w:w="100" w:type="dxa"/>
              <w:right w:w="100" w:type="dxa"/>
            </w:tcMar>
          </w:tcPr>
          <w:p>
            <w:r>
              <w:rPr>
                <w:color w:val="334155"/>
                <w:sz w:val="17"/>
              </w:rPr>
              <w:t>Maker (Initiator)</w:t>
            </w:r>
          </w:p>
        </w:tc>
        <w:tc>
          <w:tcPr>
            <w:tcW w:type="dxa" w:w="1987"/>
            <w:tcMar>
              <w:top w:w="70" w:type="dxa"/>
              <w:bottom w:w="70" w:type="dxa"/>
              <w:left w:w="100" w:type="dxa"/>
              <w:right w:w="100" w:type="dxa"/>
            </w:tcMar>
          </w:tcPr>
          <w:p>
            <w:r>
              <w:rPr>
                <w:color w:val="334155"/>
                <w:sz w:val="17"/>
              </w:rPr>
              <w:t>Primary retail client; initiates online transfers; cannot self-approve.</w:t>
            </w:r>
          </w:p>
        </w:tc>
      </w:tr>
      <w:tr>
        <w:tc>
          <w:tcPr>
            <w:tcW w:type="dxa" w:w="1987"/>
            <w:tcMar>
              <w:top w:w="70" w:type="dxa"/>
              <w:bottom w:w="70" w:type="dxa"/>
              <w:left w:w="100" w:type="dxa"/>
              <w:right w:w="100" w:type="dxa"/>
            </w:tcMar>
            <w:shd w:fill="F8FAFC"/>
          </w:tcPr>
          <w:p>
            <w:r>
              <w:rPr>
                <w:color w:val="334155"/>
                <w:sz w:val="17"/>
              </w:rPr>
              <w:t>U1002</w:t>
            </w:r>
          </w:p>
        </w:tc>
        <w:tc>
          <w:tcPr>
            <w:tcW w:type="dxa" w:w="1987"/>
            <w:tcMar>
              <w:top w:w="70" w:type="dxa"/>
              <w:bottom w:w="70" w:type="dxa"/>
              <w:left w:w="100" w:type="dxa"/>
              <w:right w:w="100" w:type="dxa"/>
            </w:tcMar>
            <w:shd w:fill="F8FAFC"/>
          </w:tcPr>
          <w:p>
            <w:r>
              <w:rPr>
                <w:color w:val="334155"/>
                <w:sz w:val="17"/>
              </w:rPr>
              <w:t>Maria Santos</w:t>
            </w:r>
          </w:p>
        </w:tc>
        <w:tc>
          <w:tcPr>
            <w:tcW w:type="dxa" w:w="1987"/>
            <w:tcMar>
              <w:top w:w="70" w:type="dxa"/>
              <w:bottom w:w="70" w:type="dxa"/>
              <w:left w:w="100" w:type="dxa"/>
              <w:right w:w="100" w:type="dxa"/>
            </w:tcMar>
            <w:shd w:fill="F8FAFC"/>
          </w:tcPr>
          <w:p>
            <w:r>
              <w:rPr>
                <w:color w:val="334155"/>
                <w:sz w:val="17"/>
              </w:rPr>
              <w:t>CUSTOMER</w:t>
            </w:r>
          </w:p>
        </w:tc>
        <w:tc>
          <w:tcPr>
            <w:tcW w:type="dxa" w:w="1987"/>
            <w:tcMar>
              <w:top w:w="70" w:type="dxa"/>
              <w:bottom w:w="70" w:type="dxa"/>
              <w:left w:w="100" w:type="dxa"/>
              <w:right w:w="100" w:type="dxa"/>
            </w:tcMar>
            <w:shd w:fill="F8FAFC"/>
          </w:tcPr>
          <w:p>
            <w:r>
              <w:rPr>
                <w:color w:val="334155"/>
                <w:sz w:val="17"/>
              </w:rPr>
              <w:t>Beneficiary (Inward)</w:t>
            </w:r>
          </w:p>
        </w:tc>
        <w:tc>
          <w:tcPr>
            <w:tcW w:type="dxa" w:w="1987"/>
            <w:tcMar>
              <w:top w:w="70" w:type="dxa"/>
              <w:bottom w:w="70" w:type="dxa"/>
              <w:left w:w="100" w:type="dxa"/>
              <w:right w:w="100" w:type="dxa"/>
            </w:tcMar>
            <w:shd w:fill="F8FAFC"/>
          </w:tcPr>
          <w:p>
            <w:r>
              <w:rPr>
                <w:color w:val="334155"/>
                <w:sz w:val="17"/>
              </w:rPr>
              <w:t>Destination recipient account (ACC-2009847192); receives credit advices.</w:t>
            </w:r>
          </w:p>
        </w:tc>
      </w:tr>
      <w:tr>
        <w:tc>
          <w:tcPr>
            <w:tcW w:type="dxa" w:w="1987"/>
            <w:tcMar>
              <w:top w:w="70" w:type="dxa"/>
              <w:bottom w:w="70" w:type="dxa"/>
              <w:left w:w="100" w:type="dxa"/>
              <w:right w:w="100" w:type="dxa"/>
            </w:tcMar>
          </w:tcPr>
          <w:p>
            <w:r>
              <w:rPr>
                <w:color w:val="334155"/>
                <w:sz w:val="17"/>
              </w:rPr>
              <w:t>U3002</w:t>
            </w:r>
          </w:p>
        </w:tc>
        <w:tc>
          <w:tcPr>
            <w:tcW w:type="dxa" w:w="1987"/>
            <w:tcMar>
              <w:top w:w="70" w:type="dxa"/>
              <w:bottom w:w="70" w:type="dxa"/>
              <w:left w:w="100" w:type="dxa"/>
              <w:right w:w="100" w:type="dxa"/>
            </w:tcMar>
          </w:tcPr>
          <w:p>
            <w:r>
              <w:rPr>
                <w:color w:val="334155"/>
                <w:sz w:val="17"/>
              </w:rPr>
              <w:t>Beatriz Ocampo</w:t>
            </w:r>
          </w:p>
        </w:tc>
        <w:tc>
          <w:tcPr>
            <w:tcW w:type="dxa" w:w="1987"/>
            <w:tcMar>
              <w:top w:w="70" w:type="dxa"/>
              <w:bottom w:w="70" w:type="dxa"/>
              <w:left w:w="100" w:type="dxa"/>
              <w:right w:w="100" w:type="dxa"/>
            </w:tcMar>
          </w:tcPr>
          <w:p>
            <w:r>
              <w:rPr>
                <w:color w:val="334155"/>
                <w:sz w:val="17"/>
              </w:rPr>
              <w:t>MANAGER</w:t>
            </w:r>
          </w:p>
        </w:tc>
        <w:tc>
          <w:tcPr>
            <w:tcW w:type="dxa" w:w="1987"/>
            <w:tcMar>
              <w:top w:w="70" w:type="dxa"/>
              <w:bottom w:w="70" w:type="dxa"/>
              <w:left w:w="100" w:type="dxa"/>
              <w:right w:w="100" w:type="dxa"/>
            </w:tcMar>
          </w:tcPr>
          <w:p>
            <w:r>
              <w:rPr>
                <w:color w:val="334155"/>
                <w:sz w:val="17"/>
              </w:rPr>
              <w:t>Checker 1 (Operations Manager)</w:t>
            </w:r>
          </w:p>
        </w:tc>
        <w:tc>
          <w:tcPr>
            <w:tcW w:type="dxa" w:w="1987"/>
            <w:tcMar>
              <w:top w:w="70" w:type="dxa"/>
              <w:bottom w:w="70" w:type="dxa"/>
              <w:left w:w="100" w:type="dxa"/>
              <w:right w:w="100" w:type="dxa"/>
            </w:tcMar>
          </w:tcPr>
          <w:p>
            <w:r>
              <w:rPr>
                <w:color w:val="334155"/>
                <w:sz w:val="17"/>
              </w:rPr>
              <w:t>Level 1 reviewer for Tier 2 (up to P499,999.99) &amp; Tier 3 AMLA transfers.</w:t>
            </w:r>
          </w:p>
        </w:tc>
      </w:tr>
      <w:tr>
        <w:tc>
          <w:tcPr>
            <w:tcW w:type="dxa" w:w="1987"/>
            <w:tcMar>
              <w:top w:w="70" w:type="dxa"/>
              <w:bottom w:w="70" w:type="dxa"/>
              <w:left w:w="100" w:type="dxa"/>
              <w:right w:w="100" w:type="dxa"/>
            </w:tcMar>
            <w:shd w:fill="F8FAFC"/>
          </w:tcPr>
          <w:p>
            <w:r>
              <w:rPr>
                <w:color w:val="334155"/>
                <w:sz w:val="17"/>
              </w:rPr>
              <w:t>U3003</w:t>
            </w:r>
          </w:p>
        </w:tc>
        <w:tc>
          <w:tcPr>
            <w:tcW w:type="dxa" w:w="1987"/>
            <w:tcMar>
              <w:top w:w="70" w:type="dxa"/>
              <w:bottom w:w="70" w:type="dxa"/>
              <w:left w:w="100" w:type="dxa"/>
              <w:right w:w="100" w:type="dxa"/>
            </w:tcMar>
            <w:shd w:fill="F8FAFC"/>
          </w:tcPr>
          <w:p>
            <w:r>
              <w:rPr>
                <w:color w:val="334155"/>
                <w:sz w:val="17"/>
              </w:rPr>
              <w:t>Carlos Mendoza</w:t>
            </w:r>
          </w:p>
        </w:tc>
        <w:tc>
          <w:tcPr>
            <w:tcW w:type="dxa" w:w="1987"/>
            <w:tcMar>
              <w:top w:w="70" w:type="dxa"/>
              <w:bottom w:w="70" w:type="dxa"/>
              <w:left w:w="100" w:type="dxa"/>
              <w:right w:w="100" w:type="dxa"/>
            </w:tcMar>
            <w:shd w:fill="F8FAFC"/>
          </w:tcPr>
          <w:p>
            <w:r>
              <w:rPr>
                <w:color w:val="334155"/>
                <w:sz w:val="17"/>
              </w:rPr>
              <w:t>MANAGER</w:t>
            </w:r>
          </w:p>
        </w:tc>
        <w:tc>
          <w:tcPr>
            <w:tcW w:type="dxa" w:w="1987"/>
            <w:tcMar>
              <w:top w:w="70" w:type="dxa"/>
              <w:bottom w:w="70" w:type="dxa"/>
              <w:left w:w="100" w:type="dxa"/>
              <w:right w:w="100" w:type="dxa"/>
            </w:tcMar>
            <w:shd w:fill="F8FAFC"/>
          </w:tcPr>
          <w:p>
            <w:r>
              <w:rPr>
                <w:color w:val="334155"/>
                <w:sz w:val="17"/>
              </w:rPr>
              <w:t>Approver 2 (Senior Manager)</w:t>
            </w:r>
          </w:p>
        </w:tc>
        <w:tc>
          <w:tcPr>
            <w:tcW w:type="dxa" w:w="1987"/>
            <w:tcMar>
              <w:top w:w="70" w:type="dxa"/>
              <w:bottom w:w="70" w:type="dxa"/>
              <w:left w:w="100" w:type="dxa"/>
              <w:right w:w="100" w:type="dxa"/>
            </w:tcMar>
            <w:shd w:fill="F8FAFC"/>
          </w:tcPr>
          <w:p>
            <w:r>
              <w:rPr>
                <w:color w:val="334155"/>
                <w:sz w:val="17"/>
              </w:rPr>
              <w:t>Branch Head; mandatory second sign-off for AMLA CTR transfers (&gt;= P500k).</w:t>
            </w:r>
          </w:p>
        </w:tc>
      </w:tr>
      <w:tr>
        <w:tc>
          <w:tcPr>
            <w:tcW w:type="dxa" w:w="1987"/>
            <w:tcMar>
              <w:top w:w="70" w:type="dxa"/>
              <w:bottom w:w="70" w:type="dxa"/>
              <w:left w:w="100" w:type="dxa"/>
              <w:right w:w="100" w:type="dxa"/>
            </w:tcMar>
          </w:tcPr>
          <w:p>
            <w:r>
              <w:rPr>
                <w:color w:val="334155"/>
                <w:sz w:val="17"/>
              </w:rPr>
              <w:t>U0001</w:t>
            </w:r>
          </w:p>
        </w:tc>
        <w:tc>
          <w:tcPr>
            <w:tcW w:type="dxa" w:w="1987"/>
            <w:tcMar>
              <w:top w:w="70" w:type="dxa"/>
              <w:bottom w:w="70" w:type="dxa"/>
              <w:left w:w="100" w:type="dxa"/>
              <w:right w:w="100" w:type="dxa"/>
            </w:tcMar>
          </w:tcPr>
          <w:p>
            <w:r>
              <w:rPr>
                <w:color w:val="334155"/>
                <w:sz w:val="17"/>
              </w:rPr>
              <w:t>Diana Vance</w:t>
            </w:r>
          </w:p>
        </w:tc>
        <w:tc>
          <w:tcPr>
            <w:tcW w:type="dxa" w:w="1987"/>
            <w:tcMar>
              <w:top w:w="70" w:type="dxa"/>
              <w:bottom w:w="70" w:type="dxa"/>
              <w:left w:w="100" w:type="dxa"/>
              <w:right w:w="100" w:type="dxa"/>
            </w:tcMar>
          </w:tcPr>
          <w:p>
            <w:r>
              <w:rPr>
                <w:color w:val="334155"/>
                <w:sz w:val="17"/>
              </w:rPr>
              <w:t>ADMIN</w:t>
            </w:r>
          </w:p>
        </w:tc>
        <w:tc>
          <w:tcPr>
            <w:tcW w:type="dxa" w:w="1987"/>
            <w:tcMar>
              <w:top w:w="70" w:type="dxa"/>
              <w:bottom w:w="70" w:type="dxa"/>
              <w:left w:w="100" w:type="dxa"/>
              <w:right w:w="100" w:type="dxa"/>
            </w:tcMar>
          </w:tcPr>
          <w:p>
            <w:r>
              <w:rPr>
                <w:color w:val="334155"/>
                <w:sz w:val="17"/>
              </w:rPr>
              <w:t>System Auditor / IT Admin</w:t>
            </w:r>
          </w:p>
        </w:tc>
        <w:tc>
          <w:tcPr>
            <w:tcW w:type="dxa" w:w="1987"/>
            <w:tcMar>
              <w:top w:w="70" w:type="dxa"/>
              <w:bottom w:w="70" w:type="dxa"/>
              <w:left w:w="100" w:type="dxa"/>
              <w:right w:w="100" w:type="dxa"/>
            </w:tcMar>
          </w:tcPr>
          <w:p>
            <w:r>
              <w:rPr>
                <w:color w:val="334155"/>
                <w:sz w:val="17"/>
              </w:rPr>
              <w:t>Monitors telemetry, circuit health &amp; audit logs; strictly 0.00 approval limit.</w:t>
            </w:r>
          </w:p>
        </w:tc>
      </w:tr>
    </w:tbl>
    <w:p>
      <w:pPr>
        <w:spacing w:after="120"/>
      </w:pPr>
    </w:p>
    <w:p>
      <w:pPr>
        <w:spacing w:before="320" w:after="80"/>
      </w:pPr>
      <w:r>
        <w:rPr>
          <w:rFonts w:ascii="Calibri" w:hAnsi="Calibri"/>
          <w:b/>
          <w:color w:val="0E7490"/>
          <w:sz w:val="28"/>
        </w:rPr>
        <w:t>3. Comprehensive Notification Scenarios Master Matrix</w:t>
      </w:r>
    </w:p>
    <w:p>
      <w:pPr>
        <w:spacing w:after="60" w:line="276" w:lineRule="auto"/>
      </w:pPr>
      <w:r>
        <w:rPr>
          <w:rFonts w:ascii="Calibri" w:hAnsi="Calibri"/>
          <w:color w:val="334155"/>
          <w:sz w:val="20"/>
        </w:rPr>
        <w:t>The matrix below details all 10 distinct operational, technical, and regulatory scenarios implemented within the Notification Service, explicitly mapping actors, notification recipients, and legal mandates: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E293B"/>
            <w:tcMar>
              <w:top w:w="100" w:type="dxa"/>
              <w:bottom w:w="100" w:type="dxa"/>
              <w:left w:w="100" w:type="dxa"/>
              <w:right w:w="100" w:type="dxa"/>
            </w:tcMar>
          </w:tcPr>
          <w:p>
            <w:r>
              <w:rPr>
                <w:b/>
                <w:color w:val="FFFFFF"/>
                <w:sz w:val="17"/>
              </w:rPr>
              <w:t>#</w:t>
            </w:r>
          </w:p>
        </w:tc>
        <w:tc>
          <w:tcPr>
            <w:tcW w:type="dxa" w:w="1419"/>
            <w:shd w:fill="1E293B"/>
            <w:tcMar>
              <w:top w:w="100" w:type="dxa"/>
              <w:bottom w:w="100" w:type="dxa"/>
              <w:left w:w="100" w:type="dxa"/>
              <w:right w:w="100" w:type="dxa"/>
            </w:tcMar>
          </w:tcPr>
          <w:p>
            <w:r>
              <w:rPr>
                <w:b/>
                <w:color w:val="FFFFFF"/>
                <w:sz w:val="17"/>
              </w:rPr>
              <w:t>Scenario &amp; Threshold</w:t>
            </w:r>
          </w:p>
        </w:tc>
        <w:tc>
          <w:tcPr>
            <w:tcW w:type="dxa" w:w="1419"/>
            <w:shd w:fill="1E293B"/>
            <w:tcMar>
              <w:top w:w="100" w:type="dxa"/>
              <w:bottom w:w="100" w:type="dxa"/>
              <w:left w:w="100" w:type="dxa"/>
              <w:right w:w="100" w:type="dxa"/>
            </w:tcMar>
          </w:tcPr>
          <w:p>
            <w:r>
              <w:rPr>
                <w:b/>
                <w:color w:val="FFFFFF"/>
                <w:sz w:val="17"/>
              </w:rPr>
              <w:t>Maker</w:t>
            </w:r>
          </w:p>
        </w:tc>
        <w:tc>
          <w:tcPr>
            <w:tcW w:type="dxa" w:w="1419"/>
            <w:shd w:fill="1E293B"/>
            <w:tcMar>
              <w:top w:w="100" w:type="dxa"/>
              <w:bottom w:w="100" w:type="dxa"/>
              <w:left w:w="100" w:type="dxa"/>
              <w:right w:w="100" w:type="dxa"/>
            </w:tcMar>
          </w:tcPr>
          <w:p>
            <w:r>
              <w:rPr>
                <w:b/>
                <w:color w:val="FFFFFF"/>
                <w:sz w:val="17"/>
              </w:rPr>
              <w:t>Checker / Approver</w:t>
            </w:r>
          </w:p>
        </w:tc>
        <w:tc>
          <w:tcPr>
            <w:tcW w:type="dxa" w:w="1419"/>
            <w:shd w:fill="1E293B"/>
            <w:tcMar>
              <w:top w:w="100" w:type="dxa"/>
              <w:bottom w:w="100" w:type="dxa"/>
              <w:left w:w="100" w:type="dxa"/>
              <w:right w:w="100" w:type="dxa"/>
            </w:tcMar>
          </w:tcPr>
          <w:p>
            <w:r>
              <w:rPr>
                <w:b/>
                <w:color w:val="FFFFFF"/>
                <w:sz w:val="17"/>
              </w:rPr>
              <w:t>Whom is Notified?</w:t>
            </w:r>
          </w:p>
        </w:tc>
        <w:tc>
          <w:tcPr>
            <w:tcW w:type="dxa" w:w="1419"/>
            <w:shd w:fill="1E293B"/>
            <w:tcMar>
              <w:top w:w="100" w:type="dxa"/>
              <w:bottom w:w="100" w:type="dxa"/>
              <w:left w:w="100" w:type="dxa"/>
              <w:right w:w="100" w:type="dxa"/>
            </w:tcMar>
          </w:tcPr>
          <w:p>
            <w:r>
              <w:rPr>
                <w:b/>
                <w:color w:val="FFFFFF"/>
                <w:sz w:val="17"/>
              </w:rPr>
              <w:t>Notification Content &amp; Subject</w:t>
            </w:r>
          </w:p>
        </w:tc>
        <w:tc>
          <w:tcPr>
            <w:tcW w:type="dxa" w:w="1419"/>
            <w:shd w:fill="1E293B"/>
            <w:tcMar>
              <w:top w:w="100" w:type="dxa"/>
              <w:bottom w:w="100" w:type="dxa"/>
              <w:left w:w="100" w:type="dxa"/>
              <w:right w:w="100" w:type="dxa"/>
            </w:tcMar>
          </w:tcPr>
          <w:p>
            <w:r>
              <w:rPr>
                <w:b/>
                <w:color w:val="FFFFFF"/>
                <w:sz w:val="17"/>
              </w:rPr>
              <w:t>Governing Philippine Law</w:t>
            </w:r>
          </w:p>
        </w:tc>
      </w:tr>
      <w:tr>
        <w:tc>
          <w:tcPr>
            <w:tcW w:type="dxa" w:w="1419"/>
            <w:tcMar>
              <w:top w:w="60" w:type="dxa"/>
              <w:bottom w:w="60" w:type="dxa"/>
              <w:left w:w="80" w:type="dxa"/>
              <w:right w:w="80" w:type="dxa"/>
            </w:tcMar>
          </w:tcPr>
          <w:p>
            <w:r>
              <w:rPr>
                <w:color w:val="334155"/>
                <w:sz w:val="16"/>
              </w:rPr>
              <w:t>1</w:t>
            </w:r>
          </w:p>
        </w:tc>
        <w:tc>
          <w:tcPr>
            <w:tcW w:type="dxa" w:w="1419"/>
            <w:tcMar>
              <w:top w:w="60" w:type="dxa"/>
              <w:bottom w:w="60" w:type="dxa"/>
              <w:left w:w="80" w:type="dxa"/>
              <w:right w:w="80" w:type="dxa"/>
            </w:tcMar>
          </w:tcPr>
          <w:p>
            <w:r>
              <w:rPr>
                <w:color w:val="334155"/>
                <w:sz w:val="16"/>
              </w:rPr>
              <w:t>Tier 1: Normal Retail Transfer (&lt;= P50k, e.g. P7,500)</w:t>
            </w:r>
          </w:p>
        </w:tc>
        <w:tc>
          <w:tcPr>
            <w:tcW w:type="dxa" w:w="1419"/>
            <w:tcMar>
              <w:top w:w="60" w:type="dxa"/>
              <w:bottom w:w="60" w:type="dxa"/>
              <w:left w:w="80" w:type="dxa"/>
              <w:right w:w="80" w:type="dxa"/>
            </w:tcMar>
          </w:tcPr>
          <w:p>
            <w:r>
              <w:rPr>
                <w:color w:val="334155"/>
                <w:sz w:val="16"/>
              </w:rPr>
              <w:t>Juan Dela Cruz (U1001)</w:t>
            </w:r>
          </w:p>
        </w:tc>
        <w:tc>
          <w:tcPr>
            <w:tcW w:type="dxa" w:w="1419"/>
            <w:tcMar>
              <w:top w:w="60" w:type="dxa"/>
              <w:bottom w:w="60" w:type="dxa"/>
              <w:left w:w="80" w:type="dxa"/>
              <w:right w:w="80" w:type="dxa"/>
            </w:tcMar>
          </w:tcPr>
          <w:p>
            <w:r>
              <w:rPr>
                <w:color w:val="334155"/>
                <w:sz w:val="16"/>
              </w:rPr>
              <w:t>None (Automated STP)</w:t>
            </w:r>
          </w:p>
        </w:tc>
        <w:tc>
          <w:tcPr>
            <w:tcW w:type="dxa" w:w="1419"/>
            <w:tcMar>
              <w:top w:w="60" w:type="dxa"/>
              <w:bottom w:w="60" w:type="dxa"/>
              <w:left w:w="80" w:type="dxa"/>
              <w:right w:w="80" w:type="dxa"/>
            </w:tcMar>
          </w:tcPr>
          <w:p>
            <w:r>
              <w:rPr>
                <w:color w:val="334155"/>
                <w:sz w:val="16"/>
              </w:rPr>
              <w:t>1. Juan Dela Cruz</w:t>
              <w:br/>
              <w:t>2. Maria Santos</w:t>
            </w:r>
          </w:p>
        </w:tc>
        <w:tc>
          <w:tcPr>
            <w:tcW w:type="dxa" w:w="1419"/>
            <w:tcMar>
              <w:top w:w="60" w:type="dxa"/>
              <w:bottom w:w="60" w:type="dxa"/>
              <w:left w:w="80" w:type="dxa"/>
              <w:right w:w="80" w:type="dxa"/>
            </w:tcMar>
          </w:tcPr>
          <w:p>
            <w:r>
              <w:rPr>
                <w:color w:val="334155"/>
                <w:sz w:val="16"/>
              </w:rPr>
              <w:t>Subject: Transaction Receipt: PHP 7,500.00</w:t>
              <w:br/>
              <w:t>Body: Masked ACC-****8471, SHA-256 Hash.</w:t>
            </w:r>
          </w:p>
        </w:tc>
        <w:tc>
          <w:tcPr>
            <w:tcW w:type="dxa" w:w="1419"/>
            <w:tcMar>
              <w:top w:w="60" w:type="dxa"/>
              <w:bottom w:w="60" w:type="dxa"/>
              <w:left w:w="80" w:type="dxa"/>
              <w:right w:w="80" w:type="dxa"/>
            </w:tcMar>
          </w:tcPr>
          <w:p>
            <w:r>
              <w:rPr>
                <w:color w:val="334155"/>
                <w:sz w:val="16"/>
              </w:rPr>
              <w:t>BSP Circular 980 (InstaPay STP)</w:t>
              <w:br/>
              <w:t>BSP Circular 1033</w:t>
              <w:br/>
              <w:t>RA 10173 (Masking)</w:t>
            </w:r>
          </w:p>
        </w:tc>
      </w:tr>
      <w:tr>
        <w:tc>
          <w:tcPr>
            <w:tcW w:type="dxa" w:w="1419"/>
            <w:tcMar>
              <w:top w:w="60" w:type="dxa"/>
              <w:bottom w:w="60" w:type="dxa"/>
              <w:left w:w="80" w:type="dxa"/>
              <w:right w:w="80" w:type="dxa"/>
            </w:tcMar>
            <w:shd w:fill="F8FAFC"/>
          </w:tcPr>
          <w:p>
            <w:r>
              <w:rPr>
                <w:color w:val="334155"/>
                <w:sz w:val="16"/>
              </w:rPr>
              <w:t>2</w:t>
            </w:r>
          </w:p>
        </w:tc>
        <w:tc>
          <w:tcPr>
            <w:tcW w:type="dxa" w:w="1419"/>
            <w:tcMar>
              <w:top w:w="60" w:type="dxa"/>
              <w:bottom w:w="60" w:type="dxa"/>
              <w:left w:w="80" w:type="dxa"/>
              <w:right w:w="80" w:type="dxa"/>
            </w:tcMar>
            <w:shd w:fill="F8FAFC"/>
          </w:tcPr>
          <w:p>
            <w:r>
              <w:rPr>
                <w:color w:val="334155"/>
                <w:sz w:val="16"/>
              </w:rPr>
              <w:t>Tier 2: Dual Control Hold (P50,000.01 - P499,999.99)</w:t>
            </w:r>
          </w:p>
        </w:tc>
        <w:tc>
          <w:tcPr>
            <w:tcW w:type="dxa" w:w="1419"/>
            <w:tcMar>
              <w:top w:w="60" w:type="dxa"/>
              <w:bottom w:w="60" w:type="dxa"/>
              <w:left w:w="80" w:type="dxa"/>
              <w:right w:w="80" w:type="dxa"/>
            </w:tcMar>
            <w:shd w:fill="F8FAFC"/>
          </w:tcPr>
          <w:p>
            <w:r>
              <w:rPr>
                <w:color w:val="334155"/>
                <w:sz w:val="16"/>
              </w:rPr>
              <w:t>Juan Dela Cruz (U1001)</w:t>
            </w:r>
          </w:p>
        </w:tc>
        <w:tc>
          <w:tcPr>
            <w:tcW w:type="dxa" w:w="1419"/>
            <w:tcMar>
              <w:top w:w="60" w:type="dxa"/>
              <w:bottom w:w="60" w:type="dxa"/>
              <w:left w:w="80" w:type="dxa"/>
              <w:right w:w="80" w:type="dxa"/>
            </w:tcMar>
            <w:shd w:fill="F8FAFC"/>
          </w:tcPr>
          <w:p>
            <w:r>
              <w:rPr>
                <w:color w:val="334155"/>
                <w:sz w:val="16"/>
              </w:rPr>
              <w:t>Beatriz Ocampo (U3002, L1)</w:t>
            </w:r>
          </w:p>
        </w:tc>
        <w:tc>
          <w:tcPr>
            <w:tcW w:type="dxa" w:w="1419"/>
            <w:tcMar>
              <w:top w:w="60" w:type="dxa"/>
              <w:bottom w:w="60" w:type="dxa"/>
              <w:left w:w="80" w:type="dxa"/>
              <w:right w:w="80" w:type="dxa"/>
            </w:tcMar>
            <w:shd w:fill="F8FAFC"/>
          </w:tcPr>
          <w:p>
            <w:r>
              <w:rPr>
                <w:color w:val="334155"/>
                <w:sz w:val="16"/>
              </w:rPr>
              <w:t>1. Beatriz Ocampo (Checker)</w:t>
              <w:br/>
              <w:t>2. Juan Dela Cruz (Maker)</w:t>
            </w:r>
          </w:p>
        </w:tc>
        <w:tc>
          <w:tcPr>
            <w:tcW w:type="dxa" w:w="1419"/>
            <w:tcMar>
              <w:top w:w="60" w:type="dxa"/>
              <w:bottom w:w="60" w:type="dxa"/>
              <w:left w:w="80" w:type="dxa"/>
              <w:right w:w="80" w:type="dxa"/>
            </w:tcMar>
            <w:shd w:fill="F8FAFC"/>
          </w:tcPr>
          <w:p>
            <w:r>
              <w:rPr>
                <w:color w:val="334155"/>
                <w:sz w:val="16"/>
              </w:rPr>
              <w:t>Subject: DUAL CONTROL REVIEW: Transfer P150,000.00 Requires Manager Approval</w:t>
              <w:br/>
              <w:t>WebSocket: /topic/manager-alerts</w:t>
            </w:r>
          </w:p>
        </w:tc>
        <w:tc>
          <w:tcPr>
            <w:tcW w:type="dxa" w:w="1419"/>
            <w:tcMar>
              <w:top w:w="60" w:type="dxa"/>
              <w:bottom w:w="60" w:type="dxa"/>
              <w:left w:w="80" w:type="dxa"/>
              <w:right w:w="80" w:type="dxa"/>
            </w:tcMar>
            <w:shd w:fill="F8FAFC"/>
          </w:tcPr>
          <w:p>
            <w:r>
              <w:rPr>
                <w:color w:val="334155"/>
                <w:sz w:val="16"/>
              </w:rPr>
              <w:t>BSP MORB Sec. 146</w:t>
              <w:br/>
              <w:t>BSP Circular 808 / 1033 (Operational Risk)</w:t>
            </w:r>
          </w:p>
        </w:tc>
      </w:tr>
      <w:tr>
        <w:tc>
          <w:tcPr>
            <w:tcW w:type="dxa" w:w="1419"/>
            <w:tcMar>
              <w:top w:w="60" w:type="dxa"/>
              <w:bottom w:w="60" w:type="dxa"/>
              <w:left w:w="80" w:type="dxa"/>
              <w:right w:w="80" w:type="dxa"/>
            </w:tcMar>
          </w:tcPr>
          <w:p>
            <w:r>
              <w:rPr>
                <w:color w:val="334155"/>
                <w:sz w:val="16"/>
              </w:rPr>
              <w:t>3</w:t>
            </w:r>
          </w:p>
        </w:tc>
        <w:tc>
          <w:tcPr>
            <w:tcW w:type="dxa" w:w="1419"/>
            <w:tcMar>
              <w:top w:w="60" w:type="dxa"/>
              <w:bottom w:w="60" w:type="dxa"/>
              <w:left w:w="80" w:type="dxa"/>
              <w:right w:w="80" w:type="dxa"/>
            </w:tcMar>
          </w:tcPr>
          <w:p>
            <w:r>
              <w:rPr>
                <w:color w:val="334155"/>
                <w:sz w:val="16"/>
              </w:rPr>
              <w:t>Tier 2: Manager Approval &amp; Release (P150,000.00)</w:t>
            </w:r>
          </w:p>
        </w:tc>
        <w:tc>
          <w:tcPr>
            <w:tcW w:type="dxa" w:w="1419"/>
            <w:tcMar>
              <w:top w:w="60" w:type="dxa"/>
              <w:bottom w:w="60" w:type="dxa"/>
              <w:left w:w="80" w:type="dxa"/>
              <w:right w:w="80" w:type="dxa"/>
            </w:tcMar>
          </w:tcPr>
          <w:p>
            <w:r>
              <w:rPr>
                <w:color w:val="334155"/>
                <w:sz w:val="16"/>
              </w:rPr>
              <w:t>Juan Dela Cruz (U1001)</w:t>
            </w:r>
          </w:p>
        </w:tc>
        <w:tc>
          <w:tcPr>
            <w:tcW w:type="dxa" w:w="1419"/>
            <w:tcMar>
              <w:top w:w="60" w:type="dxa"/>
              <w:bottom w:w="60" w:type="dxa"/>
              <w:left w:w="80" w:type="dxa"/>
              <w:right w:w="80" w:type="dxa"/>
            </w:tcMar>
          </w:tcPr>
          <w:p>
            <w:r>
              <w:rPr>
                <w:color w:val="334155"/>
                <w:sz w:val="16"/>
              </w:rPr>
              <w:t>Beatriz Ocampo (U3002)</w:t>
            </w:r>
          </w:p>
        </w:tc>
        <w:tc>
          <w:tcPr>
            <w:tcW w:type="dxa" w:w="1419"/>
            <w:tcMar>
              <w:top w:w="60" w:type="dxa"/>
              <w:bottom w:w="60" w:type="dxa"/>
              <w:left w:w="80" w:type="dxa"/>
              <w:right w:w="80" w:type="dxa"/>
            </w:tcMar>
          </w:tcPr>
          <w:p>
            <w:r>
              <w:rPr>
                <w:color w:val="334155"/>
                <w:sz w:val="16"/>
              </w:rPr>
              <w:t>1. Juan Dela Cruz</w:t>
              <w:br/>
              <w:t>2. Maria Santos</w:t>
              <w:br/>
              <w:t>3. Beatriz (Task Clear)</w:t>
            </w:r>
          </w:p>
        </w:tc>
        <w:tc>
          <w:tcPr>
            <w:tcW w:type="dxa" w:w="1419"/>
            <w:tcMar>
              <w:top w:w="60" w:type="dxa"/>
              <w:bottom w:w="60" w:type="dxa"/>
              <w:left w:w="80" w:type="dxa"/>
              <w:right w:w="80" w:type="dxa"/>
            </w:tcMar>
          </w:tcPr>
          <w:p>
            <w:r>
              <w:rPr>
                <w:color w:val="334155"/>
                <w:sz w:val="16"/>
              </w:rPr>
              <w:t>Subject: Funds Released: Transfer P150,000.00 Approved</w:t>
              <w:br/>
              <w:t>Body: Approved by B. Ocampo (U3002).</w:t>
            </w:r>
          </w:p>
        </w:tc>
        <w:tc>
          <w:tcPr>
            <w:tcW w:type="dxa" w:w="1419"/>
            <w:tcMar>
              <w:top w:w="60" w:type="dxa"/>
              <w:bottom w:w="60" w:type="dxa"/>
              <w:left w:w="80" w:type="dxa"/>
              <w:right w:w="80" w:type="dxa"/>
            </w:tcMar>
          </w:tcPr>
          <w:p>
            <w:r>
              <w:rPr>
                <w:color w:val="334155"/>
                <w:sz w:val="16"/>
              </w:rPr>
              <w:t>BSP Circular 980 (Finality)</w:t>
              <w:br/>
              <w:t>BSP Circular 1033</w:t>
            </w:r>
          </w:p>
        </w:tc>
      </w:tr>
      <w:tr>
        <w:tc>
          <w:tcPr>
            <w:tcW w:type="dxa" w:w="1419"/>
            <w:tcMar>
              <w:top w:w="60" w:type="dxa"/>
              <w:bottom w:w="60" w:type="dxa"/>
              <w:left w:w="80" w:type="dxa"/>
              <w:right w:w="80" w:type="dxa"/>
            </w:tcMar>
            <w:shd w:fill="F8FAFC"/>
          </w:tcPr>
          <w:p>
            <w:r>
              <w:rPr>
                <w:color w:val="334155"/>
                <w:sz w:val="16"/>
              </w:rPr>
              <w:t>4</w:t>
            </w:r>
          </w:p>
        </w:tc>
        <w:tc>
          <w:tcPr>
            <w:tcW w:type="dxa" w:w="1419"/>
            <w:tcMar>
              <w:top w:w="60" w:type="dxa"/>
              <w:bottom w:w="60" w:type="dxa"/>
              <w:left w:w="80" w:type="dxa"/>
              <w:right w:w="80" w:type="dxa"/>
            </w:tcMar>
            <w:shd w:fill="F8FAFC"/>
          </w:tcPr>
          <w:p>
            <w:r>
              <w:rPr>
                <w:color w:val="334155"/>
                <w:sz w:val="16"/>
              </w:rPr>
              <w:t>Tier 2: Manager Rejection &amp; Void (P150,000.00)</w:t>
            </w:r>
          </w:p>
        </w:tc>
        <w:tc>
          <w:tcPr>
            <w:tcW w:type="dxa" w:w="1419"/>
            <w:tcMar>
              <w:top w:w="60" w:type="dxa"/>
              <w:bottom w:w="60" w:type="dxa"/>
              <w:left w:w="80" w:type="dxa"/>
              <w:right w:w="80" w:type="dxa"/>
            </w:tcMar>
            <w:shd w:fill="F8FAFC"/>
          </w:tcPr>
          <w:p>
            <w:r>
              <w:rPr>
                <w:color w:val="334155"/>
                <w:sz w:val="16"/>
              </w:rPr>
              <w:t>Juan Dela Cruz (U1001)</w:t>
            </w:r>
          </w:p>
        </w:tc>
        <w:tc>
          <w:tcPr>
            <w:tcW w:type="dxa" w:w="1419"/>
            <w:tcMar>
              <w:top w:w="60" w:type="dxa"/>
              <w:bottom w:w="60" w:type="dxa"/>
              <w:left w:w="80" w:type="dxa"/>
              <w:right w:w="80" w:type="dxa"/>
            </w:tcMar>
            <w:shd w:fill="F8FAFC"/>
          </w:tcPr>
          <w:p>
            <w:r>
              <w:rPr>
                <w:color w:val="334155"/>
                <w:sz w:val="16"/>
              </w:rPr>
              <w:t>Beatriz Ocampo (U3002)</w:t>
            </w:r>
          </w:p>
        </w:tc>
        <w:tc>
          <w:tcPr>
            <w:tcW w:type="dxa" w:w="1419"/>
            <w:tcMar>
              <w:top w:w="60" w:type="dxa"/>
              <w:bottom w:w="60" w:type="dxa"/>
              <w:left w:w="80" w:type="dxa"/>
              <w:right w:w="80" w:type="dxa"/>
            </w:tcMar>
            <w:shd w:fill="F8FAFC"/>
          </w:tcPr>
          <w:p>
            <w:r>
              <w:rPr>
                <w:color w:val="334155"/>
                <w:sz w:val="16"/>
              </w:rPr>
              <w:t>1. Juan Dela Cruz</w:t>
            </w:r>
          </w:p>
        </w:tc>
        <w:tc>
          <w:tcPr>
            <w:tcW w:type="dxa" w:w="1419"/>
            <w:tcMar>
              <w:top w:w="60" w:type="dxa"/>
              <w:bottom w:w="60" w:type="dxa"/>
              <w:left w:w="80" w:type="dxa"/>
              <w:right w:w="80" w:type="dxa"/>
            </w:tcMar>
            <w:shd w:fill="F8FAFC"/>
          </w:tcPr>
          <w:p>
            <w:r>
              <w:rPr>
                <w:color w:val="334155"/>
                <w:sz w:val="16"/>
              </w:rPr>
              <w:t>Subject: Transfer Disapproved: P150,000.00 Voided</w:t>
              <w:br/>
              <w:t>Body: Reason stated, hold unfreezed, P0 debited.</w:t>
            </w:r>
          </w:p>
        </w:tc>
        <w:tc>
          <w:tcPr>
            <w:tcW w:type="dxa" w:w="1419"/>
            <w:tcMar>
              <w:top w:w="60" w:type="dxa"/>
              <w:bottom w:w="60" w:type="dxa"/>
              <w:left w:w="80" w:type="dxa"/>
              <w:right w:w="80" w:type="dxa"/>
            </w:tcMar>
            <w:shd w:fill="F8FAFC"/>
          </w:tcPr>
          <w:p>
            <w:r>
              <w:rPr>
                <w:color w:val="334155"/>
                <w:sz w:val="16"/>
              </w:rPr>
              <w:t>BSP Circular 1033 Sec. 6</w:t>
              <w:br/>
              <w:t>RA 7394 (Consumer Act)</w:t>
            </w:r>
          </w:p>
        </w:tc>
      </w:tr>
      <w:tr>
        <w:tc>
          <w:tcPr>
            <w:tcW w:type="dxa" w:w="1419"/>
            <w:tcMar>
              <w:top w:w="60" w:type="dxa"/>
              <w:bottom w:w="60" w:type="dxa"/>
              <w:left w:w="80" w:type="dxa"/>
              <w:right w:w="80" w:type="dxa"/>
            </w:tcMar>
          </w:tcPr>
          <w:p>
            <w:r>
              <w:rPr>
                <w:color w:val="334155"/>
                <w:sz w:val="16"/>
              </w:rPr>
              <w:t>5</w:t>
            </w:r>
          </w:p>
        </w:tc>
        <w:tc>
          <w:tcPr>
            <w:tcW w:type="dxa" w:w="1419"/>
            <w:tcMar>
              <w:top w:w="60" w:type="dxa"/>
              <w:bottom w:w="60" w:type="dxa"/>
              <w:left w:w="80" w:type="dxa"/>
              <w:right w:w="80" w:type="dxa"/>
            </w:tcMar>
          </w:tcPr>
          <w:p>
            <w:r>
              <w:rPr>
                <w:color w:val="334155"/>
                <w:sz w:val="16"/>
              </w:rPr>
              <w:t>Tier 3: AMLA Covered Hold (&gt;= P500,000.00, e.g. P750k)</w:t>
            </w:r>
          </w:p>
        </w:tc>
        <w:tc>
          <w:tcPr>
            <w:tcW w:type="dxa" w:w="1419"/>
            <w:tcMar>
              <w:top w:w="60" w:type="dxa"/>
              <w:bottom w:w="60" w:type="dxa"/>
              <w:left w:w="80" w:type="dxa"/>
              <w:right w:w="80" w:type="dxa"/>
            </w:tcMar>
          </w:tcPr>
          <w:p>
            <w:r>
              <w:rPr>
                <w:color w:val="334155"/>
                <w:sz w:val="16"/>
              </w:rPr>
              <w:t>Juan Dela Cruz (U1001)</w:t>
            </w:r>
          </w:p>
        </w:tc>
        <w:tc>
          <w:tcPr>
            <w:tcW w:type="dxa" w:w="1419"/>
            <w:tcMar>
              <w:top w:w="60" w:type="dxa"/>
              <w:bottom w:w="60" w:type="dxa"/>
              <w:left w:w="80" w:type="dxa"/>
              <w:right w:w="80" w:type="dxa"/>
            </w:tcMar>
          </w:tcPr>
          <w:p>
            <w:r>
              <w:rPr>
                <w:color w:val="334155"/>
                <w:sz w:val="16"/>
              </w:rPr>
              <w:t>Dual: Beatriz (L1) + Carlos Mendoza (L2)</w:t>
            </w:r>
          </w:p>
        </w:tc>
        <w:tc>
          <w:tcPr>
            <w:tcW w:type="dxa" w:w="1419"/>
            <w:tcMar>
              <w:top w:w="60" w:type="dxa"/>
              <w:bottom w:w="60" w:type="dxa"/>
              <w:left w:w="80" w:type="dxa"/>
              <w:right w:w="80" w:type="dxa"/>
            </w:tcMar>
          </w:tcPr>
          <w:p>
            <w:r>
              <w:rPr>
                <w:color w:val="334155"/>
                <w:sz w:val="16"/>
              </w:rPr>
              <w:t>1. Beatriz Ocampo</w:t>
              <w:br/>
              <w:t>2. Carlos Mendoza</w:t>
              <w:br/>
              <w:t>3. Juan Dela Cruz</w:t>
            </w:r>
          </w:p>
        </w:tc>
        <w:tc>
          <w:tcPr>
            <w:tcW w:type="dxa" w:w="1419"/>
            <w:tcMar>
              <w:top w:w="60" w:type="dxa"/>
              <w:bottom w:w="60" w:type="dxa"/>
              <w:left w:w="80" w:type="dxa"/>
              <w:right w:w="80" w:type="dxa"/>
            </w:tcMar>
          </w:tcPr>
          <w:p>
            <w:r>
              <w:rPr>
                <w:color w:val="334155"/>
                <w:sz w:val="16"/>
              </w:rPr>
              <w:t>Subject: URGENT AMLA HOLD: Transfer P750,000.00 Requires CTR Filing &amp; Dual Sign-Off</w:t>
            </w:r>
          </w:p>
        </w:tc>
        <w:tc>
          <w:tcPr>
            <w:tcW w:type="dxa" w:w="1419"/>
            <w:tcMar>
              <w:top w:w="60" w:type="dxa"/>
              <w:bottom w:w="60" w:type="dxa"/>
              <w:left w:w="80" w:type="dxa"/>
              <w:right w:w="80" w:type="dxa"/>
            </w:tcMar>
          </w:tcPr>
          <w:p>
            <w:r>
              <w:rPr>
                <w:color w:val="334155"/>
                <w:sz w:val="16"/>
              </w:rPr>
              <w:t>RA 9160 (AMLA) Sec. 3(b)</w:t>
              <w:br/>
              <w:t>BSP Circular 1022 (CTR)</w:t>
            </w:r>
          </w:p>
        </w:tc>
      </w:tr>
      <w:tr>
        <w:tc>
          <w:tcPr>
            <w:tcW w:type="dxa" w:w="1419"/>
            <w:tcMar>
              <w:top w:w="60" w:type="dxa"/>
              <w:bottom w:w="60" w:type="dxa"/>
              <w:left w:w="80" w:type="dxa"/>
              <w:right w:w="80" w:type="dxa"/>
            </w:tcMar>
            <w:shd w:fill="F8FAFC"/>
          </w:tcPr>
          <w:p>
            <w:r>
              <w:rPr>
                <w:color w:val="334155"/>
                <w:sz w:val="16"/>
              </w:rPr>
              <w:t>6</w:t>
            </w:r>
          </w:p>
        </w:tc>
        <w:tc>
          <w:tcPr>
            <w:tcW w:type="dxa" w:w="1419"/>
            <w:tcMar>
              <w:top w:w="60" w:type="dxa"/>
              <w:bottom w:w="60" w:type="dxa"/>
              <w:left w:w="80" w:type="dxa"/>
              <w:right w:w="80" w:type="dxa"/>
            </w:tcMar>
            <w:shd w:fill="F8FAFC"/>
          </w:tcPr>
          <w:p>
            <w:r>
              <w:rPr>
                <w:color w:val="334155"/>
                <w:sz w:val="16"/>
              </w:rPr>
              <w:t>Tier 3 Stage 1: Level 1 Sign-Off (P750,000.00)</w:t>
            </w:r>
          </w:p>
        </w:tc>
        <w:tc>
          <w:tcPr>
            <w:tcW w:type="dxa" w:w="1419"/>
            <w:tcMar>
              <w:top w:w="60" w:type="dxa"/>
              <w:bottom w:w="60" w:type="dxa"/>
              <w:left w:w="80" w:type="dxa"/>
              <w:right w:w="80" w:type="dxa"/>
            </w:tcMar>
            <w:shd w:fill="F8FAFC"/>
          </w:tcPr>
          <w:p>
            <w:r>
              <w:rPr>
                <w:color w:val="334155"/>
                <w:sz w:val="16"/>
              </w:rPr>
              <w:t>Juan Dela Cruz (U1001)</w:t>
            </w:r>
          </w:p>
        </w:tc>
        <w:tc>
          <w:tcPr>
            <w:tcW w:type="dxa" w:w="1419"/>
            <w:tcMar>
              <w:top w:w="60" w:type="dxa"/>
              <w:bottom w:w="60" w:type="dxa"/>
              <w:left w:w="80" w:type="dxa"/>
              <w:right w:w="80" w:type="dxa"/>
            </w:tcMar>
            <w:shd w:fill="F8FAFC"/>
          </w:tcPr>
          <w:p>
            <w:r>
              <w:rPr>
                <w:color w:val="334155"/>
                <w:sz w:val="16"/>
              </w:rPr>
              <w:t>Beatriz Ocampo (Signed L1)</w:t>
            </w:r>
          </w:p>
        </w:tc>
        <w:tc>
          <w:tcPr>
            <w:tcW w:type="dxa" w:w="1419"/>
            <w:tcMar>
              <w:top w:w="60" w:type="dxa"/>
              <w:bottom w:w="60" w:type="dxa"/>
              <w:left w:w="80" w:type="dxa"/>
              <w:right w:w="80" w:type="dxa"/>
            </w:tcMar>
            <w:shd w:fill="F8FAFC"/>
          </w:tcPr>
          <w:p>
            <w:r>
              <w:rPr>
                <w:color w:val="334155"/>
                <w:sz w:val="16"/>
              </w:rPr>
              <w:t>1. Carlos Mendoza (Senior Manager L2)</w:t>
            </w:r>
          </w:p>
        </w:tc>
        <w:tc>
          <w:tcPr>
            <w:tcW w:type="dxa" w:w="1419"/>
            <w:tcMar>
              <w:top w:w="60" w:type="dxa"/>
              <w:bottom w:w="60" w:type="dxa"/>
              <w:left w:w="80" w:type="dxa"/>
              <w:right w:w="80" w:type="dxa"/>
            </w:tcMar>
            <w:shd w:fill="F8FAFC"/>
          </w:tcPr>
          <w:p>
            <w:r>
              <w:rPr>
                <w:color w:val="334155"/>
                <w:sz w:val="16"/>
              </w:rPr>
              <w:t>Subject: ESCALATION: AMLA Transfer P750,000.00 Approved by L1, Awaiting L2 Sign-Off</w:t>
            </w:r>
          </w:p>
        </w:tc>
        <w:tc>
          <w:tcPr>
            <w:tcW w:type="dxa" w:w="1419"/>
            <w:tcMar>
              <w:top w:w="60" w:type="dxa"/>
              <w:bottom w:w="60" w:type="dxa"/>
              <w:left w:w="80" w:type="dxa"/>
              <w:right w:w="80" w:type="dxa"/>
            </w:tcMar>
            <w:shd w:fill="F8FAFC"/>
          </w:tcPr>
          <w:p>
            <w:r>
              <w:rPr>
                <w:color w:val="334155"/>
                <w:sz w:val="16"/>
              </w:rPr>
              <w:t>BSP MORB Sec. 146.4 (Escalation Protocol)</w:t>
            </w:r>
          </w:p>
        </w:tc>
      </w:tr>
      <w:tr>
        <w:tc>
          <w:tcPr>
            <w:tcW w:type="dxa" w:w="1419"/>
            <w:tcMar>
              <w:top w:w="60" w:type="dxa"/>
              <w:bottom w:w="60" w:type="dxa"/>
              <w:left w:w="80" w:type="dxa"/>
              <w:right w:w="80" w:type="dxa"/>
            </w:tcMar>
          </w:tcPr>
          <w:p>
            <w:r>
              <w:rPr>
                <w:color w:val="334155"/>
                <w:sz w:val="16"/>
              </w:rPr>
              <w:t>7</w:t>
            </w:r>
          </w:p>
        </w:tc>
        <w:tc>
          <w:tcPr>
            <w:tcW w:type="dxa" w:w="1419"/>
            <w:tcMar>
              <w:top w:w="60" w:type="dxa"/>
              <w:bottom w:w="60" w:type="dxa"/>
              <w:left w:w="80" w:type="dxa"/>
              <w:right w:w="80" w:type="dxa"/>
            </w:tcMar>
          </w:tcPr>
          <w:p>
            <w:r>
              <w:rPr>
                <w:color w:val="334155"/>
                <w:sz w:val="16"/>
              </w:rPr>
              <w:t>Tier 3 Stage 2: Level 2 Final Sign-Off &amp; Release</w:t>
            </w:r>
          </w:p>
        </w:tc>
        <w:tc>
          <w:tcPr>
            <w:tcW w:type="dxa" w:w="1419"/>
            <w:tcMar>
              <w:top w:w="60" w:type="dxa"/>
              <w:bottom w:w="60" w:type="dxa"/>
              <w:left w:w="80" w:type="dxa"/>
              <w:right w:w="80" w:type="dxa"/>
            </w:tcMar>
          </w:tcPr>
          <w:p>
            <w:r>
              <w:rPr>
                <w:color w:val="334155"/>
                <w:sz w:val="16"/>
              </w:rPr>
              <w:t>Juan Dela Cruz (U1001)</w:t>
            </w:r>
          </w:p>
        </w:tc>
        <w:tc>
          <w:tcPr>
            <w:tcW w:type="dxa" w:w="1419"/>
            <w:tcMar>
              <w:top w:w="60" w:type="dxa"/>
              <w:bottom w:w="60" w:type="dxa"/>
              <w:left w:w="80" w:type="dxa"/>
              <w:right w:w="80" w:type="dxa"/>
            </w:tcMar>
          </w:tcPr>
          <w:p>
            <w:r>
              <w:rPr>
                <w:color w:val="334155"/>
                <w:sz w:val="16"/>
              </w:rPr>
              <w:t>Carlos Mendoza (Signed L2)</w:t>
            </w:r>
          </w:p>
        </w:tc>
        <w:tc>
          <w:tcPr>
            <w:tcW w:type="dxa" w:w="1419"/>
            <w:tcMar>
              <w:top w:w="60" w:type="dxa"/>
              <w:bottom w:w="60" w:type="dxa"/>
              <w:left w:w="80" w:type="dxa"/>
              <w:right w:w="80" w:type="dxa"/>
            </w:tcMar>
          </w:tcPr>
          <w:p>
            <w:r>
              <w:rPr>
                <w:color w:val="334155"/>
                <w:sz w:val="16"/>
              </w:rPr>
              <w:t>1. Juan Dela Cruz</w:t>
              <w:br/>
              <w:t>2. Maria Santos</w:t>
              <w:br/>
              <w:t>3. AML Compliance Vault</w:t>
            </w:r>
          </w:p>
        </w:tc>
        <w:tc>
          <w:tcPr>
            <w:tcW w:type="dxa" w:w="1419"/>
            <w:tcMar>
              <w:top w:w="60" w:type="dxa"/>
              <w:bottom w:w="60" w:type="dxa"/>
              <w:left w:w="80" w:type="dxa"/>
              <w:right w:w="80" w:type="dxa"/>
            </w:tcMar>
          </w:tcPr>
          <w:p>
            <w:r>
              <w:rPr>
                <w:color w:val="334155"/>
                <w:sz w:val="16"/>
              </w:rPr>
              <w:t>Subject: AMLA Cleared: Transfer P750,000.00 Released</w:t>
              <w:br/>
              <w:t>Body: Dual Signatures (U3002 + U3003).</w:t>
            </w:r>
          </w:p>
        </w:tc>
        <w:tc>
          <w:tcPr>
            <w:tcW w:type="dxa" w:w="1419"/>
            <w:tcMar>
              <w:top w:w="60" w:type="dxa"/>
              <w:bottom w:w="60" w:type="dxa"/>
              <w:left w:w="80" w:type="dxa"/>
              <w:right w:w="80" w:type="dxa"/>
            </w:tcMar>
          </w:tcPr>
          <w:p>
            <w:r>
              <w:rPr>
                <w:color w:val="334155"/>
                <w:sz w:val="16"/>
              </w:rPr>
              <w:t>RA 9160 Sec. 9(c) (5-Day CTR)</w:t>
              <w:br/>
              <w:t>BSP Circular 1022</w:t>
            </w:r>
          </w:p>
        </w:tc>
      </w:tr>
      <w:tr>
        <w:tc>
          <w:tcPr>
            <w:tcW w:type="dxa" w:w="1419"/>
            <w:tcMar>
              <w:top w:w="60" w:type="dxa"/>
              <w:bottom w:w="60" w:type="dxa"/>
              <w:left w:w="80" w:type="dxa"/>
              <w:right w:w="80" w:type="dxa"/>
            </w:tcMar>
            <w:shd w:fill="F8FAFC"/>
          </w:tcPr>
          <w:p>
            <w:r>
              <w:rPr>
                <w:color w:val="334155"/>
                <w:sz w:val="16"/>
              </w:rPr>
              <w:t>8</w:t>
            </w:r>
          </w:p>
        </w:tc>
        <w:tc>
          <w:tcPr>
            <w:tcW w:type="dxa" w:w="1419"/>
            <w:tcMar>
              <w:top w:w="60" w:type="dxa"/>
              <w:bottom w:w="60" w:type="dxa"/>
              <w:left w:w="80" w:type="dxa"/>
              <w:right w:w="80" w:type="dxa"/>
            </w:tcMar>
            <w:shd w:fill="F8FAFC"/>
          </w:tcPr>
          <w:p>
            <w:r>
              <w:rPr>
                <w:color w:val="334155"/>
                <w:sz w:val="16"/>
              </w:rPr>
              <w:t>Technical: Redis Deduplication (Double-Click Defense)</w:t>
            </w:r>
          </w:p>
        </w:tc>
        <w:tc>
          <w:tcPr>
            <w:tcW w:type="dxa" w:w="1419"/>
            <w:tcMar>
              <w:top w:w="60" w:type="dxa"/>
              <w:bottom w:w="60" w:type="dxa"/>
              <w:left w:w="80" w:type="dxa"/>
              <w:right w:w="80" w:type="dxa"/>
            </w:tcMar>
            <w:shd w:fill="F8FAFC"/>
          </w:tcPr>
          <w:p>
            <w:r>
              <w:rPr>
                <w:color w:val="334155"/>
                <w:sz w:val="16"/>
              </w:rPr>
              <w:t>Any Customer</w:t>
            </w:r>
          </w:p>
        </w:tc>
        <w:tc>
          <w:tcPr>
            <w:tcW w:type="dxa" w:w="1419"/>
            <w:tcMar>
              <w:top w:w="60" w:type="dxa"/>
              <w:bottom w:w="60" w:type="dxa"/>
              <w:left w:w="80" w:type="dxa"/>
              <w:right w:w="80" w:type="dxa"/>
            </w:tcMar>
            <w:shd w:fill="F8FAFC"/>
          </w:tcPr>
          <w:p>
            <w:r>
              <w:rPr>
                <w:color w:val="334155"/>
                <w:sz w:val="16"/>
              </w:rPr>
              <w:t>Automated Redis Gate</w:t>
            </w:r>
          </w:p>
        </w:tc>
        <w:tc>
          <w:tcPr>
            <w:tcW w:type="dxa" w:w="1419"/>
            <w:tcMar>
              <w:top w:w="60" w:type="dxa"/>
              <w:bottom w:w="60" w:type="dxa"/>
              <w:left w:w="80" w:type="dxa"/>
              <w:right w:w="80" w:type="dxa"/>
            </w:tcMar>
            <w:shd w:fill="F8FAFC"/>
          </w:tcPr>
          <w:p>
            <w:r>
              <w:rPr>
                <w:color w:val="334155"/>
                <w:sz w:val="16"/>
              </w:rPr>
              <w:t>Zero (Duplicate Suppressed)</w:t>
            </w:r>
          </w:p>
        </w:tc>
        <w:tc>
          <w:tcPr>
            <w:tcW w:type="dxa" w:w="1419"/>
            <w:tcMar>
              <w:top w:w="60" w:type="dxa"/>
              <w:bottom w:w="60" w:type="dxa"/>
              <w:left w:w="80" w:type="dxa"/>
              <w:right w:w="80" w:type="dxa"/>
            </w:tcMar>
            <w:shd w:fill="F8FAFC"/>
          </w:tcPr>
          <w:p>
            <w:r>
              <w:rPr>
                <w:color w:val="334155"/>
                <w:sz w:val="16"/>
              </w:rPr>
              <w:t>Server Log: [DEDUPLICATION] Event already seen. Dropping duplicate email dispatch.</w:t>
            </w:r>
          </w:p>
        </w:tc>
        <w:tc>
          <w:tcPr>
            <w:tcW w:type="dxa" w:w="1419"/>
            <w:tcMar>
              <w:top w:w="60" w:type="dxa"/>
              <w:bottom w:w="60" w:type="dxa"/>
              <w:left w:w="80" w:type="dxa"/>
              <w:right w:w="80" w:type="dxa"/>
            </w:tcMar>
            <w:shd w:fill="F8FAFC"/>
          </w:tcPr>
          <w:p>
            <w:r>
              <w:rPr>
                <w:color w:val="334155"/>
                <w:sz w:val="16"/>
              </w:rPr>
              <w:t>ISO 20022 Financial Messaging</w:t>
              <w:br/>
              <w:t>RFC 7231 Idempotency</w:t>
            </w:r>
          </w:p>
        </w:tc>
      </w:tr>
      <w:tr>
        <w:tc>
          <w:tcPr>
            <w:tcW w:type="dxa" w:w="1419"/>
            <w:tcMar>
              <w:top w:w="60" w:type="dxa"/>
              <w:bottom w:w="60" w:type="dxa"/>
              <w:left w:w="80" w:type="dxa"/>
              <w:right w:w="80" w:type="dxa"/>
            </w:tcMar>
          </w:tcPr>
          <w:p>
            <w:r>
              <w:rPr>
                <w:color w:val="334155"/>
                <w:sz w:val="16"/>
              </w:rPr>
              <w:t>9</w:t>
            </w:r>
          </w:p>
        </w:tc>
        <w:tc>
          <w:tcPr>
            <w:tcW w:type="dxa" w:w="1419"/>
            <w:tcMar>
              <w:top w:w="60" w:type="dxa"/>
              <w:bottom w:w="60" w:type="dxa"/>
              <w:left w:w="80" w:type="dxa"/>
              <w:right w:w="80" w:type="dxa"/>
            </w:tcMar>
          </w:tcPr>
          <w:p>
            <w:r>
              <w:rPr>
                <w:color w:val="334155"/>
                <w:sz w:val="16"/>
              </w:rPr>
              <w:t>Technical: Circuit Breaker &amp; Retry Spooling</w:t>
            </w:r>
          </w:p>
        </w:tc>
        <w:tc>
          <w:tcPr>
            <w:tcW w:type="dxa" w:w="1419"/>
            <w:tcMar>
              <w:top w:w="60" w:type="dxa"/>
              <w:bottom w:w="60" w:type="dxa"/>
              <w:left w:w="80" w:type="dxa"/>
              <w:right w:w="80" w:type="dxa"/>
            </w:tcMar>
          </w:tcPr>
          <w:p>
            <w:r>
              <w:rPr>
                <w:color w:val="334155"/>
                <w:sz w:val="16"/>
              </w:rPr>
              <w:t>Outbox Relay</w:t>
            </w:r>
          </w:p>
        </w:tc>
        <w:tc>
          <w:tcPr>
            <w:tcW w:type="dxa" w:w="1419"/>
            <w:tcMar>
              <w:top w:w="60" w:type="dxa"/>
              <w:bottom w:w="60" w:type="dxa"/>
              <w:left w:w="80" w:type="dxa"/>
              <w:right w:w="80" w:type="dxa"/>
            </w:tcMar>
          </w:tcPr>
          <w:p>
            <w:r>
              <w:rPr>
                <w:color w:val="334155"/>
                <w:sz w:val="16"/>
              </w:rPr>
              <w:t>Automated Circuit Breaker</w:t>
            </w:r>
          </w:p>
        </w:tc>
        <w:tc>
          <w:tcPr>
            <w:tcW w:type="dxa" w:w="1419"/>
            <w:tcMar>
              <w:top w:w="60" w:type="dxa"/>
              <w:bottom w:w="60" w:type="dxa"/>
              <w:left w:w="80" w:type="dxa"/>
              <w:right w:w="80" w:type="dxa"/>
            </w:tcMar>
          </w:tcPr>
          <w:p>
            <w:r>
              <w:rPr>
                <w:color w:val="334155"/>
                <w:sz w:val="16"/>
              </w:rPr>
              <w:t>Diana Vance (IT Auditor)</w:t>
            </w:r>
          </w:p>
        </w:tc>
        <w:tc>
          <w:tcPr>
            <w:tcW w:type="dxa" w:w="1419"/>
            <w:tcMar>
              <w:top w:w="60" w:type="dxa"/>
              <w:bottom w:w="60" w:type="dxa"/>
              <w:left w:w="80" w:type="dxa"/>
              <w:right w:w="80" w:type="dxa"/>
            </w:tcMar>
          </w:tcPr>
          <w:p>
            <w:r>
              <w:rPr>
                <w:color w:val="334155"/>
                <w:sz w:val="16"/>
              </w:rPr>
              <w:t>Metric Alert: Circuit OPEN, spool size buffered.</w:t>
              <w:br/>
              <w:t>Flush: POST /api/v1/notifications/flush-spool</w:t>
            </w:r>
          </w:p>
        </w:tc>
        <w:tc>
          <w:tcPr>
            <w:tcW w:type="dxa" w:w="1419"/>
            <w:tcMar>
              <w:top w:w="60" w:type="dxa"/>
              <w:bottom w:w="60" w:type="dxa"/>
              <w:left w:w="80" w:type="dxa"/>
              <w:right w:w="80" w:type="dxa"/>
            </w:tcMar>
          </w:tcPr>
          <w:p>
            <w:r>
              <w:rPr>
                <w:color w:val="334155"/>
                <w:sz w:val="16"/>
              </w:rPr>
              <w:t>BSP Circular 808 App. 75 (Business Continuity)</w:t>
            </w:r>
          </w:p>
        </w:tc>
      </w:tr>
      <w:tr>
        <w:tc>
          <w:tcPr>
            <w:tcW w:type="dxa" w:w="1419"/>
            <w:tcMar>
              <w:top w:w="60" w:type="dxa"/>
              <w:bottom w:w="60" w:type="dxa"/>
              <w:left w:w="80" w:type="dxa"/>
              <w:right w:w="80" w:type="dxa"/>
            </w:tcMar>
            <w:shd w:fill="F8FAFC"/>
          </w:tcPr>
          <w:p>
            <w:r>
              <w:rPr>
                <w:color w:val="334155"/>
                <w:sz w:val="16"/>
              </w:rPr>
              <w:t>10</w:t>
            </w:r>
          </w:p>
        </w:tc>
        <w:tc>
          <w:tcPr>
            <w:tcW w:type="dxa" w:w="1419"/>
            <w:tcMar>
              <w:top w:w="60" w:type="dxa"/>
              <w:bottom w:w="60" w:type="dxa"/>
              <w:left w:w="80" w:type="dxa"/>
              <w:right w:w="80" w:type="dxa"/>
            </w:tcMar>
            <w:shd w:fill="F8FAFC"/>
          </w:tcPr>
          <w:p>
            <w:r>
              <w:rPr>
                <w:color w:val="334155"/>
                <w:sz w:val="16"/>
              </w:rPr>
              <w:t>Security: Account Lockout Warning (3 Bad Logins)</w:t>
            </w:r>
          </w:p>
        </w:tc>
        <w:tc>
          <w:tcPr>
            <w:tcW w:type="dxa" w:w="1419"/>
            <w:tcMar>
              <w:top w:w="60" w:type="dxa"/>
              <w:bottom w:w="60" w:type="dxa"/>
              <w:left w:w="80" w:type="dxa"/>
              <w:right w:w="80" w:type="dxa"/>
            </w:tcMar>
            <w:shd w:fill="F8FAFC"/>
          </w:tcPr>
          <w:p>
            <w:r>
              <w:rPr>
                <w:color w:val="334155"/>
                <w:sz w:val="16"/>
              </w:rPr>
              <w:t>Security Daemon</w:t>
            </w:r>
          </w:p>
        </w:tc>
        <w:tc>
          <w:tcPr>
            <w:tcW w:type="dxa" w:w="1419"/>
            <w:tcMar>
              <w:top w:w="60" w:type="dxa"/>
              <w:bottom w:w="60" w:type="dxa"/>
              <w:left w:w="80" w:type="dxa"/>
              <w:right w:w="80" w:type="dxa"/>
            </w:tcMar>
            <w:shd w:fill="F8FAFC"/>
          </w:tcPr>
          <w:p>
            <w:r>
              <w:rPr>
                <w:color w:val="334155"/>
                <w:sz w:val="16"/>
              </w:rPr>
              <w:t>Diana Vance (U0001)</w:t>
            </w:r>
          </w:p>
        </w:tc>
        <w:tc>
          <w:tcPr>
            <w:tcW w:type="dxa" w:w="1419"/>
            <w:tcMar>
              <w:top w:w="60" w:type="dxa"/>
              <w:bottom w:w="60" w:type="dxa"/>
              <w:left w:w="80" w:type="dxa"/>
              <w:right w:w="80" w:type="dxa"/>
            </w:tcMar>
            <w:shd w:fill="F8FAFC"/>
          </w:tcPr>
          <w:p>
            <w:r>
              <w:rPr>
                <w:color w:val="334155"/>
                <w:sz w:val="16"/>
              </w:rPr>
              <w:t>1. Juan Dela Cruz (Holder)</w:t>
              <w:br/>
              <w:t>2. Security Team</w:t>
            </w:r>
          </w:p>
        </w:tc>
        <w:tc>
          <w:tcPr>
            <w:tcW w:type="dxa" w:w="1419"/>
            <w:tcMar>
              <w:top w:w="60" w:type="dxa"/>
              <w:bottom w:w="60" w:type="dxa"/>
              <w:left w:w="80" w:type="dxa"/>
              <w:right w:w="80" w:type="dxa"/>
            </w:tcMar>
            <w:shd w:fill="F8FAFC"/>
          </w:tcPr>
          <w:p>
            <w:r>
              <w:rPr>
                <w:color w:val="334155"/>
                <w:sz w:val="16"/>
              </w:rPr>
              <w:t>Subject: SECURITY ALERT: Account Access Temporarily Restricted</w:t>
              <w:br/>
              <w:t>Body: Unlock helpline, IP log.</w:t>
            </w:r>
          </w:p>
        </w:tc>
        <w:tc>
          <w:tcPr>
            <w:tcW w:type="dxa" w:w="1419"/>
            <w:tcMar>
              <w:top w:w="60" w:type="dxa"/>
              <w:bottom w:w="60" w:type="dxa"/>
              <w:left w:w="80" w:type="dxa"/>
              <w:right w:w="80" w:type="dxa"/>
            </w:tcMar>
            <w:shd w:fill="F8FAFC"/>
          </w:tcPr>
          <w:p>
            <w:r>
              <w:rPr>
                <w:color w:val="334155"/>
                <w:sz w:val="16"/>
              </w:rPr>
              <w:t>BSP Circular 1033 Sec. 4</w:t>
              <w:br/>
              <w:t>RA 10173 (Breach Notice)</w:t>
            </w:r>
          </w:p>
        </w:tc>
      </w:tr>
    </w:tbl>
    <w:p>
      <w:pPr>
        <w:spacing w:after="160"/>
      </w:pPr>
    </w:p>
    <w:p>
      <w:pPr>
        <w:spacing w:before="320" w:after="80"/>
      </w:pPr>
      <w:r>
        <w:rPr>
          <w:rFonts w:ascii="Calibri" w:hAnsi="Calibri"/>
          <w:b/>
          <w:color w:val="0E7490"/>
          <w:sz w:val="28"/>
        </w:rPr>
        <w:t>4. Step-by-Step Scenario Showcase Playbook &amp; Screenshot Frames</w:t>
      </w:r>
    </w:p>
    <w:p>
      <w:pPr>
        <w:spacing w:after="60" w:line="276" w:lineRule="auto"/>
      </w:pPr>
      <w:r>
        <w:rPr>
          <w:rFonts w:ascii="Calibri" w:hAnsi="Calibri"/>
          <w:color w:val="334155"/>
          <w:sz w:val="20"/>
        </w:rPr>
        <w:t>This section provides the end-to-end execution walkthrough for each scenario, accompanied by designated screenshot placement frames for capstone defense compilation.</w:t>
      </w:r>
    </w:p>
    <w:p>
      <w:pPr>
        <w:spacing w:before="200" w:after="60"/>
      </w:pPr>
      <w:r>
        <w:rPr>
          <w:rFonts w:ascii="Calibri" w:hAnsi="Calibri"/>
          <w:b/>
          <w:color w:val="0F172A"/>
          <w:sz w:val="23"/>
        </w:rPr>
        <w:t>Scenario 1: Tier 1 Everyday Retail Transfer (Straight-Through Processing — PHP 7,500.00)</w:t>
      </w:r>
    </w:p>
    <w:p>
      <w:pPr>
        <w:spacing w:after="60" w:line="276" w:lineRule="auto"/>
      </w:pPr>
      <w:r>
        <w:rPr>
          <w:rFonts w:ascii="Calibri" w:hAnsi="Calibri"/>
          <w:color w:val="334155"/>
          <w:sz w:val="20"/>
        </w:rPr>
        <w:t>Customer Juan Dela Cruz (U1001) transfers PHP 7,500.00 to Maria Santos (U1002). Because the amount is within the retail threshold (&lt;= PHP 50,000.00), the transaction is automatically processed via Straight-Through Processing (STP) per BSP Circular 980 without requiring human management authorization.</w:t>
      </w:r>
    </w:p>
    <w:p>
      <w:pPr>
        <w:spacing w:after="60" w:line="276" w:lineRule="auto"/>
      </w:pPr>
      <w:r>
        <w:rPr>
          <w:rFonts w:ascii="Calibri" w:hAnsi="Calibri"/>
          <w:b/>
          <w:color w:val="0F172A"/>
          <w:sz w:val="20"/>
        </w:rPr>
        <w:t xml:space="preserve">• </w:t>
      </w:r>
      <w:r>
        <w:rPr>
          <w:rFonts w:ascii="Calibri" w:hAnsi="Calibri"/>
          <w:color w:val="334155"/>
          <w:sz w:val="20"/>
        </w:rPr>
        <w:t>Notification Outputs:</w:t>
      </w:r>
    </w:p>
    <w:p>
      <w:pPr>
        <w:spacing w:after="60" w:line="276" w:lineRule="auto"/>
      </w:pPr>
      <w:r>
        <w:rPr>
          <w:rFonts w:ascii="Calibri" w:hAnsi="Calibri"/>
          <w:b/>
          <w:color w:val="0F172A"/>
          <w:sz w:val="20"/>
        </w:rPr>
        <w:t xml:space="preserve">1. Email Receipt: </w:t>
      </w:r>
      <w:r>
        <w:rPr>
          <w:rFonts w:ascii="Calibri" w:hAnsi="Calibri"/>
          <w:color w:val="334155"/>
          <w:sz w:val="20"/>
        </w:rPr>
        <w:t xml:space="preserve"> Juan receives an official HTML receipt in MailHog with masked account numbers (ACC-****8471) and SHA-256 verification hash.</w:t>
      </w:r>
    </w:p>
    <w:p>
      <w:pPr>
        <w:spacing w:after="60" w:line="276" w:lineRule="auto"/>
      </w:pPr>
      <w:r>
        <w:rPr>
          <w:rFonts w:ascii="Calibri" w:hAnsi="Calibri"/>
          <w:b/>
          <w:color w:val="0F172A"/>
          <w:sz w:val="20"/>
        </w:rPr>
        <w:t xml:space="preserve">2. SSE Browser Toast: </w:t>
      </w:r>
      <w:r>
        <w:rPr>
          <w:rFonts w:ascii="Calibri" w:hAnsi="Calibri"/>
          <w:color w:val="334155"/>
          <w:sz w:val="20"/>
        </w:rPr>
        <w:t xml:space="preserve"> Instant green pop-up banner on the client web portal confirming settlement.</w:t>
      </w:r>
    </w:p>
    <w:p>
      <w:pPr>
        <w:spacing w:after="60" w:line="276" w:lineRule="auto"/>
      </w:pPr>
      <w:r>
        <w:rPr>
          <w:rFonts w:ascii="Calibri" w:hAnsi="Calibri"/>
          <w:b/>
          <w:color w:val="0F172A"/>
          <w:sz w:val="20"/>
        </w:rPr>
        <w:t xml:space="preserve">3. Beneficiary Notice: </w:t>
      </w:r>
      <w:r>
        <w:rPr>
          <w:rFonts w:ascii="Calibri" w:hAnsi="Calibri"/>
          <w:color w:val="334155"/>
          <w:sz w:val="20"/>
        </w:rPr>
        <w:t xml:space="preserve"> Maria Santos receives inward credit advice.</w:t>
      </w:r>
    </w:p>
    <w:p>
      <w:pPr>
        <w:spacing w:after="60" w:line="276" w:lineRule="auto"/>
      </w:pPr>
      <w:r>
        <w:rPr>
          <w:rFonts w:ascii="Calibri" w:hAnsi="Calibri"/>
          <w:b/>
          <w:color w:val="0F172A"/>
          <w:sz w:val="20"/>
        </w:rPr>
        <w:t xml:space="preserve">• </w:t>
      </w:r>
      <w:r>
        <w:rPr>
          <w:rFonts w:ascii="Calibri" w:hAnsi="Calibri"/>
          <w:color w:val="334155"/>
          <w:sz w:val="20"/>
        </w:rPr>
        <w:t>Run Live Command:</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40" w:type="dxa"/>
              <w:right w:w="140" w:type="dxa"/>
            </w:tcMar>
          </w:tcPr>
          <w:p>
            <w:pPr>
              <w:spacing w:before="40" w:after="40"/>
            </w:pPr>
            <w:r>
              <w:rPr>
                <w:rFonts w:ascii="Consolas" w:hAnsi="Consolas"/>
                <w:color w:val="0F172A"/>
                <w:sz w:val="17"/>
              </w:rPr>
              <w:t>Invoke-RestMethod -Uri "http://localhost:8083/api/v1/notifications/simulate-transfer" -Method Post</w:t>
            </w:r>
          </w:p>
        </w:tc>
      </w:tr>
    </w:tbl>
    <w:p>
      <w:pPr>
        <w:spacing w:after="60"/>
      </w:pP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top w:val="single" w:sz="8" w:space="0" w:color="94A3B8"/>
              <w:bottom w:val="single" w:sz="8" w:space="0" w:color="94A3B8"/>
              <w:left w:val="single" w:sz="8" w:space="0" w:color="94A3B8"/>
              <w:right w:val="single" w:sz="8" w:space="0" w:color="94A3B8"/>
            </w:tcBorders>
          </w:tcPr>
          <w:p>
            <w:pPr>
              <w:spacing w:before="80" w:after="40"/>
              <w:jc w:val="center"/>
            </w:pPr>
            <w:r>
              <w:rPr>
                <w:rFonts w:ascii="Calibri" w:hAnsi="Calibri"/>
                <w:b/>
                <w:color w:val="0E7490"/>
                <w:sz w:val="22"/>
              </w:rPr>
              <w:t>📷 [SCREENSHOT PLACEHOLDER]</w:t>
              <w:br/>
            </w:r>
            <w:r>
              <w:rPr>
                <w:rFonts w:ascii="Calibri" w:hAnsi="Calibri"/>
                <w:b/>
                <w:color w:val="0F172A"/>
                <w:sz w:val="21"/>
              </w:rPr>
              <w:t>Scenario 1: Customer Digital HTML Receipt in MailHog</w:t>
              <w:br/>
            </w:r>
            <w:r>
              <w:rPr>
                <w:rFonts w:ascii="Calibri" w:hAnsi="Calibri"/>
                <w:i/>
                <w:color w:val="64748B"/>
                <w:sz w:val="19"/>
              </w:rPr>
              <w:t>Suggested View: Screenshot of MailHog Web UI at http://localhost:8025 showing the email with subject 'Transaction Receipt: PHP 25,000.00 [TRX-XXXX]'.</w:t>
              <w:br/>
            </w:r>
            <w:r>
              <w:rPr>
                <w:rFonts w:ascii="Calibri" w:hAnsi="Calibri"/>
                <w:color w:val="94A3B8"/>
                <w:sz w:val="17"/>
              </w:rPr>
              <w:t>(Paste your screenshot here in Word. The frame will automatically scale.)</w:t>
            </w:r>
          </w:p>
        </w:tc>
      </w:tr>
    </w:tbl>
    <w:p>
      <w:pPr>
        <w:spacing w:before="60" w:after="200"/>
        <w:jc w:val="center"/>
      </w:pPr>
      <w:r>
        <w:rPr>
          <w:rFonts w:ascii="Calibri" w:hAnsi="Calibri"/>
          <w:i/>
          <w:color w:val="475569"/>
          <w:sz w:val="18"/>
        </w:rPr>
        <w:t>Figure: MailHog Inbox view (:8025) displaying Tier 1 Transaction Receipt with SHA-256 Verification Hash</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top w:val="single" w:sz="8" w:space="0" w:color="94A3B8"/>
              <w:bottom w:val="single" w:sz="8" w:space="0" w:color="94A3B8"/>
              <w:left w:val="single" w:sz="8" w:space="0" w:color="94A3B8"/>
              <w:right w:val="single" w:sz="8" w:space="0" w:color="94A3B8"/>
            </w:tcBorders>
          </w:tcPr>
          <w:p>
            <w:pPr>
              <w:spacing w:before="80" w:after="40"/>
              <w:jc w:val="center"/>
            </w:pPr>
            <w:r>
              <w:rPr>
                <w:rFonts w:ascii="Calibri" w:hAnsi="Calibri"/>
                <w:b/>
                <w:color w:val="0E7490"/>
                <w:sz w:val="22"/>
              </w:rPr>
              <w:t>📷 [SCREENSHOT PLACEHOLDER]</w:t>
              <w:br/>
            </w:r>
            <w:r>
              <w:rPr>
                <w:rFonts w:ascii="Calibri" w:hAnsi="Calibri"/>
                <w:b/>
                <w:color w:val="0F172A"/>
                <w:sz w:val="21"/>
              </w:rPr>
              <w:t>Scenario 1: Customer Web Portal Instant Settlement Toast</w:t>
              <w:br/>
            </w:r>
            <w:r>
              <w:rPr>
                <w:rFonts w:ascii="Calibri" w:hAnsi="Calibri"/>
                <w:i/>
                <w:color w:val="64748B"/>
                <w:sz w:val="19"/>
              </w:rPr>
              <w:t>Suggested View: Screenshot of client browser showing the active toast: 'Transfer completed successfully. An official receipt has been emailed to you.'</w:t>
              <w:br/>
            </w:r>
            <w:r>
              <w:rPr>
                <w:rFonts w:ascii="Calibri" w:hAnsi="Calibri"/>
                <w:color w:val="94A3B8"/>
                <w:sz w:val="17"/>
              </w:rPr>
              <w:t>(Paste your screenshot here in Word. The frame will automatically scale.)</w:t>
            </w:r>
          </w:p>
        </w:tc>
      </w:tr>
    </w:tbl>
    <w:p>
      <w:pPr>
        <w:spacing w:before="60" w:after="200"/>
        <w:jc w:val="center"/>
      </w:pPr>
      <w:r>
        <w:rPr>
          <w:rFonts w:ascii="Calibri" w:hAnsi="Calibri"/>
          <w:i/>
          <w:color w:val="475569"/>
          <w:sz w:val="18"/>
        </w:rPr>
        <w:t>Figure: Customer Portal (:3000) showing green execution toast notification</w:t>
      </w:r>
    </w:p>
    <w:p>
      <w:pPr>
        <w:spacing w:before="200" w:after="60"/>
      </w:pPr>
      <w:r>
        <w:rPr>
          <w:rFonts w:ascii="Calibri" w:hAnsi="Calibri"/>
          <w:b/>
          <w:color w:val="0F172A"/>
          <w:sz w:val="23"/>
        </w:rPr>
        <w:t>Scenario 2: Tier 2 Dual-Control Hold (Mid-Tier Maker-Checker — PHP 150,000.00)</w:t>
      </w:r>
    </w:p>
    <w:p>
      <w:pPr>
        <w:spacing w:after="60" w:line="276" w:lineRule="auto"/>
      </w:pPr>
      <w:r>
        <w:rPr>
          <w:rFonts w:ascii="Calibri" w:hAnsi="Calibri"/>
          <w:color w:val="334155"/>
          <w:sz w:val="20"/>
        </w:rPr>
        <w:t>Customer Juan Dela Cruz (Maker) transfers PHP 150,000.00. Because the amount exceeds the retail limit (PHP 50,000.01 – PHP 499,999.99), the system places the transfer on HOLD (PENDING_APPROVAL) per BSP MORB Section 146. Available balance is decremented to prevent double-spending, while the ledger awaits authorization from Bank Operations Manager Beatriz Ocampo (U3002).</w:t>
      </w:r>
    </w:p>
    <w:p>
      <w:pPr>
        <w:spacing w:after="60" w:line="276" w:lineRule="auto"/>
      </w:pPr>
      <w:r>
        <w:rPr>
          <w:rFonts w:ascii="Calibri" w:hAnsi="Calibri"/>
          <w:b/>
          <w:color w:val="0F172A"/>
          <w:sz w:val="20"/>
        </w:rPr>
        <w:t xml:space="preserve">• </w:t>
      </w:r>
      <w:r>
        <w:rPr>
          <w:rFonts w:ascii="Calibri" w:hAnsi="Calibri"/>
          <w:color w:val="334155"/>
          <w:sz w:val="20"/>
        </w:rPr>
        <w:t>Notification Outputs:</w:t>
      </w:r>
    </w:p>
    <w:p>
      <w:pPr>
        <w:spacing w:after="60" w:line="276" w:lineRule="auto"/>
      </w:pPr>
      <w:r>
        <w:rPr>
          <w:rFonts w:ascii="Calibri" w:hAnsi="Calibri"/>
          <w:b/>
          <w:color w:val="0F172A"/>
          <w:sz w:val="20"/>
        </w:rPr>
        <w:t xml:space="preserve">1. WebSocket Alert: </w:t>
      </w:r>
      <w:r>
        <w:rPr>
          <w:rFonts w:ascii="Calibri" w:hAnsi="Calibri"/>
          <w:color w:val="334155"/>
          <w:sz w:val="20"/>
        </w:rPr>
        <w:t xml:space="preserve"> Flashing real-time pop-up alert pushed to the Manager Console at /topic/manager-alerts.</w:t>
      </w:r>
    </w:p>
    <w:p>
      <w:pPr>
        <w:spacing w:after="60" w:line="276" w:lineRule="auto"/>
      </w:pPr>
      <w:r>
        <w:rPr>
          <w:rFonts w:ascii="Calibri" w:hAnsi="Calibri"/>
          <w:b/>
          <w:color w:val="0F172A"/>
          <w:sz w:val="20"/>
        </w:rPr>
        <w:t xml:space="preserve">2. Manager Action Email: </w:t>
      </w:r>
      <w:r>
        <w:rPr>
          <w:rFonts w:ascii="Calibri" w:hAnsi="Calibri"/>
          <w:color w:val="334155"/>
          <w:sz w:val="20"/>
        </w:rPr>
        <w:t xml:space="preserve"> High-priority review email dispatched to Beatriz Ocampo with one-click authorization links.</w:t>
      </w:r>
    </w:p>
    <w:p>
      <w:pPr>
        <w:spacing w:after="60" w:line="276" w:lineRule="auto"/>
      </w:pPr>
      <w:r>
        <w:rPr>
          <w:rFonts w:ascii="Calibri" w:hAnsi="Calibri"/>
          <w:b/>
          <w:color w:val="0F172A"/>
          <w:sz w:val="20"/>
        </w:rPr>
        <w:t xml:space="preserve">3. Customer Hold Notice: </w:t>
      </w:r>
      <w:r>
        <w:rPr>
          <w:rFonts w:ascii="Calibri" w:hAnsi="Calibri"/>
          <w:color w:val="334155"/>
          <w:sz w:val="20"/>
        </w:rPr>
        <w:t xml:space="preserve"> Juan receives an advisory email that his transfer is held for dual-control review.</w:t>
      </w:r>
    </w:p>
    <w:p>
      <w:pPr>
        <w:spacing w:after="60" w:line="276" w:lineRule="auto"/>
      </w:pPr>
      <w:r>
        <w:rPr>
          <w:rFonts w:ascii="Calibri" w:hAnsi="Calibri"/>
          <w:b/>
          <w:color w:val="0F172A"/>
          <w:sz w:val="20"/>
        </w:rPr>
        <w:t xml:space="preserve">• </w:t>
      </w:r>
      <w:r>
        <w:rPr>
          <w:rFonts w:ascii="Calibri" w:hAnsi="Calibri"/>
          <w:color w:val="334155"/>
          <w:sz w:val="20"/>
        </w:rPr>
        <w:t>Run Live Command:</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40" w:type="dxa"/>
              <w:right w:w="140" w:type="dxa"/>
            </w:tcMar>
          </w:tcPr>
          <w:p>
            <w:pPr>
              <w:spacing w:before="40" w:after="40"/>
            </w:pPr>
            <w:r>
              <w:rPr>
                <w:rFonts w:ascii="Consolas" w:hAnsi="Consolas"/>
                <w:color w:val="0F172A"/>
                <w:sz w:val="17"/>
              </w:rPr>
              <w:t>Invoke-RestMethod -Uri "http://localhost:8083/api/v1/notifications/simulate-tier2-maker-checker" -Method Post</w:t>
            </w:r>
          </w:p>
        </w:tc>
      </w:tr>
    </w:tbl>
    <w:p>
      <w:pPr>
        <w:spacing w:after="60"/>
      </w:pP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top w:val="single" w:sz="8" w:space="0" w:color="94A3B8"/>
              <w:bottom w:val="single" w:sz="8" w:space="0" w:color="94A3B8"/>
              <w:left w:val="single" w:sz="8" w:space="0" w:color="94A3B8"/>
              <w:right w:val="single" w:sz="8" w:space="0" w:color="94A3B8"/>
            </w:tcBorders>
          </w:tcPr>
          <w:p>
            <w:pPr>
              <w:spacing w:before="80" w:after="40"/>
              <w:jc w:val="center"/>
            </w:pPr>
            <w:r>
              <w:rPr>
                <w:rFonts w:ascii="Calibri" w:hAnsi="Calibri"/>
                <w:b/>
                <w:color w:val="0E7490"/>
                <w:sz w:val="22"/>
              </w:rPr>
              <w:t>📷 [SCREENSHOT PLACEHOLDER]</w:t>
              <w:br/>
            </w:r>
            <w:r>
              <w:rPr>
                <w:rFonts w:ascii="Calibri" w:hAnsi="Calibri"/>
                <w:b/>
                <w:color w:val="0F172A"/>
                <w:sz w:val="21"/>
              </w:rPr>
              <w:t>Scenario 2: Manager Console Flashing WebSocket Alert Banner</w:t>
              <w:br/>
            </w:r>
            <w:r>
              <w:rPr>
                <w:rFonts w:ascii="Calibri" w:hAnsi="Calibri"/>
                <w:i/>
                <w:color w:val="64748B"/>
                <w:sz w:val="19"/>
              </w:rPr>
              <w:t>Suggested View: Screenshot of the Manager Console showing the incoming Tier 2 Maker-Checker Review card with Maker: Customer (U1001) and Amount: PHP 150,000.00.</w:t>
              <w:br/>
            </w:r>
            <w:r>
              <w:rPr>
                <w:rFonts w:ascii="Calibri" w:hAnsi="Calibri"/>
                <w:color w:val="94A3B8"/>
                <w:sz w:val="17"/>
              </w:rPr>
              <w:t>(Paste your screenshot here in Word. The frame will automatically scale.)</w:t>
            </w:r>
          </w:p>
        </w:tc>
      </w:tr>
    </w:tbl>
    <w:p>
      <w:pPr>
        <w:spacing w:before="60" w:after="200"/>
        <w:jc w:val="center"/>
      </w:pPr>
      <w:r>
        <w:rPr>
          <w:rFonts w:ascii="Calibri" w:hAnsi="Calibri"/>
          <w:i/>
          <w:color w:val="475569"/>
          <w:sz w:val="18"/>
        </w:rPr>
        <w:t>Figure: Manager Console (:3000) receiving live STOMP WebSocket alert on /topic/manager-alerts</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top w:val="single" w:sz="8" w:space="0" w:color="94A3B8"/>
              <w:bottom w:val="single" w:sz="8" w:space="0" w:color="94A3B8"/>
              <w:left w:val="single" w:sz="8" w:space="0" w:color="94A3B8"/>
              <w:right w:val="single" w:sz="8" w:space="0" w:color="94A3B8"/>
            </w:tcBorders>
          </w:tcPr>
          <w:p>
            <w:pPr>
              <w:spacing w:before="80" w:after="40"/>
              <w:jc w:val="center"/>
            </w:pPr>
            <w:r>
              <w:rPr>
                <w:rFonts w:ascii="Calibri" w:hAnsi="Calibri"/>
                <w:b/>
                <w:color w:val="0E7490"/>
                <w:sz w:val="22"/>
              </w:rPr>
              <w:t>📷 [SCREENSHOT PLACEHOLDER]</w:t>
              <w:br/>
            </w:r>
            <w:r>
              <w:rPr>
                <w:rFonts w:ascii="Calibri" w:hAnsi="Calibri"/>
                <w:b/>
                <w:color w:val="0F172A"/>
                <w:sz w:val="21"/>
              </w:rPr>
              <w:t>Scenario 2: Dual Control Action Email in MailHog</w:t>
              <w:br/>
            </w:r>
            <w:r>
              <w:rPr>
                <w:rFonts w:ascii="Calibri" w:hAnsi="Calibri"/>
                <w:i/>
                <w:color w:val="64748B"/>
                <w:sz w:val="19"/>
              </w:rPr>
              <w:t>Suggested View: Screenshot of MailHog email with subject 'DUAL CONTROL REVIEW: Transfer PHP 150,000.00 Requires Manager Approval'.</w:t>
              <w:br/>
            </w:r>
            <w:r>
              <w:rPr>
                <w:rFonts w:ascii="Calibri" w:hAnsi="Calibri"/>
                <w:color w:val="94A3B8"/>
                <w:sz w:val="17"/>
              </w:rPr>
              <w:t>(Paste your screenshot here in Word. The frame will automatically scale.)</w:t>
            </w:r>
          </w:p>
        </w:tc>
      </w:tr>
    </w:tbl>
    <w:p>
      <w:pPr>
        <w:spacing w:before="60" w:after="200"/>
        <w:jc w:val="center"/>
      </w:pPr>
      <w:r>
        <w:rPr>
          <w:rFonts w:ascii="Calibri" w:hAnsi="Calibri"/>
          <w:i/>
          <w:color w:val="475569"/>
          <w:sz w:val="18"/>
        </w:rPr>
        <w:t>Figure: MailHog Inbox showing Tier 2 Review Request Email sent to Manager Beatriz Ocampo</w:t>
      </w:r>
    </w:p>
    <w:p>
      <w:pPr>
        <w:spacing w:before="200" w:after="60"/>
      </w:pPr>
      <w:r>
        <w:rPr>
          <w:rFonts w:ascii="Calibri" w:hAnsi="Calibri"/>
          <w:b/>
          <w:color w:val="0F172A"/>
          <w:sz w:val="23"/>
        </w:rPr>
        <w:t>Scenario 3 &amp; 4: Tier 2 Manager Resolution (Approval vs Rejection)</w:t>
      </w:r>
    </w:p>
    <w:p>
      <w:pPr>
        <w:spacing w:after="60" w:line="276" w:lineRule="auto"/>
      </w:pPr>
      <w:r>
        <w:rPr>
          <w:rFonts w:ascii="Calibri" w:hAnsi="Calibri"/>
          <w:color w:val="334155"/>
          <w:sz w:val="20"/>
        </w:rPr>
        <w:t>When Manager Beatriz Ocampo (U3002) reviews the transfer in the Manager Console:</w:t>
      </w:r>
    </w:p>
    <w:p>
      <w:pPr>
        <w:spacing w:after="60" w:line="276" w:lineRule="auto"/>
      </w:pPr>
      <w:r>
        <w:rPr>
          <w:rFonts w:ascii="Calibri" w:hAnsi="Calibri"/>
          <w:b/>
          <w:color w:val="0F172A"/>
          <w:sz w:val="20"/>
        </w:rPr>
        <w:t xml:space="preserve">• On Approval: </w:t>
      </w:r>
      <w:r>
        <w:rPr>
          <w:rFonts w:ascii="Calibri" w:hAnsi="Calibri"/>
          <w:color w:val="334155"/>
          <w:sz w:val="20"/>
        </w:rPr>
        <w:t xml:space="preserve"> The ledger mutates the balance permanently, writes an immutable audit record to PostgreSQL, and dispatches final debit/credit receipts to Juan and Maria.</w:t>
      </w:r>
    </w:p>
    <w:p>
      <w:pPr>
        <w:spacing w:after="60" w:line="276" w:lineRule="auto"/>
      </w:pPr>
      <w:r>
        <w:rPr>
          <w:rFonts w:ascii="Calibri" w:hAnsi="Calibri"/>
          <w:b/>
          <w:color w:val="0F172A"/>
          <w:sz w:val="20"/>
        </w:rPr>
        <w:t xml:space="preserve">• On Rejection: </w:t>
      </w:r>
      <w:r>
        <w:rPr>
          <w:rFonts w:ascii="Calibri" w:hAnsi="Calibri"/>
          <w:color w:val="334155"/>
          <w:sz w:val="20"/>
        </w:rPr>
        <w:t xml:space="preserve"> The ledger restores Juan's available balance, logs the cancellation reason, and dispatches a Disapproval Notice explaining why the transaction was voided per BSP Circular 1033.</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top w:val="single" w:sz="8" w:space="0" w:color="94A3B8"/>
              <w:bottom w:val="single" w:sz="8" w:space="0" w:color="94A3B8"/>
              <w:left w:val="single" w:sz="8" w:space="0" w:color="94A3B8"/>
              <w:right w:val="single" w:sz="8" w:space="0" w:color="94A3B8"/>
            </w:tcBorders>
          </w:tcPr>
          <w:p>
            <w:pPr>
              <w:spacing w:before="80" w:after="40"/>
              <w:jc w:val="center"/>
            </w:pPr>
            <w:r>
              <w:rPr>
                <w:rFonts w:ascii="Calibri" w:hAnsi="Calibri"/>
                <w:b/>
                <w:color w:val="0E7490"/>
                <w:sz w:val="22"/>
              </w:rPr>
              <w:t>📷 [SCREENSHOT PLACEHOLDER]</w:t>
              <w:br/>
            </w:r>
            <w:r>
              <w:rPr>
                <w:rFonts w:ascii="Calibri" w:hAnsi="Calibri"/>
                <w:b/>
                <w:color w:val="0F172A"/>
                <w:sz w:val="21"/>
              </w:rPr>
              <w:t>Scenario 3: Manager Approval &amp; Funds Released Receipt</w:t>
              <w:br/>
            </w:r>
            <w:r>
              <w:rPr>
                <w:rFonts w:ascii="Calibri" w:hAnsi="Calibri"/>
                <w:i/>
                <w:color w:val="64748B"/>
                <w:sz w:val="19"/>
              </w:rPr>
              <w:t>Suggested View: Screenshot of MailHog email showing 'Funds Released: Transfer PHP 150,000.00 Approved' with updated balance.</w:t>
              <w:br/>
            </w:r>
            <w:r>
              <w:rPr>
                <w:rFonts w:ascii="Calibri" w:hAnsi="Calibri"/>
                <w:color w:val="94A3B8"/>
                <w:sz w:val="17"/>
              </w:rPr>
              <w:t>(Paste your screenshot here in Word. The frame will automatically scale.)</w:t>
            </w:r>
          </w:p>
        </w:tc>
      </w:tr>
    </w:tbl>
    <w:p>
      <w:pPr>
        <w:spacing w:before="60" w:after="200"/>
        <w:jc w:val="center"/>
      </w:pPr>
      <w:r>
        <w:rPr>
          <w:rFonts w:ascii="Calibri" w:hAnsi="Calibri"/>
          <w:i/>
          <w:color w:val="475569"/>
          <w:sz w:val="18"/>
        </w:rPr>
        <w:t>Figure: Execution email receipt in MailHog displaying Manager Approval Stamp by Beatriz Ocampo (U3002)</w:t>
      </w:r>
    </w:p>
    <w:p>
      <w:pPr>
        <w:spacing w:before="200" w:after="60"/>
      </w:pPr>
      <w:r>
        <w:rPr>
          <w:rFonts w:ascii="Calibri" w:hAnsi="Calibri"/>
          <w:b/>
          <w:color w:val="0F172A"/>
          <w:sz w:val="23"/>
        </w:rPr>
        <w:t>Scenario 5, 6 &amp; 7: Tier 3 AMLA High-Value Covered Transaction (Dual Management — PHP 750,000.00)</w:t>
      </w:r>
    </w:p>
    <w:p>
      <w:pPr>
        <w:spacing w:after="60" w:line="276" w:lineRule="auto"/>
      </w:pPr>
      <w:r>
        <w:rPr>
          <w:rFonts w:ascii="Calibri" w:hAnsi="Calibri"/>
          <w:color w:val="334155"/>
          <w:sz w:val="20"/>
        </w:rPr>
        <w:t>Customer Juan Dela Cruz transfers PHP 750,000.00. Under Republic Act 9160 (AMLA Section 3b) and BSP Circular 1022, amounts &gt;= PHP 500,000.00 trigger mandatory Covered Transaction Reporting (CTR) and require Dual Management Sign-off (Manager 1 + Senior Manager 2) before funds can be released.</w:t>
      </w:r>
    </w:p>
    <w:p>
      <w:pPr>
        <w:spacing w:after="60" w:line="276" w:lineRule="auto"/>
      </w:pPr>
      <w:r>
        <w:rPr>
          <w:rFonts w:ascii="Calibri" w:hAnsi="Calibri"/>
          <w:b/>
          <w:color w:val="0F172A"/>
          <w:sz w:val="20"/>
        </w:rPr>
        <w:t xml:space="preserve">• </w:t>
      </w:r>
      <w:r>
        <w:rPr>
          <w:rFonts w:ascii="Calibri" w:hAnsi="Calibri"/>
          <w:color w:val="334155"/>
          <w:sz w:val="20"/>
        </w:rPr>
        <w:t>Two-Stage Authorization Protocol:</w:t>
      </w:r>
    </w:p>
    <w:p>
      <w:pPr>
        <w:spacing w:after="60" w:line="276" w:lineRule="auto"/>
      </w:pPr>
      <w:r>
        <w:rPr>
          <w:rFonts w:ascii="Calibri" w:hAnsi="Calibri"/>
          <w:b/>
          <w:color w:val="0F172A"/>
          <w:sz w:val="20"/>
        </w:rPr>
        <w:t xml:space="preserve">1. Level 1 Review: </w:t>
      </w:r>
      <w:r>
        <w:rPr>
          <w:rFonts w:ascii="Calibri" w:hAnsi="Calibri"/>
          <w:color w:val="334155"/>
          <w:sz w:val="20"/>
        </w:rPr>
        <w:t xml:space="preserve"> Manager Beatriz Ocampo (U3002) inspects KYC and verifies source of wealth, then signs off as Level 1 Reviewer. The transaction advances to AMLA_CTR_PENDING_LEVEL2.</w:t>
      </w:r>
    </w:p>
    <w:p>
      <w:pPr>
        <w:spacing w:after="60" w:line="276" w:lineRule="auto"/>
      </w:pPr>
      <w:r>
        <w:rPr>
          <w:rFonts w:ascii="Calibri" w:hAnsi="Calibri"/>
          <w:b/>
          <w:color w:val="0F172A"/>
          <w:sz w:val="20"/>
        </w:rPr>
        <w:t xml:space="preserve">2. Escalation Alert: </w:t>
      </w:r>
      <w:r>
        <w:rPr>
          <w:rFonts w:ascii="Calibri" w:hAnsi="Calibri"/>
          <w:color w:val="334155"/>
          <w:sz w:val="20"/>
        </w:rPr>
        <w:t xml:space="preserve"> Notification Service escalates the transfer to Senior Manager Carlos Mendoza (U3003) via dedicated alert.</w:t>
      </w:r>
    </w:p>
    <w:p>
      <w:pPr>
        <w:spacing w:after="60" w:line="276" w:lineRule="auto"/>
      </w:pPr>
      <w:r>
        <w:rPr>
          <w:rFonts w:ascii="Calibri" w:hAnsi="Calibri"/>
          <w:b/>
          <w:color w:val="0F172A"/>
          <w:sz w:val="20"/>
        </w:rPr>
        <w:t xml:space="preserve">3. Level 2 Sign-Off: </w:t>
      </w:r>
      <w:r>
        <w:rPr>
          <w:rFonts w:ascii="Calibri" w:hAnsi="Calibri"/>
          <w:color w:val="334155"/>
          <w:sz w:val="20"/>
        </w:rPr>
        <w:t xml:space="preserve"> Senior Manager Carlos Mendoza (U3003) executes final authorization. Balance is debited, CTR report is flagged for AMLC submission within 5 banking days, and dual-signed receipts are dispatched.</w:t>
      </w:r>
    </w:p>
    <w:p>
      <w:pPr>
        <w:spacing w:after="60" w:line="276" w:lineRule="auto"/>
      </w:pPr>
      <w:r>
        <w:rPr>
          <w:rFonts w:ascii="Calibri" w:hAnsi="Calibri"/>
          <w:b/>
          <w:color w:val="0F172A"/>
          <w:sz w:val="20"/>
        </w:rPr>
        <w:t xml:space="preserve">• </w:t>
      </w:r>
      <w:r>
        <w:rPr>
          <w:rFonts w:ascii="Calibri" w:hAnsi="Calibri"/>
          <w:color w:val="334155"/>
          <w:sz w:val="20"/>
        </w:rPr>
        <w:t>Run Live Command:</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40" w:type="dxa"/>
              <w:right w:w="140" w:type="dxa"/>
            </w:tcMar>
          </w:tcPr>
          <w:p>
            <w:pPr>
              <w:spacing w:before="40" w:after="40"/>
            </w:pPr>
            <w:r>
              <w:rPr>
                <w:rFonts w:ascii="Consolas" w:hAnsi="Consolas"/>
                <w:color w:val="0F172A"/>
                <w:sz w:val="17"/>
              </w:rPr>
              <w:t>Invoke-RestMethod -Uri "http://localhost:8083/api/v1/notifications/simulate-tier3-amla" -Method Post</w:t>
            </w:r>
          </w:p>
        </w:tc>
      </w:tr>
    </w:tbl>
    <w:p>
      <w:pPr>
        <w:spacing w:after="60"/>
      </w:pP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top w:val="single" w:sz="8" w:space="0" w:color="94A3B8"/>
              <w:bottom w:val="single" w:sz="8" w:space="0" w:color="94A3B8"/>
              <w:left w:val="single" w:sz="8" w:space="0" w:color="94A3B8"/>
              <w:right w:val="single" w:sz="8" w:space="0" w:color="94A3B8"/>
            </w:tcBorders>
          </w:tcPr>
          <w:p>
            <w:pPr>
              <w:spacing w:before="80" w:after="40"/>
              <w:jc w:val="center"/>
            </w:pPr>
            <w:r>
              <w:rPr>
                <w:rFonts w:ascii="Calibri" w:hAnsi="Calibri"/>
                <w:b/>
                <w:color w:val="0E7490"/>
                <w:sz w:val="22"/>
              </w:rPr>
              <w:t>📷 [SCREENSHOT PLACEHOLDER]</w:t>
              <w:br/>
            </w:r>
            <w:r>
              <w:rPr>
                <w:rFonts w:ascii="Calibri" w:hAnsi="Calibri"/>
                <w:b/>
                <w:color w:val="0F172A"/>
                <w:sz w:val="21"/>
              </w:rPr>
              <w:t>Scenario 5: Urgent AMLA Covered Transaction Alert Email</w:t>
              <w:br/>
            </w:r>
            <w:r>
              <w:rPr>
                <w:rFonts w:ascii="Calibri" w:hAnsi="Calibri"/>
                <w:i/>
                <w:color w:val="64748B"/>
                <w:sz w:val="19"/>
              </w:rPr>
              <w:t>Suggested View: Screenshot of MailHog email with subject 'URGENT AMLA HOLD: Transfer PHP 750,000.00 Requires CTR Filing &amp; Dual Manager Approval'.</w:t>
              <w:br/>
            </w:r>
            <w:r>
              <w:rPr>
                <w:rFonts w:ascii="Calibri" w:hAnsi="Calibri"/>
                <w:color w:val="94A3B8"/>
                <w:sz w:val="17"/>
              </w:rPr>
              <w:t>(Paste your screenshot here in Word. The frame will automatically scale.)</w:t>
            </w:r>
          </w:p>
        </w:tc>
      </w:tr>
    </w:tbl>
    <w:p>
      <w:pPr>
        <w:spacing w:before="60" w:after="200"/>
        <w:jc w:val="center"/>
      </w:pPr>
      <w:r>
        <w:rPr>
          <w:rFonts w:ascii="Calibri" w:hAnsi="Calibri"/>
          <w:i/>
          <w:color w:val="475569"/>
          <w:sz w:val="18"/>
        </w:rPr>
        <w:t>Figure: High-Priority AMLA CTR notification dispatched to dual managers (Beatriz &amp; Carlos)</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top w:val="single" w:sz="8" w:space="0" w:color="94A3B8"/>
              <w:bottom w:val="single" w:sz="8" w:space="0" w:color="94A3B8"/>
              <w:left w:val="single" w:sz="8" w:space="0" w:color="94A3B8"/>
              <w:right w:val="single" w:sz="8" w:space="0" w:color="94A3B8"/>
            </w:tcBorders>
          </w:tcPr>
          <w:p>
            <w:pPr>
              <w:spacing w:before="80" w:after="40"/>
              <w:jc w:val="center"/>
            </w:pPr>
            <w:r>
              <w:rPr>
                <w:rFonts w:ascii="Calibri" w:hAnsi="Calibri"/>
                <w:b/>
                <w:color w:val="0E7490"/>
                <w:sz w:val="22"/>
              </w:rPr>
              <w:t>📷 [SCREENSHOT PLACEHOLDER]</w:t>
              <w:br/>
            </w:r>
            <w:r>
              <w:rPr>
                <w:rFonts w:ascii="Calibri" w:hAnsi="Calibri"/>
                <w:b/>
                <w:color w:val="0F172A"/>
                <w:sz w:val="21"/>
              </w:rPr>
              <w:t>Scenario 7: AMLA Cleared Execution Receipt with Dual Signatures</w:t>
              <w:br/>
            </w:r>
            <w:r>
              <w:rPr>
                <w:rFonts w:ascii="Calibri" w:hAnsi="Calibri"/>
                <w:i/>
                <w:color w:val="64748B"/>
                <w:sz w:val="19"/>
              </w:rPr>
              <w:t>Suggested View: Screenshot of released receipt in MailHog showing AMLC CTR Reference Number and dual signatures.</w:t>
              <w:br/>
            </w:r>
            <w:r>
              <w:rPr>
                <w:rFonts w:ascii="Calibri" w:hAnsi="Calibri"/>
                <w:color w:val="94A3B8"/>
                <w:sz w:val="17"/>
              </w:rPr>
              <w:t>(Paste your screenshot here in Word. The frame will automatically scale.)</w:t>
            </w:r>
          </w:p>
        </w:tc>
      </w:tr>
    </w:tbl>
    <w:p>
      <w:pPr>
        <w:spacing w:before="60" w:after="200"/>
        <w:jc w:val="center"/>
      </w:pPr>
      <w:r>
        <w:rPr>
          <w:rFonts w:ascii="Calibri" w:hAnsi="Calibri"/>
          <w:i/>
          <w:color w:val="475569"/>
          <w:sz w:val="18"/>
        </w:rPr>
        <w:t>Figure: Official customer release receipt showing dual authorization signatures (U3002 + U3003)</w:t>
      </w:r>
    </w:p>
    <w:p>
      <w:pPr>
        <w:spacing w:before="200" w:after="60"/>
      </w:pPr>
      <w:r>
        <w:rPr>
          <w:rFonts w:ascii="Calibri" w:hAnsi="Calibri"/>
          <w:b/>
          <w:color w:val="0F172A"/>
          <w:sz w:val="23"/>
        </w:rPr>
        <w:t>Scenario 8 &amp; 9: Distributed Idempotency (Redis) &amp; Circuit Breaker Spooling</w:t>
      </w:r>
    </w:p>
    <w:p>
      <w:pPr>
        <w:spacing w:after="60" w:line="276" w:lineRule="auto"/>
      </w:pPr>
      <w:r>
        <w:rPr>
          <w:rFonts w:ascii="Calibri" w:hAnsi="Calibri"/>
          <w:color w:val="334155"/>
          <w:sz w:val="20"/>
        </w:rPr>
        <w:t>To protect against network replays and service outages, the Notification Service implements enterprise-grade resiliency:</w:t>
      </w:r>
    </w:p>
    <w:p>
      <w:pPr>
        <w:spacing w:after="60" w:line="276" w:lineRule="auto"/>
      </w:pPr>
      <w:r>
        <w:rPr>
          <w:rFonts w:ascii="Calibri" w:hAnsi="Calibri"/>
          <w:b/>
          <w:color w:val="0F172A"/>
          <w:sz w:val="20"/>
        </w:rPr>
        <w:t xml:space="preserve">• Redis Deduplication (Anti-Spam): </w:t>
      </w:r>
      <w:r>
        <w:rPr>
          <w:rFonts w:ascii="Calibri" w:hAnsi="Calibri"/>
          <w:color w:val="334155"/>
          <w:sz w:val="20"/>
        </w:rPr>
        <w:t xml:space="preserve"> Redis SETNX EX 3600 drops duplicate transfer events within 1 hour. If a customer double-clicks, exactly 1 email is sent.</w:t>
      </w:r>
    </w:p>
    <w:p>
      <w:pPr>
        <w:spacing w:after="60" w:line="276" w:lineRule="auto"/>
      </w:pPr>
      <w:r>
        <w:rPr>
          <w:rFonts w:ascii="Calibri" w:hAnsi="Calibri"/>
          <w:b/>
          <w:color w:val="0F172A"/>
          <w:sz w:val="20"/>
        </w:rPr>
        <w:t xml:space="preserve">• Circuit Breaker &amp; Retry Spool: </w:t>
      </w:r>
      <w:r>
        <w:rPr>
          <w:rFonts w:ascii="Calibri" w:hAnsi="Calibri"/>
          <w:color w:val="334155"/>
          <w:sz w:val="20"/>
        </w:rPr>
        <w:t xml:space="preserve"> If downstream SMTP fails, the internal circuit flips to OPEN, buffering emails in an in-memory queue. Once SMTP recovers, /flush-spool flushes all unsent receipts without data loss.</w:t>
      </w:r>
    </w:p>
    <w:p>
      <w:pPr>
        <w:spacing w:after="60" w:line="276" w:lineRule="auto"/>
      </w:pPr>
      <w:r>
        <w:rPr>
          <w:rFonts w:ascii="Calibri" w:hAnsi="Calibri"/>
          <w:b/>
          <w:color w:val="0F172A"/>
          <w:sz w:val="20"/>
        </w:rPr>
        <w:t xml:space="preserve">• </w:t>
      </w:r>
      <w:r>
        <w:rPr>
          <w:rFonts w:ascii="Calibri" w:hAnsi="Calibri"/>
          <w:color w:val="334155"/>
          <w:sz w:val="20"/>
        </w:rPr>
        <w:t>Telemetry Endpoints:</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40" w:type="dxa"/>
              <w:right w:w="140" w:type="dxa"/>
            </w:tcMar>
          </w:tcPr>
          <w:p>
            <w:pPr>
              <w:spacing w:before="40" w:after="40"/>
            </w:pPr>
            <w:r>
              <w:rPr>
                <w:rFonts w:ascii="Consolas" w:hAnsi="Consolas"/>
                <w:color w:val="0F172A"/>
                <w:sz w:val="17"/>
              </w:rPr>
              <w:t>GET  http://localhost:8083/api/v1/notifications/spool-status</w:t>
              <w:br/>
              <w:t>POST http://localhost:8083/api/v1/notifications/flush-spool</w:t>
            </w:r>
          </w:p>
        </w:tc>
      </w:tr>
    </w:tbl>
    <w:p>
      <w:pPr>
        <w:spacing w:after="60"/>
      </w:pP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top w:val="single" w:sz="8" w:space="0" w:color="94A3B8"/>
              <w:bottom w:val="single" w:sz="8" w:space="0" w:color="94A3B8"/>
              <w:left w:val="single" w:sz="8" w:space="0" w:color="94A3B8"/>
              <w:right w:val="single" w:sz="8" w:space="0" w:color="94A3B8"/>
            </w:tcBorders>
          </w:tcPr>
          <w:p>
            <w:pPr>
              <w:spacing w:before="80" w:after="40"/>
              <w:jc w:val="center"/>
            </w:pPr>
            <w:r>
              <w:rPr>
                <w:rFonts w:ascii="Calibri" w:hAnsi="Calibri"/>
                <w:b/>
                <w:color w:val="0E7490"/>
                <w:sz w:val="22"/>
              </w:rPr>
              <w:t>📷 [SCREENSHOT PLACEHOLDER]</w:t>
              <w:br/>
            </w:r>
            <w:r>
              <w:rPr>
                <w:rFonts w:ascii="Calibri" w:hAnsi="Calibri"/>
                <w:b/>
                <w:color w:val="0F172A"/>
                <w:sz w:val="21"/>
              </w:rPr>
              <w:t>Scenario 8: PowerShell Live Verification of Deduplication &amp; Telemetry</w:t>
              <w:br/>
            </w:r>
            <w:r>
              <w:rPr>
                <w:rFonts w:ascii="Calibri" w:hAnsi="Calibri"/>
                <w:i/>
                <w:color w:val="64748B"/>
                <w:sz w:val="19"/>
              </w:rPr>
              <w:t>Suggested View: Screenshot of PowerShell executing Invoke-RestMethod against /api/v1/notifications/simulate-tier2-maker-checker.</w:t>
              <w:br/>
            </w:r>
            <w:r>
              <w:rPr>
                <w:rFonts w:ascii="Calibri" w:hAnsi="Calibri"/>
                <w:color w:val="94A3B8"/>
                <w:sz w:val="17"/>
              </w:rPr>
              <w:t>(Paste your screenshot here in Word. The frame will automatically scale.)</w:t>
            </w:r>
          </w:p>
        </w:tc>
      </w:tr>
    </w:tbl>
    <w:p>
      <w:pPr>
        <w:spacing w:before="60" w:after="200"/>
        <w:jc w:val="center"/>
      </w:pPr>
      <w:r>
        <w:rPr>
          <w:rFonts w:ascii="Calibri" w:hAnsi="Calibri"/>
          <w:i/>
          <w:color w:val="475569"/>
          <w:sz w:val="18"/>
        </w:rPr>
        <w:t>Figure: PowerShell console showing simulate endpoint execution and deduplication logging</w:t>
      </w:r>
    </w:p>
    <w:p>
      <w:pPr>
        <w:spacing w:before="320" w:after="80"/>
      </w:pPr>
      <w:r>
        <w:rPr>
          <w:rFonts w:ascii="Calibri" w:hAnsi="Calibri"/>
          <w:b/>
          <w:color w:val="0E7490"/>
          <w:sz w:val="28"/>
        </w:rPr>
        <w:t>5. Cryptographic Receipt Verification Formula (Non-Repudiation)</w:t>
      </w:r>
    </w:p>
    <w:p>
      <w:pPr>
        <w:spacing w:after="60" w:line="276" w:lineRule="auto"/>
      </w:pPr>
      <w:r>
        <w:rPr>
          <w:rFonts w:ascii="Calibri" w:hAnsi="Calibri"/>
          <w:color w:val="334155"/>
          <w:sz w:val="20"/>
        </w:rPr>
        <w:t>Every digital receipt issued by the Notification Service includes an immutable SHA-256 HMAC digest computed across four deterministic fields:</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40" w:type="dxa"/>
              <w:right w:w="140" w:type="dxa"/>
            </w:tcMar>
          </w:tcPr>
          <w:p>
            <w:pPr>
              <w:spacing w:before="40" w:after="40"/>
            </w:pPr>
            <w:r>
              <w:rPr>
                <w:rFonts w:ascii="Consolas" w:hAnsi="Consolas"/>
                <w:color w:val="0F172A"/>
                <w:sz w:val="17"/>
              </w:rPr>
              <w:t>Verification Hash = SHA-256( transferId || ':' || sourceAccount || ':' || amount || ':' || timestamp )</w:t>
            </w:r>
          </w:p>
        </w:tc>
      </w:tr>
    </w:tbl>
    <w:p>
      <w:pPr>
        <w:spacing w:after="60"/>
      </w:pPr>
    </w:p>
    <w:p>
      <w:pPr>
        <w:spacing w:after="60" w:line="276" w:lineRule="auto"/>
      </w:pPr>
      <w:r>
        <w:rPr>
          <w:rFonts w:ascii="Calibri" w:hAnsi="Calibri"/>
          <w:color w:val="334155"/>
          <w:sz w:val="20"/>
        </w:rPr>
        <w:t>This guarantees non-repudiation and complies with BSP Circular 1033 Section 5, ensuring that neither the customer nor the bank can alter the recorded financial settlement terms after receipt generation.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