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00006 - CANOINHAS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S/N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111</w:t>
      </w:r>
      <w:r>
        <w:t xml:space="preserve"> - Bloco 111</w:t>
      </w:r>
    </w:p>
    <w:p>
      <w:r>
        <w:rPr>
          <w:b/>
        </w:rPr>
        <w:t xml:space="preserve">Data da Ocorrência: </w:t>
      </w:r>
      <w:r>
        <w:t>11111-11-11</w:t>
      </w:r>
    </w:p>
    <w:p/>
    <w:p>
      <w:r>
        <w:t>Prezado Sr./Sra. Morador(a),</w:t>
      </w:r>
    </w:p>
    <w:p>
      <w:r>
        <w:t>Foi constatado que na data 11/11/11111, ocorreu uma atividade que gerou incômodo aos demais moradores do condomínio, sujeita a regulamentação específica.</w:t>
      </w:r>
    </w:p>
    <w:p/>
    <w:p>
      <w:r>
        <w:t>De acordo com a Lei de Condomínio nº 4.591/64, Art. 10 - É defeso a qualquer condômino: I - alterar a forma externa da fachada; II - decorar as partes e esquadriais externas com tonalidades ou côres diversas das empregadas no conjunto da edificação; III - destinar a unidade a utilização diversa de finalidade do prédio, ou usá-la de forma nociva ou perigosa ao sossêgo, à salubridade e à segurança dos demais condôminos; IV - embaraçar o uso das partes comuns.</w:t>
      </w:r>
    </w:p>
    <w:p>
      <w:r>
        <w:t>Reiteramos que a reincidência nesta conduta poderá acarretar sanções previstas na convenção, regimento interno ou legislação pertinente, incluindo multas e outras penalidades cabíveis.</w:t>
      </w:r>
    </w:p>
    <w:p>
      <w:r>
        <w:t>Agradecemos a sua compreensão e colaboração para a manutenção do bom convívio e harmonia no condomínio.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30/05/2025 às 02:27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