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00006 - CANOINHAS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A20250530590026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111</w:t>
      </w:r>
      <w:r>
        <w:t xml:space="preserve"> - Bloco A</w:t>
      </w:r>
    </w:p>
    <w:p>
      <w:r>
        <w:rPr>
          <w:b/>
        </w:rPr>
        <w:t xml:space="preserve">Data da Ocorrência: </w:t>
      </w:r>
      <w:r>
        <w:t>30/05/2025</w:t>
      </w:r>
    </w:p>
    <w:p/>
    <w:p>
      <w:r>
        <w:t>Prezado Sr./Sra. Morador(a),</w:t>
      </w:r>
    </w:p>
    <w:p>
      <w:r>
        <w:t>Conforme registrado, foi constatado um teste de IA realizado na sua unidade na data de 30/05/2025, atividade essa que está sujeita a regulamentação específica.</w:t>
      </w:r>
    </w:p>
    <w:p/>
    <w:p>
      <w:r>
        <w:t>De acordo com a Lei de Condominio nº 4.591/64, Art. 10º - É defeso a qualquer condômino: I - alterar a forma externa da fachada; II - decorar as partes e esquadriais externas com tonalidades ou côres diversas das empregadas no conjunto da edificação; III - destinar a unidade a utilização diversa de finalidade do prédio, ou usá-la de forma nociva ou perigosa ao sossêgo, à salubridade e à segurança dos demais condôminos; IV - embaraçar o uso das partes comuns.</w:t>
      </w:r>
    </w:p>
    <w:p>
      <w:r>
        <w:t>Alertamos que, em caso de reincidência, poderão ser aplicadas sanções conforme previsto na convenção e no regimento interno do condomínio, incluindo multas e outras penalidades cabíveis. Reforçamos a importância de respeitar as normas para garantir a boa convivência e a segurança de todos os moradores.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04:27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