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279" w:type="dxa"/>
        <w:tblLook w:val="04A0" w:firstRow="1" w:lastRow="0" w:firstColumn="1" w:lastColumn="0" w:noHBand="0" w:noVBand="1"/>
      </w:tblPr>
      <w:tblGrid>
        <w:gridCol w:w="4253"/>
        <w:gridCol w:w="1334"/>
        <w:gridCol w:w="2210"/>
        <w:gridCol w:w="1359"/>
        <w:gridCol w:w="1701"/>
      </w:tblGrid>
      <w:tr w:rsidR="002653B2" w:rsidRPr="002653B2" w14:paraId="1A469D2D" w14:textId="77777777" w:rsidTr="007A0804">
        <w:trPr>
          <w:trHeight w:val="93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6298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Country Group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1452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No. of Countries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62FB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CFR on May 1 2020</w:t>
            </w: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(95% CI*)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252D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Starting date of COVID-19 Pandemic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2211" w14:textId="066AE8B8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Daily Mean % change from </w:t>
            </w:r>
            <w:r w:rsidR="007A08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May 6</w:t>
            </w: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- May 1</w:t>
            </w:r>
            <w:r w:rsidR="007A08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2020</w:t>
            </w:r>
          </w:p>
        </w:tc>
      </w:tr>
      <w:tr w:rsidR="002653B2" w:rsidRPr="002653B2" w14:paraId="1A2200D1" w14:textId="77777777" w:rsidTr="007A0804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8743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World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ECDB" w14:textId="79115CA1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6D65" w14:textId="4CF8247F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A50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6.78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6.76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6.8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7B61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31-Dec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2137" w14:textId="7C6E5788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-0.03</w:t>
            </w:r>
          </w:p>
        </w:tc>
      </w:tr>
      <w:tr w:rsidR="002653B2" w:rsidRPr="002653B2" w14:paraId="34874797" w14:textId="77777777" w:rsidTr="007A0804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107E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Countries with 1000 or more cases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7EF4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D91" w14:textId="6A334C04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A50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6.8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6.78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6.82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2C9E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31-Dec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AB67" w14:textId="7DF5A840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-0.03</w:t>
            </w:r>
          </w:p>
        </w:tc>
      </w:tr>
      <w:tr w:rsidR="002653B2" w:rsidRPr="002653B2" w14:paraId="74B49358" w14:textId="77777777" w:rsidTr="007A0804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3609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Group 1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CA5D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3C7D" w14:textId="77B8B361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A50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7.43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7.4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7.46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2DB4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31-Dec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FEE6" w14:textId="39FE6291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-0.03</w:t>
            </w:r>
          </w:p>
        </w:tc>
      </w:tr>
      <w:tr w:rsidR="002653B2" w:rsidRPr="002653B2" w14:paraId="561D2C8C" w14:textId="77777777" w:rsidTr="007A0804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9659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A613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2DA1" w14:textId="3B1E18EB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A50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4.83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4.77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4.89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1D61" w14:textId="61CEC4F6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-Jan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EC4D" w14:textId="0CAF2F0F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-0.02</w:t>
            </w:r>
          </w:p>
        </w:tc>
      </w:tr>
      <w:tr w:rsidR="002653B2" w:rsidRPr="002653B2" w14:paraId="1DEB718C" w14:textId="77777777" w:rsidTr="007A0804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EA40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6899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9D21" w14:textId="694E1FB0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3.94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3.86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4.02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FC63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22-Jan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567A" w14:textId="013BC063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-0.01</w:t>
            </w:r>
          </w:p>
        </w:tc>
      </w:tr>
      <w:tr w:rsidR="002653B2" w:rsidRPr="002653B2" w14:paraId="510AC365" w14:textId="77777777" w:rsidTr="007A0804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B8A3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2893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3D7B" w14:textId="3F6AE3A9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2.93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2.82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3.03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8CB9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25-Jan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6468" w14:textId="31CC1982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-0.02</w:t>
            </w:r>
          </w:p>
        </w:tc>
      </w:tr>
      <w:tr w:rsidR="002653B2" w:rsidRPr="002653B2" w14:paraId="392E124F" w14:textId="77777777" w:rsidTr="007A0804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DCD3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4A0B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5518" w14:textId="156ECF41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3.43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3.28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3.59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7666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22-Jan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0A7C" w14:textId="34DF21D7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0.01</w:t>
            </w:r>
          </w:p>
        </w:tc>
      </w:tr>
      <w:tr w:rsidR="002653B2" w:rsidRPr="002653B2" w14:paraId="69CACB3D" w14:textId="77777777" w:rsidTr="007A0804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43AE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4206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BE3" w14:textId="67976A33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2.98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2.78 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3.18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691C" w14:textId="7D412D9F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Jan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2241" w14:textId="2F442D00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-0.02</w:t>
            </w:r>
          </w:p>
        </w:tc>
      </w:tr>
    </w:tbl>
    <w:p w14:paraId="293666A2" w14:textId="4350D1D2" w:rsidR="00D8188B" w:rsidRDefault="00D8188B"/>
    <w:p w14:paraId="1714A8BE" w14:textId="33E763C7" w:rsidR="002653B2" w:rsidRPr="007A0804" w:rsidRDefault="002653B2" w:rsidP="007A0804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7A0804">
        <w:rPr>
          <w:rFonts w:ascii="Times New Roman" w:hAnsi="Times New Roman" w:cs="Times New Roman"/>
          <w:b/>
          <w:sz w:val="24"/>
          <w:szCs w:val="24"/>
        </w:rPr>
        <w:t>Table 1:</w:t>
      </w:r>
      <w:r w:rsidRPr="007A0804">
        <w:rPr>
          <w:rFonts w:ascii="Times New Roman" w:hAnsi="Times New Roman" w:cs="Times New Roman"/>
          <w:sz w:val="24"/>
          <w:szCs w:val="24"/>
        </w:rPr>
        <w:t xml:space="preserve"> The Case Fatality Ratio on May </w:t>
      </w:r>
      <w:r w:rsidR="004F30B1" w:rsidRPr="007A0804">
        <w:rPr>
          <w:rFonts w:ascii="Times New Roman" w:hAnsi="Times New Roman" w:cs="Times New Roman"/>
          <w:sz w:val="24"/>
          <w:szCs w:val="24"/>
        </w:rPr>
        <w:t>15</w:t>
      </w:r>
      <w:r w:rsidRPr="007A0804">
        <w:rPr>
          <w:rFonts w:ascii="Times New Roman" w:hAnsi="Times New Roman" w:cs="Times New Roman"/>
          <w:sz w:val="24"/>
          <w:szCs w:val="24"/>
        </w:rPr>
        <w:t>, 2020 and Daily Mean Percentage</w:t>
      </w:r>
      <w:r w:rsidR="00F8180A" w:rsidRPr="007A0804">
        <w:rPr>
          <w:rFonts w:ascii="Times New Roman" w:hAnsi="Times New Roman" w:cs="Times New Roman"/>
          <w:sz w:val="24"/>
          <w:szCs w:val="24"/>
        </w:rPr>
        <w:t xml:space="preserve"> </w:t>
      </w:r>
      <w:r w:rsidRPr="007A0804">
        <w:rPr>
          <w:rFonts w:ascii="Times New Roman" w:hAnsi="Times New Roman" w:cs="Times New Roman"/>
          <w:sz w:val="24"/>
          <w:szCs w:val="24"/>
        </w:rPr>
        <w:t>Change (</w:t>
      </w:r>
      <w:r w:rsidR="007A0804" w:rsidRPr="007A0804">
        <w:rPr>
          <w:rFonts w:ascii="Times New Roman" w:hAnsi="Times New Roman" w:cs="Times New Roman"/>
          <w:sz w:val="24"/>
          <w:szCs w:val="24"/>
        </w:rPr>
        <w:t>May 6</w:t>
      </w:r>
      <w:r w:rsidRPr="007A0804">
        <w:rPr>
          <w:rFonts w:ascii="Times New Roman" w:hAnsi="Times New Roman" w:cs="Times New Roman"/>
          <w:sz w:val="24"/>
          <w:szCs w:val="24"/>
        </w:rPr>
        <w:t xml:space="preserve"> to May 1</w:t>
      </w:r>
      <w:r w:rsidR="004F30B1" w:rsidRPr="007A0804">
        <w:rPr>
          <w:rFonts w:ascii="Times New Roman" w:hAnsi="Times New Roman" w:cs="Times New Roman"/>
          <w:sz w:val="24"/>
          <w:szCs w:val="24"/>
        </w:rPr>
        <w:t>5</w:t>
      </w:r>
      <w:r w:rsidRPr="007A0804">
        <w:rPr>
          <w:rFonts w:ascii="Times New Roman" w:hAnsi="Times New Roman" w:cs="Times New Roman"/>
          <w:sz w:val="24"/>
          <w:szCs w:val="24"/>
        </w:rPr>
        <w:t>, 2020) in CFR.</w:t>
      </w:r>
    </w:p>
    <w:p w14:paraId="4D587E9C" w14:textId="045CD812" w:rsidR="002653B2" w:rsidRPr="007A0804" w:rsidRDefault="002653B2" w:rsidP="007A0804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0804">
        <w:rPr>
          <w:rFonts w:ascii="Times New Roman" w:hAnsi="Times New Roman" w:cs="Times New Roman"/>
          <w:sz w:val="24"/>
          <w:szCs w:val="24"/>
        </w:rPr>
        <w:t>*Rounded to two decimal points</w:t>
      </w:r>
    </w:p>
    <w:sectPr w:rsidR="002653B2" w:rsidRPr="007A0804" w:rsidSect="007A0804">
      <w:pgSz w:w="11906" w:h="16838"/>
      <w:pgMar w:top="1440" w:right="226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B2"/>
    <w:rsid w:val="0019323B"/>
    <w:rsid w:val="002653B2"/>
    <w:rsid w:val="004F30B1"/>
    <w:rsid w:val="007A0804"/>
    <w:rsid w:val="008A501D"/>
    <w:rsid w:val="00D8188B"/>
    <w:rsid w:val="00F8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C65D"/>
  <w15:chartTrackingRefBased/>
  <w15:docId w15:val="{C3D6724B-3826-41AE-AB82-584410E7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Chaubal</dc:creator>
  <cp:keywords/>
  <dc:description/>
  <cp:lastModifiedBy>Rohan Chaubal</cp:lastModifiedBy>
  <cp:revision>4</cp:revision>
  <dcterms:created xsi:type="dcterms:W3CDTF">2020-05-07T16:35:00Z</dcterms:created>
  <dcterms:modified xsi:type="dcterms:W3CDTF">2020-05-24T10:42:00Z</dcterms:modified>
</cp:coreProperties>
</file>