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360"/>
        <w:jc w:val="center"/>
      </w:pPr>
      <w:r>
        <w:rPr>
          <w:rFonts w:ascii="Calibri" w:hAnsi="Calibri"/>
          <w:b/>
          <w:color w:val="2E74B5"/>
          <w:sz w:val="21"/>
        </w:rPr>
        <w:t>DEVELOPER ARCHITECTURE GUIDE</w:t>
      </w:r>
    </w:p>
    <w:p>
      <w:pPr>
        <w:spacing w:after="160"/>
        <w:jc w:val="center"/>
      </w:pPr>
      <w:r>
        <w:rPr>
          <w:rFonts w:ascii="Calibri" w:hAnsi="Calibri"/>
          <w:b/>
          <w:color w:val="1F4D78"/>
          <w:sz w:val="60"/>
        </w:rPr>
        <w:t>Enterprise MCP Platform on AWS</w:t>
      </w:r>
    </w:p>
    <w:p>
      <w:pPr>
        <w:spacing w:after="560"/>
        <w:jc w:val="center"/>
      </w:pPr>
      <w:r>
        <w:rPr>
          <w:rFonts w:ascii="Calibri" w:hAnsi="Calibri"/>
          <w:color w:val="526579"/>
          <w:sz w:val="28"/>
        </w:rPr>
        <w:t>Implementation, identity, policy and operations</w:t>
      </w:r>
    </w:p>
    <w:p>
      <w:pPr>
        <w:spacing w:after="60"/>
        <w:jc w:val="center"/>
      </w:pPr>
      <w:r>
        <w:rPr>
          <w:rFonts w:ascii="Calibri" w:hAnsi="Calibri"/>
          <w:b/>
          <w:color w:val="17324D"/>
          <w:sz w:val="21"/>
        </w:rPr>
        <w:t xml:space="preserve">Status: </w:t>
      </w:r>
      <w:r>
        <w:rPr>
          <w:rFonts w:ascii="Calibri" w:hAnsi="Calibri"/>
          <w:color w:val="17324D"/>
          <w:sz w:val="21"/>
        </w:rPr>
        <w:t>Living technical guide</w:t>
      </w:r>
    </w:p>
    <w:p>
      <w:pPr>
        <w:spacing w:after="60"/>
        <w:jc w:val="center"/>
      </w:pPr>
      <w:r>
        <w:rPr>
          <w:rFonts w:ascii="Calibri" w:hAnsi="Calibri"/>
          <w:b/>
          <w:color w:val="17324D"/>
          <w:sz w:val="21"/>
        </w:rPr>
        <w:t xml:space="preserve">Updated: </w:t>
      </w:r>
      <w:r>
        <w:rPr>
          <w:rFonts w:ascii="Calibri" w:hAnsi="Calibri"/>
          <w:color w:val="17324D"/>
          <w:sz w:val="21"/>
        </w:rPr>
        <w:t>31 July 2026</w:t>
      </w:r>
    </w:p>
    <w:p>
      <w:pPr>
        <w:spacing w:after="60"/>
        <w:jc w:val="center"/>
      </w:pPr>
      <w:r>
        <w:rPr>
          <w:rFonts w:ascii="Calibri" w:hAnsi="Calibri"/>
          <w:b/>
          <w:color w:val="17324D"/>
          <w:sz w:val="21"/>
        </w:rPr>
        <w:t xml:space="preserve">Maintainer: </w:t>
      </w:r>
      <w:r>
        <w:rPr>
          <w:rFonts w:ascii="Calibri" w:hAnsi="Calibri"/>
          <w:color w:val="17324D"/>
          <w:sz w:val="21"/>
        </w:rPr>
        <w:t>Cloud Platform Team</w:t>
      </w:r>
    </w:p>
    <w:p>
      <w:pPr>
        <w:spacing w:after="60"/>
        <w:jc w:val="center"/>
      </w:pPr>
      <w:r>
        <w:rPr>
          <w:rFonts w:ascii="Calibri" w:hAnsi="Calibri"/>
          <w:b/>
          <w:color w:val="17324D"/>
          <w:sz w:val="21"/>
        </w:rPr>
        <w:t xml:space="preserve">Implementation root: </w:t>
      </w:r>
      <w:r>
        <w:rPr>
          <w:rFonts w:ascii="Courier New" w:hAnsi="Courier New"/>
          <w:color w:val="17324D"/>
          <w:sz w:val="21"/>
        </w:rPr>
        <w:t>examples/enterprise_mcp_platform</w:t>
      </w:r>
    </w:p>
    <w:tbl>
      <w:tblPr>
        <w:tblW w:type="dxa" w:w="9360"/>
        <w:tblLayout w:type="fixed"/>
        <w:tblLook w:firstColumn="1" w:firstRow="1" w:lastColumn="0" w:lastRow="0" w:noHBand="0" w:noVBand="1" w:val="04A0"/>
        <w:tblInd w:w="120" w:type="dxa"/>
        <w:tblLayout w:type="fixed"/>
      </w:tblPr>
      <w:tblGrid>
        <w:gridCol w:w="9360"/>
      </w:tblGrid>
      <w:tr>
        <w:trPr>
          <w:cantSplit/>
        </w:trPr>
        <w:tc>
          <w:tcPr>
            <w:tcW w:type="dxa" w:w="9360"/>
            <w:vAlign w:val="center"/>
            <w:tcMar>
              <w:top w:w="80" w:type="dxa"/>
              <w:start w:w="120" w:type="dxa"/>
              <w:bottom w:w="80" w:type="dxa"/>
              <w:end w:w="120" w:type="dxa"/>
            </w:tcMar>
            <w:shd w:fill="EAF2F8"/>
          </w:tcPr>
          <w:p>
            <w:pPr>
              <w:spacing w:after="40" w:line="300" w:lineRule="auto"/>
            </w:pPr>
            <w:r>
              <w:rPr>
                <w:rFonts w:ascii="Calibri" w:hAnsi="Calibri"/>
                <w:b/>
                <w:color w:val="2E74B5"/>
                <w:sz w:val="21"/>
              </w:rPr>
              <w:t xml:space="preserve">Start here: </w:t>
            </w:r>
            <w:r>
              <w:rPr>
                <w:rFonts w:ascii="Calibri" w:hAnsi="Calibri"/>
                <w:color w:val="17324D"/>
                <w:sz w:val="21"/>
              </w:rPr>
              <w:t>Use section 2 to find code, section 3 for local workflows, section 6 for the architecture, and section 17 for known gaps.</w:t>
            </w:r>
          </w:p>
        </w:tc>
      </w:tr>
    </w:tbl>
    <w:p>
      <w:pPr>
        <w:spacing w:after="40"/>
      </w:pPr>
    </w:p>
    <w:p>
      <w:pPr>
        <w:spacing w:before="240" w:after="0"/>
        <w:jc w:val="center"/>
      </w:pPr>
      <w:r>
        <w:rPr>
          <w:rFonts w:ascii="Calibri" w:hAnsi="Calibri"/>
          <w:i/>
          <w:color w:val="526579"/>
          <w:sz w:val="19"/>
        </w:rPr>
        <w:t>Editable diagrams are supplied in the accompanying draw.io files.</w:t>
      </w:r>
    </w:p>
    <w:p>
      <w:r>
        <w:br w:type="page"/>
      </w:r>
    </w:p>
    <w:p>
      <w:pPr>
        <w:pStyle w:val="Heading1"/>
      </w:pPr>
      <w:r>
        <w:t>Contents</w:t>
      </w:r>
    </w:p>
    <w:p>
      <w:pPr>
        <w:spacing w:after="200"/>
      </w:pPr>
      <w:r>
        <w:rPr>
          <w:rFonts w:ascii="Calibri" w:hAnsi="Calibri"/>
          <w:i/>
          <w:color w:val="526579"/>
          <w:sz w:val="19"/>
        </w:rPr>
        <w:t>Developer reference sections</w:t>
      </w:r>
    </w:p>
    <w:p>
      <w:pPr>
        <w:spacing w:after="40" w:line="240" w:lineRule="auto"/>
        <w:ind w:left="216"/>
      </w:pPr>
      <w:r>
        <w:rPr>
          <w:rFonts w:ascii="Calibri" w:hAnsi="Calibri"/>
          <w:color w:val="17324D"/>
          <w:sz w:val="20"/>
        </w:rPr>
        <w:t>1. Platform overview</w:t>
      </w:r>
    </w:p>
    <w:p>
      <w:pPr>
        <w:spacing w:after="40" w:line="240" w:lineRule="auto"/>
        <w:ind w:left="216"/>
      </w:pPr>
      <w:r>
        <w:rPr>
          <w:rFonts w:ascii="Calibri" w:hAnsi="Calibri"/>
          <w:color w:val="17324D"/>
          <w:sz w:val="20"/>
        </w:rPr>
        <w:t>2. Repository map</w:t>
      </w:r>
    </w:p>
    <w:p>
      <w:pPr>
        <w:spacing w:after="40" w:line="240" w:lineRule="auto"/>
        <w:ind w:left="216"/>
      </w:pPr>
      <w:r>
        <w:rPr>
          <w:rFonts w:ascii="Calibri" w:hAnsi="Calibri"/>
          <w:color w:val="17324D"/>
          <w:sz w:val="20"/>
        </w:rPr>
        <w:t>3. Developer workflow</w:t>
      </w:r>
    </w:p>
    <w:p>
      <w:pPr>
        <w:spacing w:after="40" w:line="240" w:lineRule="auto"/>
        <w:ind w:left="216"/>
      </w:pPr>
      <w:r>
        <w:rPr>
          <w:rFonts w:ascii="Calibri" w:hAnsi="Calibri"/>
          <w:color w:val="17324D"/>
          <w:sz w:val="20"/>
        </w:rPr>
        <w:t>4. Design principles</w:t>
      </w:r>
    </w:p>
    <w:p>
      <w:pPr>
        <w:spacing w:after="40" w:line="240" w:lineRule="auto"/>
        <w:ind w:left="216"/>
      </w:pPr>
      <w:r>
        <w:rPr>
          <w:rFonts w:ascii="Calibri" w:hAnsi="Calibri"/>
          <w:color w:val="17324D"/>
          <w:sz w:val="20"/>
        </w:rPr>
        <w:t>5. Implementation status</w:t>
      </w:r>
    </w:p>
    <w:p>
      <w:pPr>
        <w:spacing w:after="40" w:line="240" w:lineRule="auto"/>
        <w:ind w:left="216"/>
      </w:pPr>
      <w:r>
        <w:rPr>
          <w:rFonts w:ascii="Calibri" w:hAnsi="Calibri"/>
          <w:color w:val="17324D"/>
          <w:sz w:val="20"/>
        </w:rPr>
        <w:t>6. Architecture</w:t>
      </w:r>
    </w:p>
    <w:p>
      <w:pPr>
        <w:spacing w:after="40" w:line="240" w:lineRule="auto"/>
        <w:ind w:left="216"/>
      </w:pPr>
      <w:r>
        <w:rPr>
          <w:rFonts w:ascii="Calibri" w:hAnsi="Calibri"/>
          <w:color w:val="17324D"/>
          <w:sz w:val="20"/>
        </w:rPr>
        <w:t>7. Identity and request flows</w:t>
      </w:r>
    </w:p>
    <w:p>
      <w:pPr>
        <w:spacing w:after="40" w:line="240" w:lineRule="auto"/>
        <w:ind w:left="216"/>
      </w:pPr>
      <w:r>
        <w:rPr>
          <w:rFonts w:ascii="Calibri" w:hAnsi="Calibri"/>
          <w:color w:val="17324D"/>
          <w:sz w:val="20"/>
        </w:rPr>
        <w:t>8. Network and trust boundaries</w:t>
      </w:r>
    </w:p>
    <w:p>
      <w:pPr>
        <w:spacing w:after="40" w:line="240" w:lineRule="auto"/>
        <w:ind w:left="216"/>
      </w:pPr>
      <w:r>
        <w:rPr>
          <w:rFonts w:ascii="Calibri" w:hAnsi="Calibri"/>
          <w:color w:val="17324D"/>
          <w:sz w:val="20"/>
        </w:rPr>
        <w:t>9. Tool and data contracts</w:t>
      </w:r>
    </w:p>
    <w:p>
      <w:pPr>
        <w:spacing w:after="40" w:line="240" w:lineRule="auto"/>
        <w:ind w:left="216"/>
      </w:pPr>
      <w:r>
        <w:rPr>
          <w:rFonts w:ascii="Calibri" w:hAnsi="Calibri"/>
          <w:color w:val="17324D"/>
          <w:sz w:val="20"/>
        </w:rPr>
        <w:t>10. Policy, build and deployment</w:t>
      </w:r>
    </w:p>
    <w:p>
      <w:pPr>
        <w:spacing w:after="40" w:line="240" w:lineRule="auto"/>
        <w:ind w:left="216"/>
      </w:pPr>
      <w:r>
        <w:rPr>
          <w:rFonts w:ascii="Calibri" w:hAnsi="Calibri"/>
          <w:color w:val="17324D"/>
          <w:sz w:val="20"/>
        </w:rPr>
        <w:t>11. Observability and audit</w:t>
      </w:r>
    </w:p>
    <w:p>
      <w:pPr>
        <w:spacing w:after="40" w:line="240" w:lineRule="auto"/>
        <w:ind w:left="216"/>
      </w:pPr>
      <w:r>
        <w:rPr>
          <w:rFonts w:ascii="Calibri" w:hAnsi="Calibri"/>
          <w:color w:val="17324D"/>
          <w:sz w:val="20"/>
        </w:rPr>
        <w:t>12. Reliability and performance</w:t>
      </w:r>
    </w:p>
    <w:p>
      <w:pPr>
        <w:spacing w:after="40" w:line="240" w:lineRule="auto"/>
        <w:ind w:left="216"/>
      </w:pPr>
      <w:r>
        <w:rPr>
          <w:rFonts w:ascii="Calibri" w:hAnsi="Calibri"/>
          <w:color w:val="17324D"/>
          <w:sz w:val="20"/>
        </w:rPr>
        <w:t>13. Security reference</w:t>
      </w:r>
    </w:p>
    <w:p>
      <w:pPr>
        <w:spacing w:after="40" w:line="240" w:lineRule="auto"/>
        <w:ind w:left="216"/>
      </w:pPr>
      <w:r>
        <w:rPr>
          <w:rFonts w:ascii="Calibri" w:hAnsi="Calibri"/>
          <w:color w:val="17324D"/>
          <w:sz w:val="20"/>
        </w:rPr>
        <w:t>14. Security implementation checklist</w:t>
      </w:r>
    </w:p>
    <w:p>
      <w:pPr>
        <w:spacing w:after="40" w:line="240" w:lineRule="auto"/>
        <w:ind w:left="216"/>
      </w:pPr>
      <w:r>
        <w:rPr>
          <w:rFonts w:ascii="Calibri" w:hAnsi="Calibri"/>
          <w:color w:val="17324D"/>
          <w:sz w:val="20"/>
        </w:rPr>
        <w:t>15. Operations and rollback</w:t>
      </w:r>
    </w:p>
    <w:p>
      <w:pPr>
        <w:spacing w:after="40" w:line="240" w:lineRule="auto"/>
        <w:ind w:left="216"/>
      </w:pPr>
      <w:r>
        <w:rPr>
          <w:rFonts w:ascii="Calibri" w:hAnsi="Calibri"/>
          <w:color w:val="17324D"/>
          <w:sz w:val="20"/>
        </w:rPr>
        <w:t>16. Developer verification guide</w:t>
      </w:r>
    </w:p>
    <w:p>
      <w:pPr>
        <w:spacing w:after="40" w:line="240" w:lineRule="auto"/>
        <w:ind w:left="216"/>
      </w:pPr>
      <w:r>
        <w:rPr>
          <w:rFonts w:ascii="Calibri" w:hAnsi="Calibri"/>
          <w:color w:val="17324D"/>
          <w:sz w:val="20"/>
        </w:rPr>
        <w:t>17. Known gaps and open implementation work</w:t>
      </w:r>
    </w:p>
    <w:p>
      <w:pPr>
        <w:spacing w:after="40" w:line="240" w:lineRule="auto"/>
        <w:ind w:left="216"/>
      </w:pPr>
      <w:r>
        <w:rPr>
          <w:rFonts w:ascii="Calibri" w:hAnsi="Calibri"/>
          <w:color w:val="17324D"/>
          <w:sz w:val="20"/>
        </w:rPr>
        <w:t>18. Component ownership</w:t>
      </w:r>
    </w:p>
    <w:p>
      <w:pPr>
        <w:spacing w:after="40" w:line="240" w:lineRule="auto"/>
        <w:ind w:left="216"/>
      </w:pPr>
      <w:r>
        <w:rPr>
          <w:rFonts w:ascii="Calibri" w:hAnsi="Calibri"/>
          <w:color w:val="17324D"/>
          <w:sz w:val="20"/>
        </w:rPr>
        <w:t>19. References</w:t>
      </w:r>
    </w:p>
    <w:p>
      <w:r>
        <w:br w:type="page"/>
      </w:r>
    </w:p>
    <w:p>
      <w:pPr>
        <w:pStyle w:val="Heading1"/>
      </w:pPr>
      <w:r>
        <w:t>1. Platform overview</w:t>
      </w:r>
    </w:p>
    <w:p>
      <w:r>
        <w:rPr>
          <w:rFonts w:ascii="Calibri" w:hAnsi="Calibri"/>
          <w:color w:val="17324D"/>
          <w:sz w:val="22"/>
        </w:rPr>
        <w:t>The platform provides one governed internal Model Context Protocol (MCP) entry point on AWS. Amazon Bedrock AgentCore Gateway is the shared MCP front door. Platform-owned and enterprise-hosted servers use AgentCore Runtime, while an approved vendor-operated remote MCP endpoint may connect directly as a Gateway target. SharePoint is the first enabled business-system integration. AWS Knowledge, Microsoft Learn and a Registry-only Terraform MCP Runtime are the first documentation-target PoC. CRM, internal-software and Databricks targets remain disabled until their tool contracts, identity model and owners are implemented and validated.</w:t>
      </w:r>
    </w:p>
    <w:p>
      <w:r>
        <w:rPr>
          <w:rFonts w:ascii="Calibri" w:hAnsi="Calibri"/>
          <w:color w:val="17324D"/>
          <w:sz w:val="22"/>
        </w:rPr>
        <w:t xml:space="preserve">Microsoft Entra ID remains the authoritative identity provider for delegated and app-only callers. Callers obtain an environment-specific Enterprise MCP API token and send it to Gateway. Gateway uses its </w:t>
      </w:r>
      <w:r>
        <w:rPr>
          <w:rFonts w:ascii="Courier New" w:hAnsi="Courier New"/>
          <w:color w:val="1F4D78"/>
          <w:sz w:val="20"/>
          <w:shd w:fill="EAF2F8"/>
        </w:rPr>
        <w:t>CUSTOM_JWT</w:t>
      </w:r>
      <w:r>
        <w:rPr>
          <w:rFonts w:ascii="Calibri" w:hAnsi="Calibri"/>
          <w:color w:val="17324D"/>
          <w:sz w:val="22"/>
        </w:rPr>
        <w:t xml:space="preserve"> authorizer to validate the token, and direct Cedar determines whether the caller may discover or invoke an exact tool. Delegated requests use the </w:t>
      </w:r>
      <w:r>
        <w:rPr>
          <w:rFonts w:ascii="Courier New" w:hAnsi="Courier New"/>
          <w:color w:val="1F4D78"/>
          <w:sz w:val="20"/>
          <w:shd w:fill="EAF2F8"/>
        </w:rPr>
        <w:t>sharepoint-delegated</w:t>
      </w:r>
      <w:r>
        <w:rPr>
          <w:rFonts w:ascii="Calibri" w:hAnsi="Calibri"/>
          <w:color w:val="17324D"/>
          <w:sz w:val="22"/>
        </w:rPr>
        <w:t xml:space="preserve"> Runtime lane and Microsoft Graph OBO, so native SharePoint employee permissions remain authoritative. App-only requests use the </w:t>
      </w:r>
      <w:r>
        <w:rPr>
          <w:rFonts w:ascii="Courier New" w:hAnsi="Courier New"/>
          <w:color w:val="1F4D78"/>
          <w:sz w:val="20"/>
          <w:shd w:fill="EAF2F8"/>
        </w:rPr>
        <w:t>sharepoint-application</w:t>
      </w:r>
      <w:r>
        <w:rPr>
          <w:rFonts w:ascii="Calibri" w:hAnsi="Calibri"/>
          <w:color w:val="17324D"/>
          <w:sz w:val="22"/>
        </w:rPr>
        <w:t xml:space="preserve"> Runtime lane, a dedicated Graph application identity and </w:t>
      </w:r>
      <w:r>
        <w:rPr>
          <w:rFonts w:ascii="Courier New" w:hAnsi="Courier New"/>
          <w:color w:val="1F4D78"/>
          <w:sz w:val="20"/>
          <w:shd w:fill="EAF2F8"/>
        </w:rPr>
        <w:t>Sites.Selected</w:t>
      </w:r>
      <w:r>
        <w:rPr>
          <w:rFonts w:ascii="Calibri" w:hAnsi="Calibri"/>
          <w:color w:val="17324D"/>
          <w:sz w:val="22"/>
        </w:rPr>
        <w:t>.</w:t>
      </w:r>
    </w:p>
    <w:p>
      <w:r>
        <w:rPr>
          <w:rFonts w:ascii="Calibri" w:hAnsi="Calibri"/>
          <w:color w:val="17324D"/>
          <w:sz w:val="22"/>
        </w:rPr>
        <w:t>The repository contains representative Terraform, direct Cedar and MCP server code. Treat it as an implementation reference: dual Runtime/target expansion, the OBO assertion interceptor, Graph token acquisition and direct Cedar Terraform resources are implemented examples. ADR 0009 adds the target model, while ADR 0010 narrows the SharePoint write surface to one fail-fast upload tool and names the lanes by Graph credential mode. Direct vendor-target resources and the restricted Terraform MCP Runtime are not yet implemented. The workload root currently deploys AgentCore Gateway/Runtime only in Sydney (</w:t>
      </w:r>
      <w:r>
        <w:rPr>
          <w:rFonts w:ascii="Courier New" w:hAnsi="Courier New"/>
          <w:color w:val="1F4D78"/>
          <w:sz w:val="20"/>
          <w:shd w:fill="EAF2F8"/>
        </w:rPr>
        <w:t>ap-southeast-2</w:t>
      </w:r>
      <w:r>
        <w:rPr>
          <w:rFonts w:ascii="Calibri" w:hAnsi="Calibri"/>
          <w:color w:val="17324D"/>
          <w:sz w:val="22"/>
        </w:rPr>
        <w:t>) and consumes a platform-supplied target account ID and existing Runtime network IDs. Melbourne (</w:t>
      </w:r>
      <w:r>
        <w:rPr>
          <w:rFonts w:ascii="Courier New" w:hAnsi="Courier New"/>
          <w:color w:val="1F4D78"/>
          <w:sz w:val="20"/>
          <w:shd w:fill="EAF2F8"/>
        </w:rPr>
        <w:t>ap-southeast-4</w:t>
      </w:r>
      <w:r>
        <w:rPr>
          <w:rFonts w:ascii="Calibri" w:hAnsi="Calibri"/>
          <w:color w:val="17324D"/>
          <w:sz w:val="22"/>
        </w:rPr>
        <w:t>) remains gated on official service availability and non-production validation. Real Gateway-to-target invocation, live Entra exchange, Microsoft Graph upload, documentation-target controls, the externally managed PrivateLink route and production CI/CD controls still require target-environment validation.</w:t>
      </w:r>
    </w:p>
    <w:p>
      <w:pPr>
        <w:pStyle w:val="Heading1"/>
      </w:pPr>
      <w:r>
        <w:t>2. Repository map</w:t>
      </w:r>
    </w:p>
    <w:tbl>
      <w:tblPr>
        <w:tblStyle w:val="TableGrid"/>
        <w:tblW w:type="dxa" w:w="9360"/>
        <w:tblLayout w:type="fixed"/>
        <w:tblLook w:firstColumn="1" w:firstRow="1" w:lastColumn="0" w:lastRow="0" w:noHBand="0" w:noVBand="1" w:val="04A0"/>
        <w:tblInd w:w="120" w:type="dxa"/>
        <w:tblLayout w:type="fixed"/>
        <w:tblInd w:w="120" w:type="dxa"/>
        <w:tblLayout w:type="fixed"/>
      </w:tblPr>
      <w:tblGrid>
        <w:gridCol w:w="2800"/>
        <w:gridCol w:w="6560"/>
      </w:tblGrid>
      <w:tr>
        <w:trPr>
          <w:cantSplit/>
          <w:tblHeader w:val="true"/>
        </w:trPr>
        <w:tc>
          <w:tcPr>
            <w:tcW w:type="dxa" w:w="2800"/>
            <w:vAlign w:val="center"/>
            <w:tcMar>
              <w:top w:w="80" w:type="dxa"/>
              <w:start w:w="120" w:type="dxa"/>
              <w:bottom w:w="80" w:type="dxa"/>
              <w:end w:w="120" w:type="dxa"/>
            </w:tcMar>
            <w:shd w:fill="E8EEF5"/>
          </w:tcPr>
          <w:p>
            <w:pPr>
              <w:spacing w:after="0"/>
              <w:jc w:val="center"/>
            </w:pPr>
            <w:r>
              <w:rPr>
                <w:rFonts w:ascii="Calibri" w:hAnsi="Calibri"/>
                <w:b/>
                <w:color w:val="17324D"/>
                <w:sz w:val="19"/>
              </w:rPr>
              <w:t>Path</w:t>
            </w:r>
          </w:p>
        </w:tc>
        <w:tc>
          <w:tcPr>
            <w:tcW w:type="dxa" w:w="6560"/>
            <w:vAlign w:val="center"/>
            <w:tcMar>
              <w:top w:w="80" w:type="dxa"/>
              <w:start w:w="120" w:type="dxa"/>
              <w:bottom w:w="80" w:type="dxa"/>
              <w:end w:w="120" w:type="dxa"/>
            </w:tcMar>
            <w:shd w:fill="E8EEF5"/>
          </w:tcPr>
          <w:p>
            <w:pPr>
              <w:spacing w:after="0"/>
              <w:jc w:val="left"/>
            </w:pPr>
            <w:r>
              <w:rPr>
                <w:rFonts w:ascii="Calibri" w:hAnsi="Calibri"/>
                <w:b/>
                <w:color w:val="17324D"/>
                <w:sz w:val="19"/>
              </w:rPr>
              <w:t>Developer use</w:t>
            </w:r>
          </w:p>
        </w:tc>
      </w:tr>
      <w:tr>
        <w:trPr>
          <w:cantSplit/>
        </w:trPr>
        <w:tc>
          <w:tcPr>
            <w:tcW w:type="dxa" w:w="28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examples/enterprise_mcp_platform/clients</w:t>
            </w:r>
          </w:p>
        </w:tc>
        <w:tc>
          <w:tcPr>
            <w:tcW w:type="dxa" w:w="6560"/>
            <w:vAlign w:val="center"/>
            <w:tcMar>
              <w:top w:w="80" w:type="dxa"/>
              <w:start w:w="120" w:type="dxa"/>
              <w:bottom w:w="80" w:type="dxa"/>
              <w:end w:w="120" w:type="dxa"/>
            </w:tcMar>
          </w:tcPr>
          <w:p>
            <w:pPr>
              <w:spacing w:after="0" w:line="252" w:lineRule="auto"/>
              <w:jc w:val="left"/>
            </w:pPr>
            <w:r>
              <w:rPr>
                <w:rFonts w:ascii="Calibri" w:hAnsi="Calibri"/>
                <w:color w:val="17324D"/>
                <w:sz w:val="18"/>
              </w:rPr>
              <w:t>Local, Claude Code and Gateway validation clients, including the Windows Entra token helper.</w:t>
            </w:r>
          </w:p>
        </w:tc>
      </w:tr>
      <w:tr>
        <w:trPr>
          <w:cantSplit/>
        </w:trPr>
        <w:tc>
          <w:tcPr>
            <w:tcW w:type="dxa" w:w="28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examples/enterprise_mcp_platform/servers/sharepoint_mcp</w:t>
            </w:r>
          </w:p>
        </w:tc>
        <w:tc>
          <w:tcPr>
            <w:tcW w:type="dxa" w:w="6560"/>
            <w:vAlign w:val="center"/>
            <w:tcMar>
              <w:top w:w="80" w:type="dxa"/>
              <w:start w:w="120" w:type="dxa"/>
              <w:bottom w:w="80" w:type="dxa"/>
              <w:end w:w="120" w:type="dxa"/>
            </w:tcMar>
          </w:tcPr>
          <w:p>
            <w:pPr>
              <w:spacing w:after="0" w:line="252" w:lineRule="auto"/>
              <w:jc w:val="left"/>
            </w:pPr>
            <w:r>
              <w:rPr>
                <w:rFonts w:ascii="Calibri" w:hAnsi="Calibri"/>
                <w:color w:val="17324D"/>
                <w:sz w:val="18"/>
              </w:rPr>
              <w:t>SharePoint MCP server, tool contracts and Graph client boundary.</w:t>
            </w:r>
          </w:p>
        </w:tc>
      </w:tr>
      <w:tr>
        <w:trPr>
          <w:cantSplit/>
        </w:trPr>
        <w:tc>
          <w:tcPr>
            <w:tcW w:type="dxa" w:w="28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examples/enterprise_mcp_platform/common/mcp_runtime</w:t>
            </w:r>
          </w:p>
        </w:tc>
        <w:tc>
          <w:tcPr>
            <w:tcW w:type="dxa" w:w="6560"/>
            <w:vAlign w:val="center"/>
            <w:tcMar>
              <w:top w:w="80" w:type="dxa"/>
              <w:start w:w="120" w:type="dxa"/>
              <w:bottom w:w="80" w:type="dxa"/>
              <w:end w:w="120" w:type="dxa"/>
            </w:tcMar>
          </w:tcPr>
          <w:p>
            <w:pPr>
              <w:spacing w:after="0" w:line="252" w:lineRule="auto"/>
              <w:jc w:val="left"/>
            </w:pPr>
            <w:r>
              <w:rPr>
                <w:rFonts w:ascii="Calibri" w:hAnsi="Calibri"/>
                <w:color w:val="17324D"/>
                <w:sz w:val="18"/>
              </w:rPr>
              <w:t>Shared validation and audit helpers used by Runtime-hosted servers.</w:t>
            </w:r>
          </w:p>
        </w:tc>
      </w:tr>
      <w:tr>
        <w:trPr>
          <w:cantSplit/>
        </w:trPr>
        <w:tc>
          <w:tcPr>
            <w:tcW w:type="dxa" w:w="28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examples/enterprise_mcp_platform/policy</w:t>
            </w:r>
          </w:p>
        </w:tc>
        <w:tc>
          <w:tcPr>
            <w:tcW w:type="dxa" w:w="6560"/>
            <w:vAlign w:val="center"/>
            <w:tcMar>
              <w:top w:w="80" w:type="dxa"/>
              <w:start w:w="120" w:type="dxa"/>
              <w:bottom w:w="80" w:type="dxa"/>
              <w:end w:w="120" w:type="dxa"/>
            </w:tcMar>
          </w:tcPr>
          <w:p>
            <w:pPr>
              <w:spacing w:after="0" w:line="252" w:lineRule="auto"/>
              <w:jc w:val="left"/>
            </w:pPr>
            <w:r>
              <w:rPr>
                <w:rFonts w:ascii="Calibri" w:hAnsi="Calibri"/>
                <w:color w:val="17324D"/>
                <w:sz w:val="18"/>
              </w:rPr>
              <w:t>Direct AgentCore Cedar source and its deployment contract.</w:t>
            </w:r>
          </w:p>
        </w:tc>
      </w:tr>
      <w:tr>
        <w:trPr>
          <w:cantSplit/>
        </w:trPr>
        <w:tc>
          <w:tcPr>
            <w:tcW w:type="dxa" w:w="28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examples/enterprise_mcp_platform/identity/entra</w:t>
            </w:r>
          </w:p>
        </w:tc>
        <w:tc>
          <w:tcPr>
            <w:tcW w:type="dxa" w:w="6560"/>
            <w:vAlign w:val="center"/>
            <w:tcMar>
              <w:top w:w="80" w:type="dxa"/>
              <w:start w:w="120" w:type="dxa"/>
              <w:bottom w:w="80" w:type="dxa"/>
              <w:end w:w="120" w:type="dxa"/>
            </w:tcMar>
          </w:tcPr>
          <w:p>
            <w:pPr>
              <w:spacing w:after="0" w:line="252" w:lineRule="auto"/>
              <w:jc w:val="left"/>
            </w:pPr>
            <w:r>
              <w:rPr>
                <w:rFonts w:ascii="Calibri" w:hAnsi="Calibri"/>
                <w:color w:val="17324D"/>
                <w:sz w:val="18"/>
              </w:rPr>
              <w:t>Environment-specific Entra API, client, role and assignment configuration.</w:t>
            </w:r>
          </w:p>
        </w:tc>
      </w:tr>
      <w:tr>
        <w:trPr>
          <w:cantSplit/>
        </w:trPr>
        <w:tc>
          <w:tcPr>
            <w:tcW w:type="dxa" w:w="28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examples/enterprise_mcp_platform/infra</w:t>
            </w:r>
          </w:p>
        </w:tc>
        <w:tc>
          <w:tcPr>
            <w:tcW w:type="dxa" w:w="6560"/>
            <w:vAlign w:val="center"/>
            <w:tcMar>
              <w:top w:w="80" w:type="dxa"/>
              <w:start w:w="120" w:type="dxa"/>
              <w:bottom w:w="80" w:type="dxa"/>
              <w:end w:w="120" w:type="dxa"/>
            </w:tcMar>
          </w:tcPr>
          <w:p>
            <w:pPr>
              <w:spacing w:after="0" w:line="252" w:lineRule="auto"/>
              <w:jc w:val="left"/>
            </w:pPr>
            <w:r>
              <w:rPr>
                <w:rFonts w:ascii="Calibri" w:hAnsi="Calibri"/>
                <w:color w:val="17324D"/>
                <w:sz w:val="18"/>
              </w:rPr>
              <w:t>Shared Terraform root for Gateway, Runtime targets, IAM and direct Cedar; consumes central platform account and Runtime network inputs.</w:t>
            </w:r>
          </w:p>
        </w:tc>
      </w:tr>
      <w:tr>
        <w:trPr>
          <w:cantSplit/>
        </w:trPr>
        <w:tc>
          <w:tcPr>
            <w:tcW w:type="dxa" w:w="28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examples/enterprise_mcp_platform/pipelines/azure-devops</w:t>
            </w:r>
          </w:p>
        </w:tc>
        <w:tc>
          <w:tcPr>
            <w:tcW w:type="dxa" w:w="6560"/>
            <w:vAlign w:val="center"/>
            <w:tcMar>
              <w:top w:w="80" w:type="dxa"/>
              <w:start w:w="120" w:type="dxa"/>
              <w:bottom w:w="80" w:type="dxa"/>
              <w:end w:w="120" w:type="dxa"/>
            </w:tcMar>
          </w:tcPr>
          <w:p>
            <w:pPr>
              <w:spacing w:after="0" w:line="252" w:lineRule="auto"/>
              <w:jc w:val="left"/>
            </w:pPr>
            <w:r>
              <w:rPr>
                <w:rFonts w:ascii="Calibri" w:hAnsi="Calibri"/>
                <w:color w:val="17324D"/>
                <w:sz w:val="18"/>
              </w:rPr>
              <w:t>MCP server and policy validation pipeline examples.</w:t>
            </w:r>
          </w:p>
        </w:tc>
      </w:tr>
      <w:tr>
        <w:trPr>
          <w:cantSplit/>
        </w:trPr>
        <w:tc>
          <w:tcPr>
            <w:tcW w:type="dxa" w:w="28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docs/architecture</w:t>
            </w:r>
          </w:p>
        </w:tc>
        <w:tc>
          <w:tcPr>
            <w:tcW w:type="dxa" w:w="6560"/>
            <w:vAlign w:val="center"/>
            <w:tcMar>
              <w:top w:w="80" w:type="dxa"/>
              <w:start w:w="120" w:type="dxa"/>
              <w:bottom w:w="80" w:type="dxa"/>
              <w:end w:w="120" w:type="dxa"/>
            </w:tcMar>
          </w:tcPr>
          <w:p>
            <w:pPr>
              <w:spacing w:after="0" w:line="252" w:lineRule="auto"/>
              <w:jc w:val="left"/>
            </w:pPr>
            <w:r>
              <w:rPr>
                <w:rFonts w:ascii="Calibri" w:hAnsi="Calibri"/>
                <w:color w:val="17324D"/>
                <w:sz w:val="18"/>
              </w:rPr>
              <w:t>Architecture diagrams, sequences and this generated developer guide.</w:t>
            </w:r>
          </w:p>
        </w:tc>
      </w:tr>
      <w:tr>
        <w:trPr>
          <w:cantSplit/>
        </w:trPr>
        <w:tc>
          <w:tcPr>
            <w:tcW w:type="dxa" w:w="2800"/>
            <w:vAlign w:val="center"/>
            <w:tcMar>
              <w:top w:w="80" w:type="dxa"/>
              <w:start w:w="120" w:type="dxa"/>
              <w:bottom w:w="80" w:type="dxa"/>
              <w:end w:w="120" w:type="dxa"/>
            </w:tcMar>
          </w:tcPr>
          <w:p>
            <w:pPr>
              <w:spacing w:after="0" w:line="252" w:lineRule="auto"/>
              <w:jc w:val="center"/>
            </w:pPr>
            <w:r>
              <w:rPr>
                <w:rFonts w:ascii="Courier New" w:hAnsi="Courier New"/>
                <w:color w:val="1F4D78"/>
                <w:sz w:val="17"/>
                <w:shd w:fill="EAF2F8"/>
              </w:rPr>
              <w:t>docs/adr</w:t>
            </w:r>
          </w:p>
        </w:tc>
        <w:tc>
          <w:tcPr>
            <w:tcW w:type="dxa" w:w="6560"/>
            <w:vAlign w:val="center"/>
            <w:tcMar>
              <w:top w:w="80" w:type="dxa"/>
              <w:start w:w="120" w:type="dxa"/>
              <w:bottom w:w="80" w:type="dxa"/>
              <w:end w:w="120" w:type="dxa"/>
            </w:tcMar>
          </w:tcPr>
          <w:p>
            <w:pPr>
              <w:spacing w:after="0" w:line="252" w:lineRule="auto"/>
              <w:jc w:val="left"/>
            </w:pPr>
            <w:r>
              <w:rPr>
                <w:rFonts w:ascii="Calibri" w:hAnsi="Calibri"/>
                <w:color w:val="17324D"/>
                <w:sz w:val="18"/>
              </w:rPr>
              <w:t>Durable architecture decisions and their history.</w:t>
            </w:r>
          </w:p>
        </w:tc>
      </w:tr>
    </w:tbl>
    <w:p>
      <w:pPr>
        <w:spacing w:after="40"/>
      </w:pPr>
    </w:p>
    <w:p>
      <w:r>
        <w:rPr>
          <w:rFonts w:ascii="Calibri" w:hAnsi="Calibri"/>
          <w:color w:val="17324D"/>
          <w:sz w:val="22"/>
        </w:rPr>
        <w:t xml:space="preserve">Start with </w:t>
      </w:r>
      <w:r>
        <w:rPr>
          <w:rFonts w:ascii="Courier New" w:hAnsi="Courier New"/>
          <w:color w:val="1F4D78"/>
          <w:sz w:val="20"/>
          <w:shd w:fill="EAF2F8"/>
        </w:rPr>
        <w:t>examples/enterprise_mcp_platform/README.md</w:t>
      </w:r>
      <w:r>
        <w:rPr>
          <w:rFonts w:ascii="Calibri" w:hAnsi="Calibri"/>
          <w:color w:val="17324D"/>
          <w:sz w:val="22"/>
        </w:rPr>
        <w:t xml:space="preserve"> for local commands. Use the ADRs for decision history and </w:t>
      </w:r>
      <w:r>
        <w:rPr>
          <w:rFonts w:ascii="Courier New" w:hAnsi="Courier New"/>
          <w:color w:val="1F4D78"/>
          <w:sz w:val="20"/>
          <w:shd w:fill="EAF2F8"/>
        </w:rPr>
        <w:t>IN_PROGRESS.md</w:t>
      </w:r>
      <w:r>
        <w:rPr>
          <w:rFonts w:ascii="Calibri" w:hAnsi="Calibri"/>
          <w:color w:val="17324D"/>
          <w:sz w:val="22"/>
        </w:rPr>
        <w:t xml:space="preserve"> for work that is not yet complete.</w:t>
      </w:r>
    </w:p>
    <w:p>
      <w:pPr>
        <w:pStyle w:val="Heading1"/>
      </w:pPr>
      <w:r>
        <w:t>3. Developer workflow</w:t>
      </w:r>
    </w:p>
    <w:p>
      <w:pPr>
        <w:pStyle w:val="Heading2"/>
      </w:pPr>
      <w:r>
        <w:t>3.1 Run the SharePoint server locally</w:t>
      </w:r>
    </w:p>
    <w:p>
      <w:r>
        <w:rPr>
          <w:rFonts w:ascii="Calibri" w:hAnsi="Calibri"/>
          <w:color w:val="17324D"/>
          <w:sz w:val="22"/>
        </w:rPr>
        <w:t>Use dry-run mode while developing tool contracts and authorization behaviour. From the repository root:</w:t>
      </w:r>
    </w:p>
    <w:tbl>
      <w:tblPr>
        <w:tblW w:type="dxa" w:w="9360"/>
        <w:tblLayout w:type="fixed"/>
        <w:tblLook w:firstColumn="1" w:firstRow="1" w:lastColumn="0" w:lastRow="0" w:noHBand="0" w:noVBand="1" w:val="04A0"/>
        <w:tblInd w:w="120" w:type="dxa"/>
        <w:tblLayout w:type="fixed"/>
      </w:tblPr>
      <w:tblGrid>
        <w:gridCol w:w="9360"/>
      </w:tblGrid>
      <w:tr>
        <w:trPr>
          <w:cantSplit/>
        </w:trPr>
        <w:tc>
          <w:tcPr>
            <w:tcW w:type="dxa" w:w="9360"/>
            <w:vAlign w:val="center"/>
            <w:tcMar>
              <w:top w:w="80" w:type="dxa"/>
              <w:start w:w="120" w:type="dxa"/>
              <w:bottom w:w="80" w:type="dxa"/>
              <w:end w:w="120" w:type="dxa"/>
            </w:tcMar>
            <w:shd w:fill="F6F8FA"/>
          </w:tcPr>
          <w:p>
            <w:pPr>
              <w:spacing w:after="0" w:line="240" w:lineRule="auto"/>
            </w:pPr>
            <w:r>
              <w:rPr>
                <w:rFonts w:ascii="Courier New" w:hAnsi="Courier New"/>
                <w:color w:val="17324D"/>
                <w:sz w:val="17"/>
              </w:rPr>
              <w:t>cd examples/enterprise_mcp_platform</w:t>
              <w:br/>
              <w:t>python -m venv .venv</w:t>
              <w:br/>
              <w:t>. .venv/bin/activate</w:t>
              <w:br/>
              <w:t>pip install -r requirements.txt</w:t>
              <w:br/>
              <w:t>export GRAPH_DRY_RUN=true</w:t>
              <w:br/>
              <w:t>python -m servers.sharepoint_mcp.src.server</w:t>
            </w:r>
          </w:p>
        </w:tc>
      </w:tr>
    </w:tbl>
    <w:p>
      <w:pPr>
        <w:spacing w:after="40"/>
      </w:pPr>
    </w:p>
    <w:p>
      <w:r>
        <w:rPr>
          <w:rFonts w:ascii="Calibri" w:hAnsi="Calibri"/>
          <w:color w:val="17324D"/>
          <w:sz w:val="22"/>
        </w:rPr>
        <w:t xml:space="preserve">In another terminal, activate the same environment and run </w:t>
      </w:r>
      <w:r>
        <w:rPr>
          <w:rFonts w:ascii="Courier New" w:hAnsi="Courier New"/>
          <w:color w:val="1F4D78"/>
          <w:sz w:val="20"/>
          <w:shd w:fill="EAF2F8"/>
        </w:rPr>
        <w:t>python clients/local_client.py</w:t>
      </w:r>
      <w:r>
        <w:rPr>
          <w:rFonts w:ascii="Calibri" w:hAnsi="Calibri"/>
          <w:color w:val="17324D"/>
          <w:sz w:val="22"/>
        </w:rPr>
        <w:t>.</w:t>
      </w:r>
    </w:p>
    <w:p>
      <w:pPr>
        <w:pStyle w:val="Heading2"/>
      </w:pPr>
      <w:r>
        <w:t>3.2 Review and validate policy changes</w:t>
      </w:r>
    </w:p>
    <w:p>
      <w:r>
        <w:rPr>
          <w:rFonts w:ascii="Calibri" w:hAnsi="Calibri"/>
          <w:color w:val="17324D"/>
          <w:sz w:val="22"/>
        </w:rPr>
        <w:t>Edit the Cedar statements directly:</w:t>
      </w:r>
    </w:p>
    <w:tbl>
      <w:tblPr>
        <w:tblW w:type="dxa" w:w="9360"/>
        <w:tblLayout w:type="fixed"/>
        <w:tblLook w:firstColumn="1" w:firstRow="1" w:lastColumn="0" w:lastRow="0" w:noHBand="0" w:noVBand="1" w:val="04A0"/>
        <w:tblInd w:w="120" w:type="dxa"/>
        <w:tblLayout w:type="fixed"/>
      </w:tblPr>
      <w:tblGrid>
        <w:gridCol w:w="9360"/>
      </w:tblGrid>
      <w:tr>
        <w:trPr>
          <w:cantSplit/>
        </w:trPr>
        <w:tc>
          <w:tcPr>
            <w:tcW w:type="dxa" w:w="9360"/>
            <w:vAlign w:val="center"/>
            <w:tcMar>
              <w:top w:w="80" w:type="dxa"/>
              <w:start w:w="120" w:type="dxa"/>
              <w:bottom w:w="80" w:type="dxa"/>
              <w:end w:w="120" w:type="dxa"/>
            </w:tcMar>
            <w:shd w:fill="F6F8FA"/>
          </w:tcPr>
          <w:p>
            <w:pPr>
              <w:spacing w:after="0" w:line="240" w:lineRule="auto"/>
            </w:pPr>
            <w:r>
              <w:rPr>
                <w:rFonts w:ascii="Courier New" w:hAnsi="Courier New"/>
                <w:color w:val="17324D"/>
                <w:sz w:val="17"/>
              </w:rPr>
              <w:t>examples/enterprise_mcp_platform/policy/cedar/sharepoint-delegated.cedar</w:t>
              <w:br/>
              <w:t>examples/enterprise_mcp_platform/policy/cedar/sharepoint-application.cedar</w:t>
            </w:r>
          </w:p>
        </w:tc>
      </w:tr>
    </w:tbl>
    <w:p>
      <w:pPr>
        <w:spacing w:after="40"/>
      </w:pPr>
    </w:p>
    <w:p>
      <w:r>
        <w:rPr>
          <w:rFonts w:ascii="Calibri" w:hAnsi="Calibri"/>
          <w:color w:val="17324D"/>
          <w:sz w:val="22"/>
        </w:rPr>
        <w:t xml:space="preserve">There is no generated Runtime policy. AgentCore policy create/update with </w:t>
      </w:r>
      <w:r>
        <w:rPr>
          <w:rFonts w:ascii="Courier New" w:hAnsi="Courier New"/>
          <w:color w:val="1F4D78"/>
          <w:sz w:val="20"/>
          <w:shd w:fill="EAF2F8"/>
        </w:rPr>
        <w:t>FAIL_ON_ANY_FINDINGS</w:t>
      </w:r>
      <w:r>
        <w:rPr>
          <w:rFonts w:ascii="Calibri" w:hAnsi="Calibri"/>
          <w:color w:val="17324D"/>
          <w:sz w:val="22"/>
        </w:rPr>
        <w:t xml:space="preserve"> validates Cedar against the live Gateway schema. Test positive and negative calls in non-production before moving from </w:t>
      </w:r>
      <w:r>
        <w:rPr>
          <w:rFonts w:ascii="Courier New" w:hAnsi="Courier New"/>
          <w:color w:val="1F4D78"/>
          <w:sz w:val="20"/>
          <w:shd w:fill="EAF2F8"/>
        </w:rPr>
        <w:t>LOG_ONLY</w:t>
      </w:r>
      <w:r>
        <w:rPr>
          <w:rFonts w:ascii="Calibri" w:hAnsi="Calibri"/>
          <w:color w:val="17324D"/>
          <w:sz w:val="22"/>
        </w:rPr>
        <w:t xml:space="preserve"> to </w:t>
      </w:r>
      <w:r>
        <w:rPr>
          <w:rFonts w:ascii="Courier New" w:hAnsi="Courier New"/>
          <w:color w:val="1F4D78"/>
          <w:sz w:val="20"/>
          <w:shd w:fill="EAF2F8"/>
        </w:rPr>
        <w:t>ENFORCE</w:t>
      </w:r>
      <w:r>
        <w:rPr>
          <w:rFonts w:ascii="Calibri" w:hAnsi="Calibri"/>
          <w:color w:val="17324D"/>
          <w:sz w:val="22"/>
        </w:rPr>
        <w:t>.</w:t>
      </w:r>
    </w:p>
    <w:p>
      <w:pPr>
        <w:pStyle w:val="Heading2"/>
      </w:pPr>
      <w:r>
        <w:t>3.3 Acquire an employee delegated token for Claude Code on Windows</w:t>
      </w:r>
    </w:p>
    <w:p>
      <w:r>
        <w:rPr>
          <w:rFonts w:ascii="Calibri" w:hAnsi="Calibri"/>
          <w:color w:val="17324D"/>
          <w:sz w:val="22"/>
        </w:rPr>
        <w:t>Use the delegated Entra helper for developer validation. Do not store the returned token in source control or static configuration.</w:t>
      </w:r>
    </w:p>
    <w:tbl>
      <w:tblPr>
        <w:tblW w:type="dxa" w:w="9360"/>
        <w:tblLayout w:type="fixed"/>
        <w:tblLook w:firstColumn="1" w:firstRow="1" w:lastColumn="0" w:lastRow="0" w:noHBand="0" w:noVBand="1" w:val="04A0"/>
        <w:tblInd w:w="120" w:type="dxa"/>
        <w:tblLayout w:type="fixed"/>
      </w:tblPr>
      <w:tblGrid>
        <w:gridCol w:w="9360"/>
      </w:tblGrid>
      <w:tr>
        <w:trPr>
          <w:cantSplit/>
        </w:trPr>
        <w:tc>
          <w:tcPr>
            <w:tcW w:type="dxa" w:w="9360"/>
            <w:vAlign w:val="center"/>
            <w:tcMar>
              <w:top w:w="80" w:type="dxa"/>
              <w:start w:w="120" w:type="dxa"/>
              <w:bottom w:w="80" w:type="dxa"/>
              <w:end w:w="120" w:type="dxa"/>
            </w:tcMar>
            <w:shd w:fill="F6F8FA"/>
          </w:tcPr>
          <w:p>
            <w:pPr>
              <w:spacing w:after="0" w:line="240" w:lineRule="auto"/>
            </w:pPr>
            <w:r>
              <w:rPr>
                <w:rFonts w:ascii="Courier New" w:hAnsi="Courier New"/>
                <w:color w:val="17324D"/>
                <w:sz w:val="17"/>
              </w:rPr>
              <w:t>Set-Location examples/enterprise_mcp_platform</w:t>
              <w:br/>
              <w:t>$env:ENTRA_TENANT_ID = "&lt;tenant-id&gt;"</w:t>
              <w:br/>
              <w:t>$env:ENTRA_CLIENT_ID = "&lt;interactive-mcp-public-client-id&gt;"</w:t>
              <w:br/>
              <w:t>$env:ENTRA_MCP_AUDIENCE = "api://enterprise-mcp-nonprod"</w:t>
              <w:br/>
              <w:t>$env:ENTRA_ACCESS_TOKEN = &amp; .\clients\entra_token_helper.ps1 delegated</w:t>
            </w:r>
          </w:p>
        </w:tc>
      </w:tr>
    </w:tbl>
    <w:p>
      <w:pPr>
        <w:spacing w:after="40"/>
      </w:pPr>
    </w:p>
    <w:p>
      <w:r>
        <w:rPr>
          <w:rFonts w:ascii="Calibri" w:hAnsi="Calibri"/>
          <w:color w:val="17324D"/>
          <w:sz w:val="22"/>
        </w:rPr>
        <w:t xml:space="preserve">Claude Code sends this token to the Gateway as </w:t>
      </w:r>
      <w:r>
        <w:rPr>
          <w:rFonts w:ascii="Courier New" w:hAnsi="Courier New"/>
          <w:color w:val="1F4D78"/>
          <w:sz w:val="20"/>
          <w:shd w:fill="EAF2F8"/>
        </w:rPr>
        <w:t>Authorization: Bearer &lt;Entra JWT&gt;</w:t>
      </w:r>
      <w:r>
        <w:rPr>
          <w:rFonts w:ascii="Calibri" w:hAnsi="Calibri"/>
          <w:color w:val="17324D"/>
          <w:sz w:val="22"/>
        </w:rPr>
        <w:t>. Do not SigV4-sign the caller request; AWS IAM is used for Gateway-to-Runtime and other AWS-side service actions.</w:t>
      </w:r>
    </w:p>
    <w:p>
      <w:pPr>
        <w:pStyle w:val="Heading1"/>
      </w:pPr>
      <w:r>
        <w:t>4. Design principles</w:t>
      </w:r>
    </w:p>
    <w:p>
      <w:pPr>
        <w:spacing w:after="80" w:line="300" w:lineRule="auto"/>
        <w:numPr>
          <w:ilvl w:val="0"/>
          <w:numId w:val="10"/>
        </w:numPr>
      </w:pPr>
      <w:r>
        <w:rPr>
          <w:rFonts w:ascii="Calibri" w:hAnsi="Calibri"/>
          <w:b/>
          <w:color w:val="17324D"/>
          <w:sz w:val="22"/>
        </w:rPr>
        <w:t>One governed entry point.</w:t>
      </w:r>
      <w:r>
        <w:rPr>
          <w:rFonts w:ascii="Calibri" w:hAnsi="Calibri"/>
          <w:color w:val="17324D"/>
          <w:sz w:val="22"/>
        </w:rPr>
        <w:t xml:space="preserve"> Clients connect to one AgentCore Gateway URL rather than directly to individual MCP servers.</w:t>
      </w:r>
    </w:p>
    <w:p>
      <w:pPr>
        <w:spacing w:after="80" w:line="300" w:lineRule="auto"/>
        <w:numPr>
          <w:ilvl w:val="0"/>
          <w:numId w:val="10"/>
        </w:numPr>
      </w:pPr>
      <w:r>
        <w:rPr>
          <w:rFonts w:ascii="Calibri" w:hAnsi="Calibri"/>
          <w:b/>
          <w:color w:val="17324D"/>
          <w:sz w:val="22"/>
        </w:rPr>
        <w:t>Target by operating model.</w:t>
      </w:r>
      <w:r>
        <w:rPr>
          <w:rFonts w:ascii="Calibri" w:hAnsi="Calibri"/>
          <w:color w:val="17324D"/>
          <w:sz w:val="22"/>
        </w:rPr>
        <w:t xml:space="preserve"> Vendor-operated remote MCP endpoints can be direct Gateway targets; enterprise-hosted processes and platform-owned integrations use reviewed Runtime/target deployments.</w:t>
      </w:r>
    </w:p>
    <w:p>
      <w:pPr>
        <w:spacing w:after="80" w:line="300" w:lineRule="auto"/>
        <w:numPr>
          <w:ilvl w:val="0"/>
          <w:numId w:val="10"/>
        </w:numPr>
      </w:pPr>
      <w:r>
        <w:rPr>
          <w:rFonts w:ascii="Calibri" w:hAnsi="Calibri"/>
          <w:b/>
          <w:color w:val="17324D"/>
          <w:sz w:val="22"/>
        </w:rPr>
        <w:t>Identity separation.</w:t>
      </w:r>
      <w:r>
        <w:rPr>
          <w:rFonts w:ascii="Calibri" w:hAnsi="Calibri"/>
          <w:color w:val="17324D"/>
          <w:sz w:val="22"/>
        </w:rPr>
        <w:t xml:space="preserve"> Entra identifies the MCP caller; AWS IAM authorizes AWS service actions; a separate downstream credential authorizes Microsoft Graph.</w:t>
      </w:r>
    </w:p>
    <w:p>
      <w:pPr>
        <w:spacing w:after="80" w:line="300" w:lineRule="auto"/>
        <w:numPr>
          <w:ilvl w:val="0"/>
          <w:numId w:val="10"/>
        </w:numPr>
      </w:pPr>
      <w:r>
        <w:rPr>
          <w:rFonts w:ascii="Calibri" w:hAnsi="Calibri"/>
          <w:b/>
          <w:color w:val="17324D"/>
          <w:sz w:val="22"/>
        </w:rPr>
        <w:t>Deny by default.</w:t>
      </w:r>
      <w:r>
        <w:rPr>
          <w:rFonts w:ascii="Calibri" w:hAnsi="Calibri"/>
          <w:color w:val="17324D"/>
          <w:sz w:val="22"/>
        </w:rPr>
        <w:t xml:space="preserve"> Cedar explicitly allows caller/tool capabilities; SharePoint explicitly allows employee ACLs or application site grants.</w:t>
      </w:r>
    </w:p>
    <w:p>
      <w:pPr>
        <w:spacing w:after="80" w:line="300" w:lineRule="auto"/>
        <w:numPr>
          <w:ilvl w:val="0"/>
          <w:numId w:val="10"/>
        </w:numPr>
      </w:pPr>
      <w:r>
        <w:rPr>
          <w:rFonts w:ascii="Calibri" w:hAnsi="Calibri"/>
          <w:b/>
          <w:color w:val="17324D"/>
          <w:sz w:val="22"/>
        </w:rPr>
        <w:t>Narrow tools.</w:t>
      </w:r>
      <w:r>
        <w:rPr>
          <w:rFonts w:ascii="Calibri" w:hAnsi="Calibri"/>
          <w:color w:val="17324D"/>
          <w:sz w:val="22"/>
        </w:rPr>
        <w:t xml:space="preserve"> Tools express approved business operations, not generic transport or code execution.</w:t>
      </w:r>
    </w:p>
    <w:p>
      <w:pPr>
        <w:spacing w:after="80" w:line="300" w:lineRule="auto"/>
        <w:numPr>
          <w:ilvl w:val="0"/>
          <w:numId w:val="10"/>
        </w:numPr>
      </w:pPr>
      <w:r>
        <w:rPr>
          <w:rFonts w:ascii="Calibri" w:hAnsi="Calibri"/>
          <w:b/>
          <w:color w:val="17324D"/>
          <w:sz w:val="22"/>
        </w:rPr>
        <w:t>Controls outside the model.</w:t>
      </w:r>
      <w:r>
        <w:rPr>
          <w:rFonts w:ascii="Calibri" w:hAnsi="Calibri"/>
          <w:color w:val="17324D"/>
          <w:sz w:val="22"/>
        </w:rPr>
        <w:t xml:space="preserve"> Deterministic policy and runtime validation, not model instructions, enforce access.</w:t>
      </w:r>
    </w:p>
    <w:p>
      <w:pPr>
        <w:spacing w:after="80" w:line="300" w:lineRule="auto"/>
        <w:numPr>
          <w:ilvl w:val="0"/>
          <w:numId w:val="10"/>
        </w:numPr>
      </w:pPr>
      <w:r>
        <w:rPr>
          <w:rFonts w:ascii="Calibri" w:hAnsi="Calibri"/>
          <w:b/>
          <w:color w:val="17324D"/>
          <w:sz w:val="22"/>
        </w:rPr>
        <w:t>No direct Runtime bypass.</w:t>
      </w:r>
      <w:r>
        <w:rPr>
          <w:rFonts w:ascii="Calibri" w:hAnsi="Calibri"/>
          <w:color w:val="17324D"/>
          <w:sz w:val="22"/>
        </w:rPr>
        <w:t xml:space="preserve"> Runtime resource policy permits invocation only by the Gateway role.</w:t>
      </w:r>
    </w:p>
    <w:p>
      <w:pPr>
        <w:spacing w:after="80" w:line="300" w:lineRule="auto"/>
        <w:numPr>
          <w:ilvl w:val="0"/>
          <w:numId w:val="10"/>
        </w:numPr>
      </w:pPr>
      <w:r>
        <w:rPr>
          <w:rFonts w:ascii="Calibri" w:hAnsi="Calibri"/>
          <w:b/>
          <w:color w:val="17324D"/>
          <w:sz w:val="22"/>
        </w:rPr>
        <w:t>Private where supported.</w:t>
      </w:r>
      <w:r>
        <w:rPr>
          <w:rFonts w:ascii="Calibri" w:hAnsi="Calibri"/>
          <w:color w:val="17324D"/>
          <w:sz w:val="22"/>
        </w:rPr>
        <w:t xml:space="preserve"> VPC callers use the external network/platform account's AgentCore Gateway interface endpoint and private DNS; network location supplements but does not replace identity.</w:t>
      </w:r>
    </w:p>
    <w:p>
      <w:pPr>
        <w:spacing w:after="80" w:line="300" w:lineRule="auto"/>
        <w:numPr>
          <w:ilvl w:val="0"/>
          <w:numId w:val="10"/>
        </w:numPr>
      </w:pPr>
      <w:r>
        <w:rPr>
          <w:rFonts w:ascii="Calibri" w:hAnsi="Calibri"/>
          <w:b/>
          <w:color w:val="17324D"/>
          <w:sz w:val="22"/>
        </w:rPr>
        <w:t>No secrets or sensitive content in logs.</w:t>
      </w:r>
      <w:r>
        <w:rPr>
          <w:rFonts w:ascii="Calibri" w:hAnsi="Calibri"/>
          <w:color w:val="17324D"/>
          <w:sz w:val="22"/>
        </w:rPr>
        <w:t xml:space="preserve"> Audit metadata is recorded without bearer tokens, credentials or full documents.</w:t>
      </w:r>
    </w:p>
    <w:p>
      <w:pPr>
        <w:spacing w:after="80" w:line="300" w:lineRule="auto"/>
        <w:numPr>
          <w:ilvl w:val="0"/>
          <w:numId w:val="10"/>
        </w:numPr>
      </w:pPr>
      <w:r>
        <w:rPr>
          <w:rFonts w:ascii="Calibri" w:hAnsi="Calibri"/>
          <w:b/>
          <w:color w:val="17324D"/>
          <w:sz w:val="22"/>
        </w:rPr>
        <w:t>Validate before promotion.</w:t>
      </w:r>
      <w:r>
        <w:rPr>
          <w:rFonts w:ascii="Calibri" w:hAnsi="Calibri"/>
          <w:color w:val="17324D"/>
          <w:sz w:val="22"/>
        </w:rPr>
        <w:t xml:space="preserve"> A change moves forward only after its code, policy, infrastructure and operational checks pass.</w:t>
      </w:r>
    </w:p>
    <w:p>
      <w:pPr>
        <w:pStyle w:val="Heading1"/>
      </w:pPr>
      <w:r>
        <w:t>5. Implementation status</w:t>
      </w:r>
    </w:p>
    <w:p>
      <w:r>
        <w:rPr>
          <w:rFonts w:ascii="Calibri" w:hAnsi="Calibri"/>
          <w:color w:val="17324D"/>
          <w:sz w:val="22"/>
        </w:rPr>
        <w:t>The repository is a planning and proof-of-concept workspace. The following maturity terms are used throughout this document:</w:t>
      </w:r>
    </w:p>
    <w:p>
      <w:pPr>
        <w:spacing w:after="80" w:line="300" w:lineRule="auto"/>
        <w:numPr>
          <w:ilvl w:val="0"/>
          <w:numId w:val="11"/>
        </w:numPr>
      </w:pPr>
      <w:r>
        <w:rPr>
          <w:rFonts w:ascii="Calibri" w:hAnsi="Calibri"/>
          <w:b/>
          <w:color w:val="17324D"/>
          <w:sz w:val="22"/>
        </w:rPr>
        <w:t>Decided:</w:t>
      </w:r>
      <w:r>
        <w:rPr>
          <w:rFonts w:ascii="Calibri" w:hAnsi="Calibri"/>
          <w:color w:val="17324D"/>
          <w:sz w:val="22"/>
        </w:rPr>
        <w:t xml:space="preserve"> captured in an accepted or PoC-validation ADR.</w:t>
      </w:r>
    </w:p>
    <w:p>
      <w:pPr>
        <w:spacing w:after="80" w:line="300" w:lineRule="auto"/>
        <w:numPr>
          <w:ilvl w:val="0"/>
          <w:numId w:val="11"/>
        </w:numPr>
      </w:pPr>
      <w:r>
        <w:rPr>
          <w:rFonts w:ascii="Calibri" w:hAnsi="Calibri"/>
          <w:b/>
          <w:color w:val="17324D"/>
          <w:sz w:val="22"/>
        </w:rPr>
        <w:t>Example implemented:</w:t>
      </w:r>
      <w:r>
        <w:rPr>
          <w:rFonts w:ascii="Calibri" w:hAnsi="Calibri"/>
          <w:color w:val="17324D"/>
          <w:sz w:val="22"/>
        </w:rPr>
        <w:t xml:space="preserve"> representative code or Terraform exists but has not necessarily run in the target environment.</w:t>
      </w:r>
    </w:p>
    <w:p>
      <w:pPr>
        <w:spacing w:after="80" w:line="300" w:lineRule="auto"/>
        <w:numPr>
          <w:ilvl w:val="0"/>
          <w:numId w:val="11"/>
        </w:numPr>
      </w:pPr>
      <w:r>
        <w:rPr>
          <w:rFonts w:ascii="Calibri" w:hAnsi="Calibri"/>
          <w:b/>
          <w:color w:val="17324D"/>
          <w:sz w:val="22"/>
        </w:rPr>
        <w:t>Validation required:</w:t>
      </w:r>
      <w:r>
        <w:rPr>
          <w:rFonts w:ascii="Calibri" w:hAnsi="Calibri"/>
          <w:color w:val="17324D"/>
          <w:sz w:val="22"/>
        </w:rPr>
        <w:t xml:space="preserve"> behaviour must be demonstrated with evidence before production.</w:t>
      </w:r>
    </w:p>
    <w:p>
      <w:pPr>
        <w:spacing w:after="80" w:line="300" w:lineRule="auto"/>
        <w:numPr>
          <w:ilvl w:val="0"/>
          <w:numId w:val="11"/>
        </w:numPr>
      </w:pPr>
      <w:r>
        <w:rPr>
          <w:rFonts w:ascii="Calibri" w:hAnsi="Calibri"/>
          <w:b/>
          <w:color w:val="17324D"/>
          <w:sz w:val="22"/>
        </w:rPr>
        <w:t>Planned:</w:t>
      </w:r>
      <w:r>
        <w:rPr>
          <w:rFonts w:ascii="Calibri" w:hAnsi="Calibri"/>
          <w:color w:val="17324D"/>
          <w:sz w:val="22"/>
        </w:rPr>
        <w:t xml:space="preserve"> not implemented or enabled in the first slice.</w:t>
      </w:r>
    </w:p>
    <w:p>
      <w:pPr>
        <w:pStyle w:val="Heading2"/>
      </w:pPr>
      <w:r>
        <w:t>5.1 Status matrix</w:t>
      </w:r>
    </w:p>
    <w:tbl>
      <w:tblPr>
        <w:tblStyle w:val="TableGrid"/>
        <w:tblW w:type="dxa" w:w="9360"/>
        <w:tblLayout w:type="fixed"/>
        <w:tblLook w:firstColumn="1" w:firstRow="1" w:lastColumn="0" w:lastRow="0" w:noHBand="0" w:noVBand="1" w:val="04A0"/>
        <w:tblInd w:w="120" w:type="dxa"/>
        <w:tblLayout w:type="fixed"/>
        <w:tblInd w:w="120" w:type="dxa"/>
        <w:tblLayout w:type="fixed"/>
      </w:tblPr>
      <w:tblGrid>
        <w:gridCol w:w="1900"/>
        <w:gridCol w:w="2300"/>
        <w:gridCol w:w="5160"/>
      </w:tblGrid>
      <w:tr>
        <w:trPr>
          <w:cantSplit/>
          <w:tblHeader w:val="true"/>
        </w:trPr>
        <w:tc>
          <w:tcPr>
            <w:tcW w:type="dxa" w:w="1900"/>
            <w:vAlign w:val="center"/>
            <w:tcMar>
              <w:top w:w="40" w:type="dxa"/>
              <w:start w:w="120" w:type="dxa"/>
              <w:bottom w:w="40" w:type="dxa"/>
              <w:end w:w="120" w:type="dxa"/>
            </w:tcMar>
            <w:shd w:fill="E8EEF5"/>
          </w:tcPr>
          <w:p>
            <w:pPr>
              <w:spacing w:after="0"/>
              <w:jc w:val="center"/>
            </w:pPr>
            <w:r>
              <w:rPr>
                <w:rFonts w:ascii="Calibri" w:hAnsi="Calibri"/>
                <w:b/>
                <w:color w:val="17324D"/>
                <w:sz w:val="18"/>
              </w:rPr>
              <w:t>Area</w:t>
            </w:r>
          </w:p>
        </w:tc>
        <w:tc>
          <w:tcPr>
            <w:tcW w:type="dxa" w:w="2300"/>
            <w:vAlign w:val="center"/>
            <w:tcMar>
              <w:top w:w="40" w:type="dxa"/>
              <w:start w:w="120" w:type="dxa"/>
              <w:bottom w:w="40" w:type="dxa"/>
              <w:end w:w="120" w:type="dxa"/>
            </w:tcMar>
            <w:shd w:fill="E8EEF5"/>
          </w:tcPr>
          <w:p>
            <w:pPr>
              <w:spacing w:after="0"/>
              <w:jc w:val="center"/>
            </w:pPr>
            <w:r>
              <w:rPr>
                <w:rFonts w:ascii="Calibri" w:hAnsi="Calibri"/>
                <w:b/>
                <w:color w:val="17324D"/>
                <w:sz w:val="18"/>
              </w:rPr>
              <w:t>State</w:t>
            </w:r>
          </w:p>
        </w:tc>
        <w:tc>
          <w:tcPr>
            <w:tcW w:type="dxa" w:w="5160"/>
            <w:vAlign w:val="center"/>
            <w:tcMar>
              <w:top w:w="40" w:type="dxa"/>
              <w:start w:w="120" w:type="dxa"/>
              <w:bottom w:w="40" w:type="dxa"/>
              <w:end w:w="120" w:type="dxa"/>
            </w:tcMar>
            <w:shd w:fill="E8EEF5"/>
          </w:tcPr>
          <w:p>
            <w:pPr>
              <w:spacing w:after="0"/>
              <w:jc w:val="left"/>
            </w:pPr>
            <w:r>
              <w:rPr>
                <w:rFonts w:ascii="Calibri" w:hAnsi="Calibri"/>
                <w:b/>
                <w:color w:val="17324D"/>
                <w:sz w:val="18"/>
              </w:rPr>
              <w:t>Evidence or gap</w:t>
            </w:r>
          </w:p>
        </w:tc>
      </w:tr>
      <w:tr>
        <w:trPr>
          <w:cantSplit/>
        </w:trPr>
        <w:tc>
          <w:tcPr>
            <w:tcW w:type="dxa" w:w="1900"/>
            <w:vAlign w:val="center"/>
            <w:tcMar>
              <w:top w:w="40" w:type="dxa"/>
              <w:start w:w="120" w:type="dxa"/>
              <w:bottom w:w="40" w:type="dxa"/>
              <w:end w:w="120" w:type="dxa"/>
            </w:tcMar>
          </w:tcPr>
          <w:p>
            <w:pPr>
              <w:spacing w:after="0" w:line="240" w:lineRule="auto"/>
              <w:jc w:val="left"/>
            </w:pPr>
            <w:r>
              <w:rPr>
                <w:rFonts w:ascii="Calibri" w:hAnsi="Calibri"/>
                <w:color w:val="17324D"/>
                <w:sz w:val="17"/>
              </w:rPr>
              <w:t>Shared Gateway and separate Runtime architecture</w:t>
            </w:r>
          </w:p>
        </w:tc>
        <w:tc>
          <w:tcPr>
            <w:tcW w:type="dxa" w:w="2300"/>
            <w:vAlign w:val="center"/>
            <w:tcMar>
              <w:top w:w="40" w:type="dxa"/>
              <w:start w:w="120" w:type="dxa"/>
              <w:bottom w:w="40" w:type="dxa"/>
              <w:end w:w="120" w:type="dxa"/>
            </w:tcMar>
          </w:tcPr>
          <w:p>
            <w:pPr>
              <w:spacing w:after="0" w:line="240" w:lineRule="auto"/>
              <w:jc w:val="left"/>
            </w:pPr>
            <w:r>
              <w:rPr>
                <w:rFonts w:ascii="Calibri" w:hAnsi="Calibri"/>
                <w:color w:val="17324D"/>
                <w:sz w:val="17"/>
              </w:rPr>
              <w:t>Decided; example implemented</w:t>
            </w:r>
          </w:p>
        </w:tc>
        <w:tc>
          <w:tcPr>
            <w:tcW w:type="dxa" w:w="5160"/>
            <w:vAlign w:val="center"/>
            <w:tcMar>
              <w:top w:w="40" w:type="dxa"/>
              <w:start w:w="120" w:type="dxa"/>
              <w:bottom w:w="40" w:type="dxa"/>
              <w:end w:w="120" w:type="dxa"/>
            </w:tcMar>
          </w:tcPr>
          <w:p>
            <w:pPr>
              <w:spacing w:after="0" w:line="240" w:lineRule="auto"/>
              <w:jc w:val="left"/>
            </w:pPr>
            <w:r>
              <w:rPr>
                <w:rFonts w:ascii="Calibri" w:hAnsi="Calibri"/>
                <w:color w:val="17324D"/>
                <w:sz w:val="17"/>
              </w:rPr>
              <w:t>Terraform expands one SharePoint image into delegated and application Runtime/target lanes. Real target behaviour remains unvalidated.</w:t>
            </w:r>
          </w:p>
        </w:tc>
      </w:tr>
      <w:tr>
        <w:trPr>
          <w:cantSplit/>
        </w:trPr>
        <w:tc>
          <w:tcPr>
            <w:tcW w:type="dxa" w:w="1900"/>
            <w:vAlign w:val="center"/>
            <w:tcMar>
              <w:top w:w="40" w:type="dxa"/>
              <w:start w:w="120" w:type="dxa"/>
              <w:bottom w:w="40" w:type="dxa"/>
              <w:end w:w="120" w:type="dxa"/>
            </w:tcMar>
          </w:tcPr>
          <w:p>
            <w:pPr>
              <w:spacing w:after="0" w:line="240" w:lineRule="auto"/>
              <w:jc w:val="left"/>
            </w:pPr>
            <w:r>
              <w:rPr>
                <w:rFonts w:ascii="Calibri" w:hAnsi="Calibri"/>
                <w:color w:val="17324D"/>
                <w:sz w:val="17"/>
              </w:rPr>
              <w:t>Vendor documentation targets</w:t>
            </w:r>
          </w:p>
        </w:tc>
        <w:tc>
          <w:tcPr>
            <w:tcW w:type="dxa" w:w="2300"/>
            <w:vAlign w:val="center"/>
            <w:tcMar>
              <w:top w:w="40" w:type="dxa"/>
              <w:start w:w="120" w:type="dxa"/>
              <w:bottom w:w="40" w:type="dxa"/>
              <w:end w:w="120" w:type="dxa"/>
            </w:tcMar>
          </w:tcPr>
          <w:p>
            <w:pPr>
              <w:spacing w:after="0" w:line="240" w:lineRule="auto"/>
              <w:jc w:val="left"/>
            </w:pPr>
            <w:r>
              <w:rPr>
                <w:rFonts w:ascii="Calibri" w:hAnsi="Calibri"/>
                <w:color w:val="17324D"/>
                <w:sz w:val="17"/>
              </w:rPr>
              <w:t>Decided; validation required</w:t>
            </w:r>
          </w:p>
        </w:tc>
        <w:tc>
          <w:tcPr>
            <w:tcW w:type="dxa" w:w="5160"/>
            <w:vAlign w:val="center"/>
            <w:tcMar>
              <w:top w:w="40" w:type="dxa"/>
              <w:start w:w="120" w:type="dxa"/>
              <w:bottom w:w="40" w:type="dxa"/>
              <w:end w:w="120" w:type="dxa"/>
            </w:tcMar>
          </w:tcPr>
          <w:p>
            <w:pPr>
              <w:spacing w:after="0" w:line="240" w:lineRule="auto"/>
              <w:jc w:val="left"/>
            </w:pPr>
            <w:r>
              <w:rPr>
                <w:rFonts w:ascii="Calibri" w:hAnsi="Calibri"/>
                <w:color w:val="17324D"/>
                <w:sz w:val="17"/>
              </w:rPr>
              <w:t>ADR 0009 approves direct AWS Knowledge/Microsoft Learn targets and a Registry-only Terraform MCP Runtime. Target resources, Cedar actions and live calls are not implemented.</w:t>
            </w:r>
          </w:p>
        </w:tc>
      </w:tr>
      <w:tr>
        <w:trPr>
          <w:cantSplit/>
        </w:trPr>
        <w:tc>
          <w:tcPr>
            <w:tcW w:type="dxa" w:w="1900"/>
            <w:vAlign w:val="center"/>
            <w:tcMar>
              <w:top w:w="40" w:type="dxa"/>
              <w:start w:w="120" w:type="dxa"/>
              <w:bottom w:w="40" w:type="dxa"/>
              <w:end w:w="120" w:type="dxa"/>
            </w:tcMar>
          </w:tcPr>
          <w:p>
            <w:pPr>
              <w:spacing w:after="0" w:line="240" w:lineRule="auto"/>
              <w:jc w:val="center"/>
            </w:pPr>
            <w:r>
              <w:rPr>
                <w:rFonts w:ascii="Calibri" w:hAnsi="Calibri"/>
                <w:color w:val="17324D"/>
                <w:sz w:val="17"/>
              </w:rPr>
              <w:t>Inbound Entra JWT</w:t>
            </w:r>
          </w:p>
        </w:tc>
        <w:tc>
          <w:tcPr>
            <w:tcW w:type="dxa" w:w="2300"/>
            <w:vAlign w:val="center"/>
            <w:tcMar>
              <w:top w:w="40" w:type="dxa"/>
              <w:start w:w="120" w:type="dxa"/>
              <w:bottom w:w="40" w:type="dxa"/>
              <w:end w:w="120" w:type="dxa"/>
            </w:tcMar>
          </w:tcPr>
          <w:p>
            <w:pPr>
              <w:spacing w:after="0" w:line="240" w:lineRule="auto"/>
              <w:jc w:val="left"/>
            </w:pPr>
            <w:r>
              <w:rPr>
                <w:rFonts w:ascii="Calibri" w:hAnsi="Calibri"/>
                <w:color w:val="17324D"/>
                <w:sz w:val="17"/>
              </w:rPr>
              <w:t>Decided; example implemented</w:t>
            </w:r>
          </w:p>
        </w:tc>
        <w:tc>
          <w:tcPr>
            <w:tcW w:type="dxa" w:w="5160"/>
            <w:vAlign w:val="center"/>
            <w:tcMar>
              <w:top w:w="40" w:type="dxa"/>
              <w:start w:w="120" w:type="dxa"/>
              <w:bottom w:w="40" w:type="dxa"/>
              <w:end w:w="120" w:type="dxa"/>
            </w:tcMar>
          </w:tcPr>
          <w:p>
            <w:pPr>
              <w:spacing w:after="0" w:line="240" w:lineRule="auto"/>
              <w:jc w:val="left"/>
            </w:pPr>
            <w:r>
              <w:rPr>
                <w:rFonts w:ascii="Calibri" w:hAnsi="Calibri"/>
                <w:color w:val="17324D"/>
                <w:sz w:val="17"/>
              </w:rPr>
              <w:t xml:space="preserve">Gateway </w:t>
            </w:r>
            <w:r>
              <w:rPr>
                <w:rFonts w:ascii="Courier New" w:hAnsi="Courier New"/>
                <w:color w:val="1F4D78"/>
                <w:sz w:val="17"/>
                <w:shd w:fill="EAF2F8"/>
              </w:rPr>
              <w:t>CUSTOM_JWT</w:t>
            </w:r>
            <w:r>
              <w:rPr>
                <w:rFonts w:ascii="Calibri" w:hAnsi="Calibri"/>
                <w:color w:val="17324D"/>
                <w:sz w:val="17"/>
              </w:rPr>
              <w:t xml:space="preserve"> configuration and Entra Terraform exist. Enterprise-tenant deployment and token flows remain unvalidated.</w:t>
            </w:r>
          </w:p>
        </w:tc>
      </w:tr>
      <w:tr>
        <w:trPr>
          <w:cantSplit/>
        </w:trPr>
        <w:tc>
          <w:tcPr>
            <w:tcW w:type="dxa" w:w="1900"/>
            <w:vAlign w:val="center"/>
            <w:tcMar>
              <w:top w:w="40" w:type="dxa"/>
              <w:start w:w="120" w:type="dxa"/>
              <w:bottom w:w="40" w:type="dxa"/>
              <w:end w:w="120" w:type="dxa"/>
            </w:tcMar>
          </w:tcPr>
          <w:p>
            <w:pPr>
              <w:spacing w:after="0" w:line="240" w:lineRule="auto"/>
              <w:jc w:val="left"/>
            </w:pPr>
            <w:r>
              <w:rPr>
                <w:rFonts w:ascii="Calibri" w:hAnsi="Calibri"/>
                <w:color w:val="17324D"/>
                <w:sz w:val="17"/>
              </w:rPr>
              <w:t>AgentCore Identity</w:t>
            </w:r>
          </w:p>
        </w:tc>
        <w:tc>
          <w:tcPr>
            <w:tcW w:type="dxa" w:w="2300"/>
            <w:vAlign w:val="center"/>
            <w:tcMar>
              <w:top w:w="40" w:type="dxa"/>
              <w:start w:w="120" w:type="dxa"/>
              <w:bottom w:w="40" w:type="dxa"/>
              <w:end w:w="120" w:type="dxa"/>
            </w:tcMar>
          </w:tcPr>
          <w:p>
            <w:pPr>
              <w:spacing w:after="0" w:line="240" w:lineRule="auto"/>
              <w:jc w:val="center"/>
            </w:pPr>
            <w:r>
              <w:rPr>
                <w:rFonts w:ascii="Calibri" w:hAnsi="Calibri"/>
                <w:color w:val="17324D"/>
                <w:sz w:val="17"/>
              </w:rPr>
              <w:t>Clarified</w:t>
            </w:r>
          </w:p>
        </w:tc>
        <w:tc>
          <w:tcPr>
            <w:tcW w:type="dxa" w:w="5160"/>
            <w:vAlign w:val="center"/>
            <w:tcMar>
              <w:top w:w="40" w:type="dxa"/>
              <w:start w:w="120" w:type="dxa"/>
              <w:bottom w:w="40" w:type="dxa"/>
              <w:end w:w="120" w:type="dxa"/>
            </w:tcMar>
          </w:tcPr>
          <w:p>
            <w:pPr>
              <w:spacing w:after="0" w:line="240" w:lineRule="auto"/>
              <w:jc w:val="left"/>
            </w:pPr>
            <w:r>
              <w:rPr>
                <w:rFonts w:ascii="Calibri" w:hAnsi="Calibri"/>
                <w:color w:val="17324D"/>
                <w:sz w:val="17"/>
              </w:rPr>
              <w:t>Managed inbound JWT validation is used through Gateway. No outbound credential provider or token-vault workflow is proposed. Service-managed workload identities may be created automatically but are not granted credential-vending permissions.</w:t>
            </w:r>
          </w:p>
        </w:tc>
      </w:tr>
      <w:tr>
        <w:trPr>
          <w:cantSplit/>
        </w:trPr>
        <w:tc>
          <w:tcPr>
            <w:tcW w:type="dxa" w:w="1900"/>
            <w:vAlign w:val="center"/>
            <w:tcMar>
              <w:top w:w="40" w:type="dxa"/>
              <w:start w:w="120" w:type="dxa"/>
              <w:bottom w:w="40" w:type="dxa"/>
              <w:end w:w="120" w:type="dxa"/>
            </w:tcMar>
          </w:tcPr>
          <w:p>
            <w:pPr>
              <w:spacing w:after="0" w:line="240" w:lineRule="auto"/>
              <w:jc w:val="center"/>
            </w:pPr>
            <w:r>
              <w:rPr>
                <w:rFonts w:ascii="Calibri" w:hAnsi="Calibri"/>
                <w:color w:val="17324D"/>
                <w:sz w:val="17"/>
              </w:rPr>
              <w:t>Gateway policy</w:t>
            </w:r>
          </w:p>
        </w:tc>
        <w:tc>
          <w:tcPr>
            <w:tcW w:type="dxa" w:w="2300"/>
            <w:vAlign w:val="center"/>
            <w:tcMar>
              <w:top w:w="40" w:type="dxa"/>
              <w:start w:w="120" w:type="dxa"/>
              <w:bottom w:w="40" w:type="dxa"/>
              <w:end w:w="120" w:type="dxa"/>
            </w:tcMar>
          </w:tcPr>
          <w:p>
            <w:pPr>
              <w:spacing w:after="0" w:line="240" w:lineRule="auto"/>
              <w:jc w:val="left"/>
            </w:pPr>
            <w:r>
              <w:rPr>
                <w:rFonts w:ascii="Calibri" w:hAnsi="Calibri"/>
                <w:color w:val="17324D"/>
                <w:sz w:val="17"/>
              </w:rPr>
              <w:t>Direct source and Terraform implemented</w:t>
            </w:r>
          </w:p>
        </w:tc>
        <w:tc>
          <w:tcPr>
            <w:tcW w:type="dxa" w:w="5160"/>
            <w:vAlign w:val="center"/>
            <w:tcMar>
              <w:top w:w="40" w:type="dxa"/>
              <w:start w:w="120" w:type="dxa"/>
              <w:bottom w:w="40" w:type="dxa"/>
              <w:end w:w="120" w:type="dxa"/>
            </w:tcMar>
          </w:tcPr>
          <w:p>
            <w:pPr>
              <w:spacing w:after="0" w:line="240" w:lineRule="auto"/>
              <w:jc w:val="left"/>
            </w:pPr>
            <w:r>
              <w:rPr>
                <w:rFonts w:ascii="Calibri" w:hAnsi="Calibri"/>
                <w:color w:val="17324D"/>
                <w:sz w:val="17"/>
              </w:rPr>
              <w:t xml:space="preserve">Delegated and application Cedar files are wired to </w:t>
            </w:r>
            <w:r>
              <w:rPr>
                <w:rFonts w:ascii="Courier New" w:hAnsi="Courier New"/>
                <w:color w:val="1F4D78"/>
                <w:sz w:val="17"/>
                <w:shd w:fill="EAF2F8"/>
              </w:rPr>
              <w:t>aws_bedrockagentcore_policy</w:t>
            </w:r>
            <w:r>
              <w:rPr>
                <w:rFonts w:ascii="Calibri" w:hAnsi="Calibri"/>
                <w:color w:val="17324D"/>
                <w:sz w:val="17"/>
              </w:rPr>
              <w:t xml:space="preserve"> with </w:t>
            </w:r>
            <w:r>
              <w:rPr>
                <w:rFonts w:ascii="Courier New" w:hAnsi="Courier New"/>
                <w:color w:val="1F4D78"/>
                <w:sz w:val="17"/>
                <w:shd w:fill="EAF2F8"/>
              </w:rPr>
              <w:t>FAIL_ON_ANY_FINDINGS</w:t>
            </w:r>
            <w:r>
              <w:rPr>
                <w:rFonts w:ascii="Calibri" w:hAnsi="Calibri"/>
                <w:color w:val="17324D"/>
                <w:sz w:val="17"/>
              </w:rPr>
              <w:t xml:space="preserve">. Live-schema validation and </w:t>
            </w:r>
            <w:r>
              <w:rPr>
                <w:rFonts w:ascii="Courier New" w:hAnsi="Courier New"/>
                <w:color w:val="1F4D78"/>
                <w:sz w:val="17"/>
                <w:shd w:fill="EAF2F8"/>
              </w:rPr>
              <w:t>ENFORCE</w:t>
            </w:r>
            <w:r>
              <w:rPr>
                <w:rFonts w:ascii="Calibri" w:hAnsi="Calibri"/>
                <w:color w:val="17324D"/>
                <w:sz w:val="17"/>
              </w:rPr>
              <w:t xml:space="preserve"> evidence remain open.</w:t>
            </w:r>
          </w:p>
        </w:tc>
      </w:tr>
      <w:tr>
        <w:trPr>
          <w:cantSplit/>
        </w:trPr>
        <w:tc>
          <w:tcPr>
            <w:tcW w:type="dxa" w:w="1900"/>
            <w:vAlign w:val="center"/>
            <w:tcMar>
              <w:top w:w="40" w:type="dxa"/>
              <w:start w:w="120" w:type="dxa"/>
              <w:bottom w:w="40" w:type="dxa"/>
              <w:end w:w="120" w:type="dxa"/>
            </w:tcMar>
          </w:tcPr>
          <w:p>
            <w:pPr>
              <w:spacing w:after="0" w:line="240" w:lineRule="auto"/>
              <w:jc w:val="left"/>
            </w:pPr>
            <w:r>
              <w:rPr>
                <w:rFonts w:ascii="Calibri" w:hAnsi="Calibri"/>
                <w:color w:val="17324D"/>
                <w:sz w:val="17"/>
              </w:rPr>
              <w:t>Downstream identity</w:t>
            </w:r>
          </w:p>
        </w:tc>
        <w:tc>
          <w:tcPr>
            <w:tcW w:type="dxa" w:w="2300"/>
            <w:vAlign w:val="center"/>
            <w:tcMar>
              <w:top w:w="40" w:type="dxa"/>
              <w:start w:w="120" w:type="dxa"/>
              <w:bottom w:w="40" w:type="dxa"/>
              <w:end w:w="120" w:type="dxa"/>
            </w:tcMar>
          </w:tcPr>
          <w:p>
            <w:pPr>
              <w:spacing w:after="0" w:line="240" w:lineRule="auto"/>
              <w:jc w:val="left"/>
            </w:pPr>
            <w:r>
              <w:rPr>
                <w:rFonts w:ascii="Calibri" w:hAnsi="Calibri"/>
                <w:color w:val="17324D"/>
                <w:sz w:val="17"/>
              </w:rPr>
              <w:t>Example implemented</w:t>
            </w:r>
          </w:p>
        </w:tc>
        <w:tc>
          <w:tcPr>
            <w:tcW w:type="dxa" w:w="5160"/>
            <w:vAlign w:val="center"/>
            <w:tcMar>
              <w:top w:w="40" w:type="dxa"/>
              <w:start w:w="120" w:type="dxa"/>
              <w:bottom w:w="40" w:type="dxa"/>
              <w:end w:w="120" w:type="dxa"/>
            </w:tcMar>
          </w:tcPr>
          <w:p>
            <w:pPr>
              <w:spacing w:after="0" w:line="240" w:lineRule="auto"/>
              <w:jc w:val="left"/>
            </w:pPr>
            <w:r>
              <w:rPr>
                <w:rFonts w:ascii="Calibri" w:hAnsi="Calibri"/>
                <w:color w:val="17324D"/>
                <w:sz w:val="17"/>
              </w:rPr>
              <w:t>MSAL OBO/client-credentials providers, lane-scoped secret access and the OBO assertion interceptor exist. Real tenant credentials and exchanges remain unvalidated.</w:t>
            </w:r>
          </w:p>
        </w:tc>
      </w:tr>
      <w:tr>
        <w:trPr>
          <w:cantSplit/>
        </w:trPr>
        <w:tc>
          <w:tcPr>
            <w:tcW w:type="dxa" w:w="1900"/>
            <w:vAlign w:val="center"/>
            <w:tcMar>
              <w:top w:w="40" w:type="dxa"/>
              <w:start w:w="120" w:type="dxa"/>
              <w:bottom w:w="40" w:type="dxa"/>
              <w:end w:w="120" w:type="dxa"/>
            </w:tcMar>
          </w:tcPr>
          <w:p>
            <w:pPr>
              <w:spacing w:after="0" w:line="240" w:lineRule="auto"/>
              <w:jc w:val="center"/>
            </w:pPr>
            <w:r>
              <w:rPr>
                <w:rFonts w:ascii="Calibri" w:hAnsi="Calibri"/>
                <w:color w:val="17324D"/>
                <w:sz w:val="17"/>
              </w:rPr>
              <w:t>Runtime safety</w:t>
            </w:r>
          </w:p>
        </w:tc>
        <w:tc>
          <w:tcPr>
            <w:tcW w:type="dxa" w:w="2300"/>
            <w:vAlign w:val="center"/>
            <w:tcMar>
              <w:top w:w="40" w:type="dxa"/>
              <w:start w:w="120" w:type="dxa"/>
              <w:bottom w:w="40" w:type="dxa"/>
              <w:end w:w="120" w:type="dxa"/>
            </w:tcMar>
          </w:tcPr>
          <w:p>
            <w:pPr>
              <w:spacing w:after="0" w:line="240" w:lineRule="auto"/>
              <w:jc w:val="left"/>
            </w:pPr>
            <w:r>
              <w:rPr>
                <w:rFonts w:ascii="Calibri" w:hAnsi="Calibri"/>
                <w:color w:val="17324D"/>
                <w:sz w:val="17"/>
              </w:rPr>
              <w:t>Example implemented</w:t>
            </w:r>
          </w:p>
        </w:tc>
        <w:tc>
          <w:tcPr>
            <w:tcW w:type="dxa" w:w="5160"/>
            <w:vAlign w:val="center"/>
            <w:tcMar>
              <w:top w:w="40" w:type="dxa"/>
              <w:start w:w="120" w:type="dxa"/>
              <w:bottom w:w="40" w:type="dxa"/>
              <w:end w:w="120" w:type="dxa"/>
            </w:tcMar>
          </w:tcPr>
          <w:p>
            <w:pPr>
              <w:spacing w:after="0" w:line="240" w:lineRule="auto"/>
              <w:jc w:val="left"/>
            </w:pPr>
            <w:r>
              <w:rPr>
                <w:rFonts w:ascii="Calibri" w:hAnsi="Calibri"/>
                <w:color w:val="17324D"/>
                <w:sz w:val="17"/>
              </w:rPr>
              <w:t>Runtime validates required upload inputs and fails without changing invalid values. It does not load or evaluate a second caller/tool policy.</w:t>
            </w:r>
          </w:p>
        </w:tc>
      </w:tr>
      <w:tr>
        <w:trPr>
          <w:cantSplit/>
        </w:trPr>
        <w:tc>
          <w:tcPr>
            <w:tcW w:type="dxa" w:w="1900"/>
            <w:vAlign w:val="center"/>
            <w:tcMar>
              <w:top w:w="40" w:type="dxa"/>
              <w:start w:w="120" w:type="dxa"/>
              <w:bottom w:w="40" w:type="dxa"/>
              <w:end w:w="120" w:type="dxa"/>
            </w:tcMar>
          </w:tcPr>
          <w:p>
            <w:pPr>
              <w:spacing w:after="0" w:line="240" w:lineRule="auto"/>
              <w:jc w:val="center"/>
            </w:pPr>
            <w:r>
              <w:rPr>
                <w:rFonts w:ascii="Calibri" w:hAnsi="Calibri"/>
                <w:color w:val="17324D"/>
                <w:sz w:val="17"/>
              </w:rPr>
              <w:t>SharePoint tools</w:t>
            </w:r>
          </w:p>
        </w:tc>
        <w:tc>
          <w:tcPr>
            <w:tcW w:type="dxa" w:w="2300"/>
            <w:vAlign w:val="center"/>
            <w:tcMar>
              <w:top w:w="40" w:type="dxa"/>
              <w:start w:w="120" w:type="dxa"/>
              <w:bottom w:w="40" w:type="dxa"/>
              <w:end w:w="120" w:type="dxa"/>
            </w:tcMar>
          </w:tcPr>
          <w:p>
            <w:pPr>
              <w:spacing w:after="0" w:line="240" w:lineRule="auto"/>
              <w:jc w:val="center"/>
            </w:pPr>
            <w:r>
              <w:rPr>
                <w:rFonts w:ascii="Calibri" w:hAnsi="Calibri"/>
                <w:color w:val="17324D"/>
                <w:sz w:val="17"/>
              </w:rPr>
              <w:t>Partial example</w:t>
            </w:r>
          </w:p>
        </w:tc>
        <w:tc>
          <w:tcPr>
            <w:tcW w:type="dxa" w:w="5160"/>
            <w:vAlign w:val="center"/>
            <w:tcMar>
              <w:top w:w="40" w:type="dxa"/>
              <w:start w:w="120" w:type="dxa"/>
              <w:bottom w:w="40" w:type="dxa"/>
              <w:end w:w="120" w:type="dxa"/>
            </w:tcMar>
          </w:tcPr>
          <w:p>
            <w:pPr>
              <w:spacing w:after="0" w:line="240" w:lineRule="auto"/>
              <w:jc w:val="left"/>
            </w:pPr>
            <w:r>
              <w:rPr>
                <w:rFonts w:ascii="Calibri" w:hAnsi="Calibri"/>
                <w:color w:val="17324D"/>
                <w:sz w:val="17"/>
              </w:rPr>
              <w:t xml:space="preserve">List/read dry-run tools remain; their live Graph branches are placeholders. One file-upload write tool and its Graph </w:t>
            </w:r>
            <w:r>
              <w:rPr>
                <w:rFonts w:ascii="Courier New" w:hAnsi="Courier New"/>
                <w:color w:val="1F4D78"/>
                <w:sz w:val="17"/>
                <w:shd w:fill="EAF2F8"/>
              </w:rPr>
              <w:t>PUT</w:t>
            </w:r>
            <w:r>
              <w:rPr>
                <w:rFonts w:ascii="Calibri" w:hAnsi="Calibri"/>
                <w:color w:val="17324D"/>
                <w:sz w:val="17"/>
              </w:rPr>
              <w:t xml:space="preserve"> adapter exist. Real tenant permissions, throttling and error handling remain unvalidated.</w:t>
            </w:r>
          </w:p>
        </w:tc>
      </w:tr>
      <w:tr>
        <w:trPr>
          <w:cantSplit/>
        </w:trPr>
        <w:tc>
          <w:tcPr>
            <w:tcW w:type="dxa" w:w="1900"/>
            <w:vAlign w:val="center"/>
            <w:tcMar>
              <w:top w:w="40" w:type="dxa"/>
              <w:start w:w="120" w:type="dxa"/>
              <w:bottom w:w="40" w:type="dxa"/>
              <w:end w:w="120" w:type="dxa"/>
            </w:tcMar>
          </w:tcPr>
          <w:p>
            <w:pPr>
              <w:spacing w:after="0" w:line="240" w:lineRule="auto"/>
              <w:jc w:val="center"/>
            </w:pPr>
            <w:r>
              <w:rPr>
                <w:rFonts w:ascii="Calibri" w:hAnsi="Calibri"/>
                <w:color w:val="17324D"/>
                <w:sz w:val="17"/>
              </w:rPr>
              <w:t>Private access</w:t>
            </w:r>
          </w:p>
        </w:tc>
        <w:tc>
          <w:tcPr>
            <w:tcW w:type="dxa" w:w="2300"/>
            <w:vAlign w:val="center"/>
            <w:tcMar>
              <w:top w:w="40" w:type="dxa"/>
              <w:start w:w="120" w:type="dxa"/>
              <w:bottom w:w="40" w:type="dxa"/>
              <w:end w:w="120" w:type="dxa"/>
            </w:tcMar>
          </w:tcPr>
          <w:p>
            <w:pPr>
              <w:spacing w:after="0" w:line="240" w:lineRule="auto"/>
              <w:jc w:val="left"/>
            </w:pPr>
            <w:r>
              <w:rPr>
                <w:rFonts w:ascii="Calibri" w:hAnsi="Calibri"/>
                <w:color w:val="17324D"/>
                <w:sz w:val="17"/>
              </w:rPr>
              <w:t>External prerequisite</w:t>
            </w:r>
          </w:p>
        </w:tc>
        <w:tc>
          <w:tcPr>
            <w:tcW w:type="dxa" w:w="5160"/>
            <w:vAlign w:val="center"/>
            <w:tcMar>
              <w:top w:w="40" w:type="dxa"/>
              <w:start w:w="120" w:type="dxa"/>
              <w:bottom w:w="40" w:type="dxa"/>
              <w:end w:w="120" w:type="dxa"/>
            </w:tcMar>
          </w:tcPr>
          <w:p>
            <w:pPr>
              <w:spacing w:after="0" w:line="240" w:lineRule="auto"/>
              <w:jc w:val="left"/>
            </w:pPr>
            <w:r>
              <w:rPr>
                <w:rFonts w:ascii="Calibri" w:hAnsi="Calibri"/>
                <w:color w:val="17324D"/>
                <w:sz w:val="17"/>
              </w:rPr>
              <w:t>The network/platform account owns the interface endpoint, private DNS, endpoint policy and routing. This workload root does not create them; end-to-end routing still requires validation.</w:t>
            </w:r>
          </w:p>
        </w:tc>
      </w:tr>
      <w:tr>
        <w:trPr>
          <w:cantSplit/>
        </w:trPr>
        <w:tc>
          <w:tcPr>
            <w:tcW w:type="dxa" w:w="1900"/>
            <w:vAlign w:val="center"/>
            <w:tcMar>
              <w:top w:w="40" w:type="dxa"/>
              <w:start w:w="120" w:type="dxa"/>
              <w:bottom w:w="40" w:type="dxa"/>
              <w:end w:w="120" w:type="dxa"/>
            </w:tcMar>
          </w:tcPr>
          <w:p>
            <w:pPr>
              <w:spacing w:after="0" w:line="240" w:lineRule="auto"/>
              <w:jc w:val="center"/>
            </w:pPr>
            <w:r>
              <w:rPr>
                <w:rFonts w:ascii="Calibri" w:hAnsi="Calibri"/>
                <w:color w:val="17324D"/>
                <w:sz w:val="17"/>
              </w:rPr>
              <w:t>Observability</w:t>
            </w:r>
          </w:p>
        </w:tc>
        <w:tc>
          <w:tcPr>
            <w:tcW w:type="dxa" w:w="2300"/>
            <w:vAlign w:val="center"/>
            <w:tcMar>
              <w:top w:w="40" w:type="dxa"/>
              <w:start w:w="120" w:type="dxa"/>
              <w:bottom w:w="40" w:type="dxa"/>
              <w:end w:w="120" w:type="dxa"/>
            </w:tcMar>
          </w:tcPr>
          <w:p>
            <w:pPr>
              <w:spacing w:after="0" w:line="240" w:lineRule="auto"/>
              <w:jc w:val="center"/>
            </w:pPr>
            <w:r>
              <w:rPr>
                <w:rFonts w:ascii="Calibri" w:hAnsi="Calibri"/>
                <w:color w:val="17324D"/>
                <w:sz w:val="17"/>
              </w:rPr>
              <w:t>Partial example</w:t>
            </w:r>
          </w:p>
        </w:tc>
        <w:tc>
          <w:tcPr>
            <w:tcW w:type="dxa" w:w="5160"/>
            <w:vAlign w:val="center"/>
            <w:tcMar>
              <w:top w:w="40" w:type="dxa"/>
              <w:start w:w="120" w:type="dxa"/>
              <w:bottom w:w="40" w:type="dxa"/>
              <w:end w:w="120" w:type="dxa"/>
            </w:tcMar>
          </w:tcPr>
          <w:p>
            <w:pPr>
              <w:spacing w:after="0" w:line="240" w:lineRule="auto"/>
              <w:jc w:val="left"/>
            </w:pPr>
            <w:r>
              <w:rPr>
                <w:rFonts w:ascii="Calibri" w:hAnsi="Calibri"/>
                <w:color w:val="17324D"/>
                <w:sz w:val="17"/>
              </w:rPr>
              <w:t>Runtime permissions and structured audit events exist. Gateway log destinations, retention, SIEM integration, alarms and sensitive-data verification remain open.</w:t>
            </w:r>
          </w:p>
        </w:tc>
      </w:tr>
      <w:tr>
        <w:trPr>
          <w:cantSplit/>
        </w:trPr>
        <w:tc>
          <w:tcPr>
            <w:tcW w:type="dxa" w:w="1900"/>
            <w:vAlign w:val="center"/>
            <w:tcMar>
              <w:top w:w="40" w:type="dxa"/>
              <w:start w:w="120" w:type="dxa"/>
              <w:bottom w:w="40" w:type="dxa"/>
              <w:end w:w="120" w:type="dxa"/>
            </w:tcMar>
          </w:tcPr>
          <w:p>
            <w:pPr>
              <w:spacing w:after="0" w:line="240" w:lineRule="auto"/>
              <w:jc w:val="left"/>
            </w:pPr>
            <w:r>
              <w:rPr>
                <w:rFonts w:ascii="Calibri" w:hAnsi="Calibri"/>
                <w:color w:val="17324D"/>
                <w:sz w:val="17"/>
              </w:rPr>
              <w:t>Production configuration</w:t>
            </w:r>
          </w:p>
        </w:tc>
        <w:tc>
          <w:tcPr>
            <w:tcW w:type="dxa" w:w="2300"/>
            <w:vAlign w:val="center"/>
            <w:tcMar>
              <w:top w:w="40" w:type="dxa"/>
              <w:start w:w="120" w:type="dxa"/>
              <w:bottom w:w="40" w:type="dxa"/>
              <w:end w:w="120" w:type="dxa"/>
            </w:tcMar>
          </w:tcPr>
          <w:p>
            <w:pPr>
              <w:spacing w:after="0" w:line="240" w:lineRule="auto"/>
              <w:jc w:val="center"/>
            </w:pPr>
            <w:r>
              <w:rPr>
                <w:rFonts w:ascii="Calibri" w:hAnsi="Calibri"/>
                <w:color w:val="17324D"/>
                <w:sz w:val="17"/>
              </w:rPr>
              <w:t>Placeholder</w:t>
            </w:r>
          </w:p>
        </w:tc>
        <w:tc>
          <w:tcPr>
            <w:tcW w:type="dxa" w:w="5160"/>
            <w:vAlign w:val="center"/>
            <w:tcMar>
              <w:top w:w="40" w:type="dxa"/>
              <w:start w:w="120" w:type="dxa"/>
              <w:bottom w:w="40" w:type="dxa"/>
              <w:end w:w="120" w:type="dxa"/>
            </w:tcMar>
          </w:tcPr>
          <w:p>
            <w:pPr>
              <w:spacing w:after="0" w:line="240" w:lineRule="auto"/>
              <w:jc w:val="left"/>
            </w:pPr>
            <w:r>
              <w:rPr>
                <w:rFonts w:ascii="Calibri" w:hAnsi="Calibri"/>
                <w:color w:val="17324D"/>
                <w:sz w:val="17"/>
              </w:rPr>
              <w:t>Non-production and production tfvars contain placeholder IDs, subnets, security groups and image URIs. Terraform providers are pinned, but target-account plans remain open.</w:t>
            </w:r>
          </w:p>
        </w:tc>
      </w:tr>
    </w:tbl>
    <w:p>
      <w:pPr>
        <w:spacing w:after="40"/>
      </w:pPr>
    </w:p>
    <w:p>
      <w:pPr>
        <w:pStyle w:val="Heading1"/>
      </w:pPr>
      <w:r>
        <w:t>6. Architecture</w:t>
      </w:r>
    </w:p>
    <w:p>
      <w:pPr>
        <w:spacing w:after="40"/>
        <w:jc w:val="center"/>
      </w:pPr>
      <w:r>
        <w:drawing>
          <wp:inline xmlns:a="http://schemas.openxmlformats.org/drawingml/2006/main" xmlns:pic="http://schemas.openxmlformats.org/drawingml/2006/picture">
            <wp:extent cx="5394960" cy="1527161"/>
            <wp:docPr id="1" name="Picture 1" title="Target architecture and trust boundaries" descr="Target architecture and trust boundaries"/>
            <wp:cNvGraphicFramePr>
              <a:graphicFrameLocks noChangeAspect="1"/>
            </wp:cNvGraphicFramePr>
            <a:graphic>
              <a:graphicData uri="http://schemas.openxmlformats.org/drawingml/2006/picture">
                <pic:pic>
                  <pic:nvPicPr>
                    <pic:cNvPr id="0" name="enterprise-mcp-platform.png"/>
                    <pic:cNvPicPr/>
                  </pic:nvPicPr>
                  <pic:blipFill>
                    <a:blip r:embed="rId11"/>
                    <a:stretch>
                      <a:fillRect/>
                    </a:stretch>
                  </pic:blipFill>
                  <pic:spPr>
                    <a:xfrm>
                      <a:off x="0" y="0"/>
                      <a:ext cx="5394960" cy="1527161"/>
                    </a:xfrm>
                    <a:prstGeom prst="rect"/>
                  </pic:spPr>
                </pic:pic>
              </a:graphicData>
            </a:graphic>
          </wp:inline>
        </w:drawing>
      </w:r>
    </w:p>
    <w:p>
      <w:r>
        <w:rPr>
          <w:rFonts w:ascii="Calibri" w:hAnsi="Calibri"/>
          <w:b/>
          <w:color w:val="17324D"/>
          <w:sz w:val="22"/>
        </w:rPr>
        <w:t>Figure 1 - Target architecture and trust boundaries.</w:t>
      </w:r>
      <w:r>
        <w:rPr>
          <w:rFonts w:ascii="Calibri" w:hAnsi="Calibri"/>
          <w:color w:val="17324D"/>
          <w:sz w:val="22"/>
        </w:rPr>
        <w:t xml:space="preserve"> Editable sources: </w:t>
      </w:r>
      <w:r>
        <w:rPr>
          <w:rFonts w:ascii="Courier New" w:hAnsi="Courier New"/>
          <w:color w:val="1F4D78"/>
          <w:sz w:val="20"/>
          <w:shd w:fill="EAF2F8"/>
        </w:rPr>
        <w:t>enterprise-mcp-platform.mmd</w:t>
      </w:r>
      <w:r>
        <w:rPr>
          <w:rFonts w:ascii="Calibri" w:hAnsi="Calibri"/>
          <w:color w:val="17324D"/>
          <w:sz w:val="22"/>
        </w:rPr>
        <w:t xml:space="preserve"> and </w:t>
      </w:r>
      <w:r>
        <w:rPr>
          <w:rFonts w:ascii="Courier New" w:hAnsi="Courier New"/>
          <w:color w:val="1F4D78"/>
          <w:sz w:val="20"/>
          <w:shd w:fill="EAF2F8"/>
        </w:rPr>
        <w:t>enterprise-mcp-platform.drawio</w:t>
      </w:r>
      <w:r>
        <w:rPr>
          <w:rFonts w:ascii="Calibri" w:hAnsi="Calibri"/>
          <w:color w:val="17324D"/>
          <w:sz w:val="22"/>
        </w:rPr>
        <w:t>.</w:t>
      </w:r>
    </w:p>
    <w:p>
      <w:pPr>
        <w:pStyle w:val="Heading2"/>
      </w:pPr>
      <w:r>
        <w:t>6.1 Deployment shape</w:t>
      </w:r>
    </w:p>
    <w:p>
      <w:pPr>
        <w:spacing w:after="80" w:line="300" w:lineRule="auto"/>
        <w:numPr>
          <w:ilvl w:val="0"/>
          <w:numId w:val="12"/>
        </w:numPr>
      </w:pPr>
      <w:r>
        <w:rPr>
          <w:rFonts w:ascii="Calibri" w:hAnsi="Calibri"/>
          <w:color w:val="17324D"/>
          <w:sz w:val="22"/>
        </w:rPr>
        <w:t>One Gateway per environment.</w:t>
      </w:r>
    </w:p>
    <w:p>
      <w:pPr>
        <w:spacing w:after="80" w:line="300" w:lineRule="auto"/>
        <w:numPr>
          <w:ilvl w:val="0"/>
          <w:numId w:val="12"/>
        </w:numPr>
      </w:pPr>
      <w:r>
        <w:rPr>
          <w:rFonts w:ascii="Calibri" w:hAnsi="Calibri"/>
          <w:color w:val="17324D"/>
          <w:sz w:val="22"/>
        </w:rPr>
        <w:t>Sydney (</w:t>
      </w:r>
      <w:r>
        <w:rPr>
          <w:rFonts w:ascii="Courier New" w:hAnsi="Courier New"/>
          <w:color w:val="1F4D78"/>
          <w:sz w:val="20"/>
          <w:shd w:fill="EAF2F8"/>
        </w:rPr>
        <w:t>ap-southeast-2</w:t>
      </w:r>
      <w:r>
        <w:rPr>
          <w:rFonts w:ascii="Calibri" w:hAnsi="Calibri"/>
          <w:color w:val="17324D"/>
          <w:sz w:val="22"/>
        </w:rPr>
        <w:t>) is the current AgentCore Gateway/Runtime region.</w:t>
      </w:r>
    </w:p>
    <w:p>
      <w:pPr>
        <w:spacing w:after="80" w:line="300" w:lineRule="auto"/>
        <w:numPr>
          <w:ilvl w:val="0"/>
          <w:numId w:val="12"/>
        </w:numPr>
      </w:pPr>
      <w:r>
        <w:rPr>
          <w:rFonts w:ascii="Calibri" w:hAnsi="Calibri"/>
          <w:color w:val="17324D"/>
          <w:sz w:val="22"/>
        </w:rPr>
        <w:t>Melbourne (</w:t>
      </w:r>
      <w:r>
        <w:rPr>
          <w:rFonts w:ascii="Courier New" w:hAnsi="Courier New"/>
          <w:color w:val="1F4D78"/>
          <w:sz w:val="20"/>
          <w:shd w:fill="EAF2F8"/>
        </w:rPr>
        <w:t>ap-southeast-4</w:t>
      </w:r>
      <w:r>
        <w:rPr>
          <w:rFonts w:ascii="Calibri" w:hAnsi="Calibri"/>
          <w:color w:val="17324D"/>
          <w:sz w:val="22"/>
        </w:rPr>
        <w:t>) remains gated until AWS publishes the required</w:t>
      </w:r>
    </w:p>
    <w:p>
      <w:r>
        <w:rPr>
          <w:rFonts w:ascii="Calibri" w:hAnsi="Calibri"/>
          <w:color w:val="17324D"/>
          <w:sz w:val="22"/>
        </w:rPr>
        <w:t>endpoints and VPC support and a non-production deployment is validated.</w:t>
      </w:r>
    </w:p>
    <w:p>
      <w:pPr>
        <w:spacing w:after="80" w:line="300" w:lineRule="auto"/>
        <w:numPr>
          <w:ilvl w:val="0"/>
          <w:numId w:val="13"/>
        </w:numPr>
      </w:pPr>
      <w:r>
        <w:rPr>
          <w:rFonts w:ascii="Calibri" w:hAnsi="Calibri"/>
          <w:color w:val="17324D"/>
          <w:sz w:val="22"/>
        </w:rPr>
        <w:t xml:space="preserve">Central platform/TFE supplies </w:t>
      </w:r>
      <w:r>
        <w:rPr>
          <w:rFonts w:ascii="Courier New" w:hAnsi="Courier New"/>
          <w:color w:val="1F4D78"/>
          <w:sz w:val="20"/>
          <w:shd w:fill="EAF2F8"/>
        </w:rPr>
        <w:t>target_account_id</w:t>
      </w:r>
      <w:r>
        <w:rPr>
          <w:rFonts w:ascii="Calibri" w:hAnsi="Calibri"/>
          <w:color w:val="17324D"/>
          <w:sz w:val="22"/>
        </w:rPr>
        <w:t xml:space="preserve"> and existing Runtime</w:t>
      </w:r>
    </w:p>
    <w:p>
      <w:r>
        <w:rPr>
          <w:rFonts w:ascii="Calibri" w:hAnsi="Calibri"/>
          <w:color w:val="17324D"/>
          <w:sz w:val="22"/>
        </w:rPr>
        <w:t>subnet/security-group IDs.</w:t>
      </w:r>
    </w:p>
    <w:p>
      <w:pPr>
        <w:spacing w:after="80" w:line="300" w:lineRule="auto"/>
        <w:numPr>
          <w:ilvl w:val="0"/>
          <w:numId w:val="14"/>
        </w:numPr>
      </w:pPr>
      <w:r>
        <w:rPr>
          <w:rFonts w:ascii="Calibri" w:hAnsi="Calibri"/>
          <w:color w:val="17324D"/>
          <w:sz w:val="22"/>
        </w:rPr>
        <w:t>The network/platform account owns Gateway PrivateLink, private DNS, endpoint</w:t>
      </w:r>
    </w:p>
    <w:p>
      <w:r>
        <w:rPr>
          <w:rFonts w:ascii="Calibri" w:hAnsi="Calibri"/>
          <w:color w:val="17324D"/>
          <w:sz w:val="22"/>
        </w:rPr>
        <w:t>policy, routing and client-side network controls.</w:t>
      </w:r>
    </w:p>
    <w:p>
      <w:pPr>
        <w:spacing w:after="80" w:line="300" w:lineRule="auto"/>
        <w:numPr>
          <w:ilvl w:val="0"/>
          <w:numId w:val="15"/>
        </w:numPr>
      </w:pPr>
      <w:r>
        <w:rPr>
          <w:rFonts w:ascii="Calibri" w:hAnsi="Calibri"/>
          <w:color w:val="17324D"/>
          <w:sz w:val="22"/>
        </w:rPr>
        <w:t>One environment-specific Entra Enterprise MCP API audience.</w:t>
      </w:r>
    </w:p>
    <w:p>
      <w:pPr>
        <w:spacing w:after="80" w:line="300" w:lineRule="auto"/>
        <w:numPr>
          <w:ilvl w:val="0"/>
          <w:numId w:val="15"/>
        </w:numPr>
      </w:pPr>
      <w:r>
        <w:rPr>
          <w:rFonts w:ascii="Calibri" w:hAnsi="Calibri"/>
          <w:color w:val="17324D"/>
          <w:sz w:val="22"/>
        </w:rPr>
        <w:t>Separate allowed client lists for non-production and production.</w:t>
      </w:r>
    </w:p>
    <w:p>
      <w:pPr>
        <w:spacing w:after="80" w:line="300" w:lineRule="auto"/>
        <w:numPr>
          <w:ilvl w:val="0"/>
          <w:numId w:val="15"/>
        </w:numPr>
      </w:pPr>
      <w:r>
        <w:rPr>
          <w:rFonts w:ascii="Calibri" w:hAnsi="Calibri"/>
          <w:color w:val="17324D"/>
          <w:sz w:val="22"/>
        </w:rPr>
        <w:t xml:space="preserve">Separate </w:t>
      </w:r>
      <w:r>
        <w:rPr>
          <w:rFonts w:ascii="Courier New" w:hAnsi="Courier New"/>
          <w:color w:val="1F4D78"/>
          <w:sz w:val="20"/>
          <w:shd w:fill="EAF2F8"/>
        </w:rPr>
        <w:t>sharepoint-delegated</w:t>
      </w:r>
      <w:r>
        <w:rPr>
          <w:rFonts w:ascii="Calibri" w:hAnsi="Calibri"/>
          <w:color w:val="17324D"/>
          <w:sz w:val="22"/>
        </w:rPr>
        <w:t xml:space="preserve"> and </w:t>
      </w:r>
      <w:r>
        <w:rPr>
          <w:rFonts w:ascii="Courier New" w:hAnsi="Courier New"/>
          <w:color w:val="1F4D78"/>
          <w:sz w:val="20"/>
          <w:shd w:fill="EAF2F8"/>
        </w:rPr>
        <w:t>sharepoint-application</w:t>
      </w:r>
    </w:p>
    <w:p>
      <w:r>
        <w:rPr>
          <w:rFonts w:ascii="Calibri" w:hAnsi="Calibri"/>
          <w:color w:val="17324D"/>
          <w:sz w:val="22"/>
        </w:rPr>
        <w:t>targets/Runtimes, built from the same SharePoint service source and image.</w:t>
      </w:r>
    </w:p>
    <w:p>
      <w:pPr>
        <w:spacing w:after="80" w:line="300" w:lineRule="auto"/>
        <w:numPr>
          <w:ilvl w:val="0"/>
          <w:numId w:val="16"/>
        </w:numPr>
      </w:pPr>
      <w:r>
        <w:rPr>
          <w:rFonts w:ascii="Calibri" w:hAnsi="Calibri"/>
          <w:color w:val="17324D"/>
          <w:sz w:val="22"/>
        </w:rPr>
        <w:t>Direct AWS Knowledge and Microsoft Learn remote MCP targets for public</w:t>
      </w:r>
    </w:p>
    <w:p>
      <w:r>
        <w:rPr>
          <w:rFonts w:ascii="Calibri" w:hAnsi="Calibri"/>
          <w:color w:val="17324D"/>
          <w:sz w:val="22"/>
        </w:rPr>
        <w:t>documentation.</w:t>
      </w:r>
    </w:p>
    <w:p>
      <w:pPr>
        <w:spacing w:after="80" w:line="300" w:lineRule="auto"/>
        <w:numPr>
          <w:ilvl w:val="0"/>
          <w:numId w:val="17"/>
        </w:numPr>
      </w:pPr>
      <w:r>
        <w:rPr>
          <w:rFonts w:ascii="Calibri" w:hAnsi="Calibri"/>
          <w:color w:val="17324D"/>
          <w:sz w:val="22"/>
        </w:rPr>
        <w:t>One enterprise-hosted Terraform MCP Runtime/target with only the public</w:t>
      </w:r>
    </w:p>
    <w:p>
      <w:r>
        <w:rPr>
          <w:rFonts w:ascii="Calibri" w:hAnsi="Calibri"/>
          <w:color w:val="17324D"/>
          <w:sz w:val="22"/>
        </w:rPr>
        <w:t>Registry toolset, Terraform operations disabled and no TFE credential.</w:t>
      </w:r>
    </w:p>
    <w:p>
      <w:pPr>
        <w:spacing w:after="80" w:line="300" w:lineRule="auto"/>
        <w:numPr>
          <w:ilvl w:val="0"/>
          <w:numId w:val="18"/>
        </w:numPr>
      </w:pPr>
      <w:r>
        <w:rPr>
          <w:rFonts w:ascii="Calibri" w:hAnsi="Calibri"/>
          <w:color w:val="17324D"/>
          <w:sz w:val="22"/>
        </w:rPr>
        <w:t>SharePoint enabled first; CRM and internal software disabled. CRM starts with</w:t>
      </w:r>
    </w:p>
    <w:p>
      <w:r>
        <w:rPr>
          <w:rFonts w:ascii="Calibri" w:hAnsi="Calibri"/>
          <w:color w:val="17324D"/>
          <w:sz w:val="22"/>
        </w:rPr>
        <w:t>one application lane unless its API requires delegated user semantics.</w:t>
      </w:r>
    </w:p>
    <w:p>
      <w:pPr>
        <w:spacing w:after="80" w:line="300" w:lineRule="auto"/>
        <w:numPr>
          <w:ilvl w:val="0"/>
          <w:numId w:val="19"/>
        </w:numPr>
      </w:pPr>
      <w:r>
        <w:rPr>
          <w:rFonts w:ascii="Calibri" w:hAnsi="Calibri"/>
          <w:color w:val="17324D"/>
          <w:sz w:val="22"/>
        </w:rPr>
        <w:t>Databricks remains disabled pending a separate OAuth, Unity Catalog, network</w:t>
      </w:r>
    </w:p>
    <w:p>
      <w:r>
        <w:rPr>
          <w:rFonts w:ascii="Calibri" w:hAnsi="Calibri"/>
          <w:color w:val="17324D"/>
          <w:sz w:val="22"/>
        </w:rPr>
        <w:t>and preview-lifecycle decision.</w:t>
      </w:r>
    </w:p>
    <w:p>
      <w:pPr>
        <w:spacing w:after="80" w:line="300" w:lineRule="auto"/>
        <w:numPr>
          <w:ilvl w:val="0"/>
          <w:numId w:val="20"/>
        </w:numPr>
      </w:pPr>
      <w:r>
        <w:rPr>
          <w:rFonts w:ascii="Calibri" w:hAnsi="Calibri"/>
          <w:color w:val="17324D"/>
          <w:sz w:val="22"/>
        </w:rPr>
        <w:t>One shared Terraform root instantiated through separate non-production and production state.</w:t>
      </w:r>
    </w:p>
    <w:p>
      <w:pPr>
        <w:spacing w:after="80" w:line="300" w:lineRule="auto"/>
        <w:numPr>
          <w:ilvl w:val="0"/>
          <w:numId w:val="20"/>
        </w:numPr>
      </w:pPr>
      <w:r>
        <w:rPr>
          <w:rFonts w:ascii="Calibri" w:hAnsi="Calibri"/>
          <w:color w:val="17324D"/>
          <w:sz w:val="22"/>
        </w:rPr>
        <w:t>Final service image URI passed to Runtime; no Runtime deploys a base-image URI.</w:t>
      </w:r>
    </w:p>
    <w:p>
      <w:pPr>
        <w:spacing w:after="80" w:line="300" w:lineRule="auto"/>
        <w:numPr>
          <w:ilvl w:val="0"/>
          <w:numId w:val="20"/>
        </w:numPr>
      </w:pPr>
      <w:r>
        <w:rPr>
          <w:rFonts w:ascii="Calibri" w:hAnsi="Calibri"/>
          <w:color w:val="17324D"/>
          <w:sz w:val="22"/>
        </w:rPr>
        <w:t xml:space="preserve">Gateway policy remains </w:t>
      </w:r>
      <w:r>
        <w:rPr>
          <w:rFonts w:ascii="Courier New" w:hAnsi="Courier New"/>
          <w:color w:val="1F4D78"/>
          <w:sz w:val="20"/>
          <w:shd w:fill="EAF2F8"/>
        </w:rPr>
        <w:t>LOG_ONLY</w:t>
      </w:r>
      <w:r>
        <w:rPr>
          <w:rFonts w:ascii="Calibri" w:hAnsi="Calibri"/>
          <w:color w:val="17324D"/>
          <w:sz w:val="22"/>
        </w:rPr>
        <w:t xml:space="preserve"> only during controlled validation and must be </w:t>
      </w:r>
      <w:r>
        <w:rPr>
          <w:rFonts w:ascii="Courier New" w:hAnsi="Courier New"/>
          <w:color w:val="1F4D78"/>
          <w:sz w:val="20"/>
          <w:shd w:fill="EAF2F8"/>
        </w:rPr>
        <w:t>ENFORCE</w:t>
      </w:r>
      <w:r>
        <w:rPr>
          <w:rFonts w:ascii="Calibri" w:hAnsi="Calibri"/>
          <w:color w:val="17324D"/>
          <w:sz w:val="22"/>
        </w:rPr>
        <w:t xml:space="preserve"> before production use.</w:t>
      </w:r>
    </w:p>
    <w:p>
      <w:pPr>
        <w:pStyle w:val="Heading2"/>
      </w:pPr>
      <w:r>
        <w:t>6.2 Logical components</w:t>
      </w:r>
    </w:p>
    <w:tbl>
      <w:tblPr>
        <w:tblStyle w:val="TableGrid"/>
        <w:tblW w:type="dxa" w:w="9360"/>
        <w:tblLayout w:type="fixed"/>
        <w:tblLook w:firstColumn="1" w:firstRow="1" w:lastColumn="0" w:lastRow="0" w:noHBand="0" w:noVBand="1" w:val="04A0"/>
        <w:tblInd w:w="120" w:type="dxa"/>
        <w:tblLayout w:type="fixed"/>
        <w:tblInd w:w="120" w:type="dxa"/>
        <w:tblLayout w:type="fixed"/>
      </w:tblPr>
      <w:tblGrid>
        <w:gridCol w:w="2200"/>
        <w:gridCol w:w="3300"/>
        <w:gridCol w:w="3860"/>
      </w:tblGrid>
      <w:tr>
        <w:trPr>
          <w:cantSplit/>
          <w:tblHeader w:val="true"/>
        </w:trPr>
        <w:tc>
          <w:tcPr>
            <w:tcW w:type="dxa" w:w="2200"/>
            <w:vAlign w:val="center"/>
            <w:tcMar>
              <w:top w:w="40" w:type="dxa"/>
              <w:start w:w="120" w:type="dxa"/>
              <w:bottom w:w="40" w:type="dxa"/>
              <w:end w:w="120" w:type="dxa"/>
            </w:tcMar>
            <w:shd w:fill="E8EEF5"/>
          </w:tcPr>
          <w:p>
            <w:pPr>
              <w:spacing w:after="0"/>
              <w:jc w:val="center"/>
            </w:pPr>
            <w:r>
              <w:rPr>
                <w:rFonts w:ascii="Calibri" w:hAnsi="Calibri"/>
                <w:b/>
                <w:color w:val="17324D"/>
                <w:sz w:val="18"/>
              </w:rPr>
              <w:t>Component</w:t>
            </w:r>
          </w:p>
        </w:tc>
        <w:tc>
          <w:tcPr>
            <w:tcW w:type="dxa" w:w="3300"/>
            <w:vAlign w:val="center"/>
            <w:tcMar>
              <w:top w:w="40" w:type="dxa"/>
              <w:start w:w="120" w:type="dxa"/>
              <w:bottom w:w="40" w:type="dxa"/>
              <w:end w:w="120" w:type="dxa"/>
            </w:tcMar>
            <w:shd w:fill="E8EEF5"/>
          </w:tcPr>
          <w:p>
            <w:pPr>
              <w:spacing w:after="0"/>
              <w:jc w:val="left"/>
            </w:pPr>
            <w:r>
              <w:rPr>
                <w:rFonts w:ascii="Calibri" w:hAnsi="Calibri"/>
                <w:b/>
                <w:color w:val="17324D"/>
                <w:sz w:val="18"/>
              </w:rPr>
              <w:t>Responsibility</w:t>
            </w:r>
          </w:p>
        </w:tc>
        <w:tc>
          <w:tcPr>
            <w:tcW w:type="dxa" w:w="3860"/>
            <w:vAlign w:val="center"/>
            <w:tcMar>
              <w:top w:w="40" w:type="dxa"/>
              <w:start w:w="120" w:type="dxa"/>
              <w:bottom w:w="40" w:type="dxa"/>
              <w:end w:w="120" w:type="dxa"/>
            </w:tcMar>
            <w:shd w:fill="E8EEF5"/>
          </w:tcPr>
          <w:p>
            <w:pPr>
              <w:spacing w:after="0"/>
              <w:jc w:val="left"/>
            </w:pPr>
            <w:r>
              <w:rPr>
                <w:rFonts w:ascii="Calibri" w:hAnsi="Calibri"/>
                <w:b/>
                <w:color w:val="17324D"/>
                <w:sz w:val="18"/>
              </w:rPr>
              <w:t>Security boundary</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Claude Code / approved developer client</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Reads the delegated token obtained by the employee through the approved helper and invokes approved MCP operations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User, managed device and approved token-helper controls</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Scheduled or background AI application</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Obtains an app-only Entra token for predefined governed operations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AWS workload IAM role plus separate Entra service principal</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Microsoft Entra ID</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Issues environment-specific Enterprise MCP API tokens and manages client, scope, role and group assignments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Enterprise identity control plane</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7"/>
              </w:rPr>
              <w:t>AgentCore Gateway</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Terminates MCP, validates JWTs, applies policy, supports semantic tool discovery and routes to targets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Primary external authorization boundary</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AgentCore Identity inbound authorizer</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Uses OIDC discovery metadata and configured claims to validate bearer tokens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Managed token-validation capability used by Gateway</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Direct Cedar in Gateway Policy Engine</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Deterministically allows or denies exact target-qualified tool actions using caller context and inputs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Sole MCP caller/tool authorization boundary</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AWS Knowledge / Microsoft Learn targets</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Return public vendor documentation through direct remote MCP targets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External public-content and availability boundary</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Terraform MCP Runtime</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Exposes only public Registry provider/module documentation; has no TFE credential or Terraform operations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Enterprise-hosted documentation boundary</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OBO assertion interceptor</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 xml:space="preserve">Copies the Gateway-validated bearer assertion only for </w:t>
            </w:r>
            <w:r>
              <w:rPr>
                <w:rFonts w:ascii="Courier New" w:hAnsi="Courier New"/>
                <w:color w:val="1F4D78"/>
                <w:sz w:val="17"/>
                <w:shd w:fill="EAF2F8"/>
              </w:rPr>
              <w:t>sharepoint-delegated___*</w:t>
            </w:r>
            <w:r>
              <w:rPr>
                <w:rFonts w:ascii="Calibri" w:hAnsi="Calibri"/>
                <w:color w:val="17324D"/>
                <w:sz w:val="17"/>
              </w:rPr>
              <w:t xml:space="preserve"> calls and never logs it</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Trusted credential-propagation boundary</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7"/>
              </w:rPr>
              <w:t>Gateway IAM role</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Signs calls to enabled Runtime targets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AWS service-to-service authorization</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SharePoint delegated Runtime</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Hosts the upload tool, validates inputs and obtains Graph OBO tokens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Delegated employee execution boundary</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SharePoint application Runtime</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Hosts the same upload tool, validates inputs and obtains a Graph app token</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App-only execution boundary</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7"/>
              </w:rPr>
              <w:t>Runtime IAM role</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Pulls the approved image, emits telemetry and accesses approved AWS-side secrets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Least-privilege AWS workload role</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Network/platform account</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Owns Gateway PrivateLink, private DNS, endpoint policy, routing and client-side network controls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External private-connectivity boundary</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Microsoft Graph OBO token</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Represents the signed-in employee for downstream calls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Delegated downstream identity</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Microsoft Graph application credential</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Obtains an app token for the application lane</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Downstream application identity</w:t>
            </w:r>
          </w:p>
        </w:tc>
      </w:tr>
      <w:tr>
        <w:trPr>
          <w:cantSplit/>
        </w:trPr>
        <w:tc>
          <w:tcPr>
            <w:tcW w:type="dxa" w:w="2200"/>
            <w:vAlign w:val="center"/>
            <w:tcMar>
              <w:top w:w="40" w:type="dxa"/>
              <w:start w:w="120" w:type="dxa"/>
              <w:bottom w:w="40" w:type="dxa"/>
              <w:end w:w="120" w:type="dxa"/>
            </w:tcMar>
          </w:tcPr>
          <w:p>
            <w:pPr>
              <w:spacing w:after="0" w:line="240" w:lineRule="auto"/>
              <w:jc w:val="left"/>
            </w:pPr>
            <w:r>
              <w:rPr>
                <w:rFonts w:ascii="Calibri" w:hAnsi="Calibri"/>
                <w:color w:val="17324D"/>
                <w:sz w:val="17"/>
              </w:rPr>
              <w:t>Microsoft Graph / SharePoint</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7"/>
              </w:rPr>
              <w:t xml:space="preserve">Enforces native employee ACLs or </w:t>
            </w:r>
            <w:r>
              <w:rPr>
                <w:rFonts w:ascii="Courier New" w:hAnsi="Courier New"/>
                <w:color w:val="1F4D78"/>
                <w:sz w:val="17"/>
                <w:shd w:fill="EAF2F8"/>
              </w:rPr>
              <w:t>Sites.Selected</w:t>
            </w:r>
            <w:r>
              <w:rPr>
                <w:rFonts w:ascii="Calibri" w:hAnsi="Calibri"/>
                <w:color w:val="17324D"/>
                <w:sz w:val="17"/>
              </w:rPr>
              <w:t xml:space="preserve"> application grants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7"/>
              </w:rPr>
              <w:t>Microsoft 365 data boundary</w:t>
            </w:r>
          </w:p>
        </w:tc>
      </w:tr>
    </w:tbl>
    <w:p>
      <w:pPr>
        <w:spacing w:after="40"/>
      </w:pPr>
    </w:p>
    <w:p>
      <w:pPr>
        <w:pStyle w:val="Heading2"/>
      </w:pPr>
      <w:r>
        <w:t>6.3 Identity-lane sizing rule</w:t>
      </w:r>
    </w:p>
    <w:p>
      <w:r>
        <w:rPr>
          <w:rFonts w:ascii="Calibri" w:hAnsi="Calibri"/>
          <w:color w:val="17324D"/>
          <w:sz w:val="22"/>
        </w:rPr>
        <w:t>Runtime count follows downstream credential semantics, not a fixed two-per-service rule. SharePoint needs two lanes because employee calls use delegated Graph OBO while app-only calls use a separate Graph application identity. Both lanes deploy the same SharePoint image with different configuration, secrets, Cedar actions and operational controls.</w:t>
      </w:r>
    </w:p>
    <w:p>
      <w:r>
        <w:rPr>
          <w:rFonts w:ascii="Calibri" w:hAnsi="Calibri"/>
          <w:color w:val="17324D"/>
          <w:sz w:val="22"/>
        </w:rPr>
        <w:t xml:space="preserve">CRM starts with one </w:t>
      </w:r>
      <w:r>
        <w:rPr>
          <w:rFonts w:ascii="Courier New" w:hAnsi="Courier New"/>
          <w:color w:val="1F4D78"/>
          <w:sz w:val="20"/>
          <w:shd w:fill="EAF2F8"/>
        </w:rPr>
        <w:t>crm-application</w:t>
      </w:r>
      <w:r>
        <w:rPr>
          <w:rFonts w:ascii="Calibri" w:hAnsi="Calibri"/>
          <w:color w:val="17324D"/>
          <w:sz w:val="22"/>
        </w:rPr>
        <w:t xml:space="preserve"> lane when every approved CRM operation uses one service identity. Add a </w:t>
      </w:r>
      <w:r>
        <w:rPr>
          <w:rFonts w:ascii="Courier New" w:hAnsi="Courier New"/>
          <w:color w:val="1F4D78"/>
          <w:sz w:val="20"/>
          <w:shd w:fill="EAF2F8"/>
        </w:rPr>
        <w:t>crm-delegated</w:t>
      </w:r>
      <w:r>
        <w:rPr>
          <w:rFonts w:ascii="Calibri" w:hAnsi="Calibri"/>
          <w:color w:val="17324D"/>
          <w:sz w:val="22"/>
        </w:rPr>
        <w:t xml:space="preserve"> lane from the same CRM image only if the CRM API supports and requires delegated user semantics. CRM remains a separate service image from SharePoint even though both images run on AgentCore Runtime and may inherit the same centrally maintained base image.</w:t>
      </w:r>
    </w:p>
    <w:p>
      <w:pPr>
        <w:pStyle w:val="Heading1"/>
      </w:pPr>
      <w:r>
        <w:t>7. Identity and request flows</w:t>
      </w:r>
    </w:p>
    <w:p>
      <w:pPr>
        <w:spacing w:after="40"/>
        <w:jc w:val="center"/>
      </w:pPr>
      <w:r>
        <w:drawing>
          <wp:inline xmlns:a="http://schemas.openxmlformats.org/drawingml/2006/main" xmlns:pic="http://schemas.openxmlformats.org/drawingml/2006/picture">
            <wp:extent cx="5394960" cy="7121347"/>
            <wp:docPr id="2" name="Picture 2" title="Identity and data flow" descr="Identity and data flow"/>
            <wp:cNvGraphicFramePr>
              <a:graphicFrameLocks noChangeAspect="1"/>
            </wp:cNvGraphicFramePr>
            <a:graphic>
              <a:graphicData uri="http://schemas.openxmlformats.org/drawingml/2006/picture">
                <pic:pic>
                  <pic:nvPicPr>
                    <pic:cNvPr id="0" name="enterprise-mcp-platform-identity-flow.png"/>
                    <pic:cNvPicPr/>
                  </pic:nvPicPr>
                  <pic:blipFill>
                    <a:blip r:embed="rId12"/>
                    <a:stretch>
                      <a:fillRect/>
                    </a:stretch>
                  </pic:blipFill>
                  <pic:spPr>
                    <a:xfrm>
                      <a:off x="0" y="0"/>
                      <a:ext cx="5394960" cy="7121347"/>
                    </a:xfrm>
                    <a:prstGeom prst="rect"/>
                  </pic:spPr>
                </pic:pic>
              </a:graphicData>
            </a:graphic>
          </wp:inline>
        </w:drawing>
      </w:r>
    </w:p>
    <w:p>
      <w:r>
        <w:rPr>
          <w:rFonts w:ascii="Calibri" w:hAnsi="Calibri"/>
          <w:b/>
          <w:color w:val="17324D"/>
          <w:sz w:val="22"/>
        </w:rPr>
        <w:t>Figure 2 - Identity, authorization and data flow.</w:t>
      </w:r>
      <w:r>
        <w:rPr>
          <w:rFonts w:ascii="Calibri" w:hAnsi="Calibri"/>
          <w:color w:val="17324D"/>
          <w:sz w:val="22"/>
        </w:rPr>
        <w:t xml:space="preserve"> Editable source: </w:t>
      </w:r>
      <w:r>
        <w:rPr>
          <w:rFonts w:ascii="Courier New" w:hAnsi="Courier New"/>
          <w:color w:val="1F4D78"/>
          <w:sz w:val="20"/>
          <w:shd w:fill="EAF2F8"/>
        </w:rPr>
        <w:t>enterprise-mcp-platform-review.drawio</w:t>
      </w:r>
      <w:r>
        <w:rPr>
          <w:rFonts w:ascii="Calibri" w:hAnsi="Calibri"/>
          <w:color w:val="17324D"/>
          <w:sz w:val="22"/>
        </w:rPr>
        <w:t>, page “Identity and Data Flow”.</w:t>
      </w:r>
    </w:p>
    <w:p>
      <w:pPr>
        <w:spacing w:after="40"/>
        <w:jc w:val="center"/>
      </w:pPr>
      <w:r>
        <w:drawing>
          <wp:inline xmlns:a="http://schemas.openxmlformats.org/drawingml/2006/main" xmlns:pic="http://schemas.openxmlformats.org/drawingml/2006/picture">
            <wp:extent cx="5394960" cy="3261749"/>
            <wp:docPr id="3" name="Picture 3" title="Claude Code caller identity sequence" descr="Claude Code caller identity sequence"/>
            <wp:cNvGraphicFramePr>
              <a:graphicFrameLocks noChangeAspect="1"/>
            </wp:cNvGraphicFramePr>
            <a:graphic>
              <a:graphicData uri="http://schemas.openxmlformats.org/drawingml/2006/picture">
                <pic:pic>
                  <pic:nvPicPr>
                    <pic:cNvPr id="0" name="claude-code-sequence.png"/>
                    <pic:cNvPicPr/>
                  </pic:nvPicPr>
                  <pic:blipFill>
                    <a:blip r:embed="rId13"/>
                    <a:stretch>
                      <a:fillRect/>
                    </a:stretch>
                  </pic:blipFill>
                  <pic:spPr>
                    <a:xfrm>
                      <a:off x="0" y="0"/>
                      <a:ext cx="5394960" cy="3261749"/>
                    </a:xfrm>
                    <a:prstGeom prst="rect"/>
                  </pic:spPr>
                </pic:pic>
              </a:graphicData>
            </a:graphic>
          </wp:inline>
        </w:drawing>
      </w:r>
    </w:p>
    <w:p>
      <w:r>
        <w:rPr>
          <w:rFonts w:ascii="Calibri" w:hAnsi="Calibri"/>
          <w:b/>
          <w:color w:val="17324D"/>
          <w:sz w:val="22"/>
        </w:rPr>
        <w:t>Figure 3 - Claude Code caller identity and governed SharePoint MCP sequence.</w:t>
      </w:r>
      <w:r>
        <w:rPr>
          <w:rFonts w:ascii="Calibri" w:hAnsi="Calibri"/>
          <w:color w:val="17324D"/>
          <w:sz w:val="22"/>
        </w:rPr>
        <w:t xml:space="preserve"> Editable source: </w:t>
      </w:r>
      <w:r>
        <w:rPr>
          <w:rFonts w:ascii="Courier New" w:hAnsi="Courier New"/>
          <w:color w:val="1F4D78"/>
          <w:sz w:val="20"/>
          <w:shd w:fill="EAF2F8"/>
        </w:rPr>
        <w:t>claude-code-sequence.drawio</w:t>
      </w:r>
      <w:r>
        <w:rPr>
          <w:rFonts w:ascii="Calibri" w:hAnsi="Calibri"/>
          <w:color w:val="17324D"/>
          <w:sz w:val="22"/>
        </w:rPr>
        <w:t>.</w:t>
      </w:r>
    </w:p>
    <w:p>
      <w:pPr>
        <w:pStyle w:val="Heading2"/>
      </w:pPr>
      <w:r>
        <w:t>7.1 Delegated caller flow</w:t>
      </w:r>
    </w:p>
    <w:p>
      <w:pPr>
        <w:spacing w:after="80" w:line="300" w:lineRule="auto"/>
        <w:numPr>
          <w:ilvl w:val="0"/>
          <w:numId w:val="21"/>
        </w:numPr>
      </w:pPr>
      <w:r>
        <w:rPr>
          <w:rFonts w:ascii="Calibri" w:hAnsi="Calibri"/>
          <w:color w:val="17324D"/>
          <w:sz w:val="22"/>
        </w:rPr>
        <w:t xml:space="preserve">An approved employee runs </w:t>
      </w:r>
      <w:r>
        <w:rPr>
          <w:rFonts w:ascii="Courier New" w:hAnsi="Courier New"/>
          <w:color w:val="1F4D78"/>
          <w:sz w:val="20"/>
          <w:shd w:fill="EAF2F8"/>
        </w:rPr>
        <w:t>entra_token_helper.ps1 delegated</w:t>
      </w:r>
      <w:r>
        <w:rPr>
          <w:rFonts w:ascii="Calibri" w:hAnsi="Calibri"/>
          <w:color w:val="17324D"/>
          <w:sz w:val="22"/>
        </w:rPr>
        <w:t xml:space="preserve"> on a managed device.</w:t>
      </w:r>
    </w:p>
    <w:p>
      <w:pPr>
        <w:spacing w:after="80" w:line="300" w:lineRule="auto"/>
        <w:numPr>
          <w:ilvl w:val="0"/>
          <w:numId w:val="21"/>
        </w:numPr>
      </w:pPr>
      <w:r>
        <w:rPr>
          <w:rFonts w:ascii="Calibri" w:hAnsi="Calibri"/>
          <w:color w:val="17324D"/>
          <w:sz w:val="22"/>
        </w:rPr>
        <w:t xml:space="preserve">The helper starts the Entra device-code flow for the environment-specific Enterprise MCP API and </w:t>
      </w:r>
      <w:r>
        <w:rPr>
          <w:rFonts w:ascii="Courier New" w:hAnsi="Courier New"/>
          <w:color w:val="1F4D78"/>
          <w:sz w:val="20"/>
          <w:shd w:fill="EAF2F8"/>
        </w:rPr>
        <w:t>mcp.invoke</w:t>
      </w:r>
      <w:r>
        <w:rPr>
          <w:rFonts w:ascii="Calibri" w:hAnsi="Calibri"/>
          <w:color w:val="17324D"/>
          <w:sz w:val="22"/>
        </w:rPr>
        <w:t xml:space="preserve"> scope.</w:t>
      </w:r>
    </w:p>
    <w:p>
      <w:pPr>
        <w:spacing w:after="80" w:line="300" w:lineRule="auto"/>
        <w:numPr>
          <w:ilvl w:val="0"/>
          <w:numId w:val="21"/>
        </w:numPr>
      </w:pPr>
      <w:r>
        <w:rPr>
          <w:rFonts w:ascii="Calibri" w:hAnsi="Calibri"/>
          <w:color w:val="17324D"/>
          <w:sz w:val="22"/>
        </w:rPr>
        <w:t xml:space="preserve">The employee completes Entra authentication and Conditional Access; the PowerShell assignment stores the helper's returned token in </w:t>
      </w:r>
      <w:r>
        <w:rPr>
          <w:rFonts w:ascii="Courier New" w:hAnsi="Courier New"/>
          <w:color w:val="1F4D78"/>
          <w:sz w:val="20"/>
          <w:shd w:fill="EAF2F8"/>
        </w:rPr>
        <w:t>ENTRA_ACCESS_TOKEN</w:t>
      </w:r>
      <w:r>
        <w:rPr>
          <w:rFonts w:ascii="Calibri" w:hAnsi="Calibri"/>
          <w:color w:val="17324D"/>
          <w:sz w:val="22"/>
        </w:rPr>
        <w:t>.</w:t>
      </w:r>
    </w:p>
    <w:p>
      <w:pPr>
        <w:spacing w:after="80" w:line="300" w:lineRule="auto"/>
        <w:numPr>
          <w:ilvl w:val="0"/>
          <w:numId w:val="21"/>
        </w:numPr>
      </w:pPr>
      <w:r>
        <w:rPr>
          <w:rFonts w:ascii="Calibri" w:hAnsi="Calibri"/>
          <w:color w:val="17324D"/>
          <w:sz w:val="22"/>
        </w:rPr>
        <w:t xml:space="preserve">Claude Code reads </w:t>
      </w:r>
      <w:r>
        <w:rPr>
          <w:rFonts w:ascii="Courier New" w:hAnsi="Courier New"/>
          <w:color w:val="1F4D78"/>
          <w:sz w:val="20"/>
          <w:shd w:fill="EAF2F8"/>
        </w:rPr>
        <w:t>ENTRA_ACCESS_TOKEN</w:t>
      </w:r>
      <w:r>
        <w:rPr>
          <w:rFonts w:ascii="Calibri" w:hAnsi="Calibri"/>
          <w:color w:val="17324D"/>
          <w:sz w:val="22"/>
        </w:rPr>
        <w:t xml:space="preserve"> and sends the bearer token to the AWS-managed Gateway MCP URL. Claude Code does not authenticate the employee or obtain the token itself.</w:t>
      </w:r>
    </w:p>
    <w:p>
      <w:pPr>
        <w:spacing w:after="80" w:line="300" w:lineRule="auto"/>
        <w:numPr>
          <w:ilvl w:val="0"/>
          <w:numId w:val="21"/>
        </w:numPr>
      </w:pPr>
      <w:r>
        <w:rPr>
          <w:rFonts w:ascii="Calibri" w:hAnsi="Calibri"/>
          <w:color w:val="17324D"/>
          <w:sz w:val="22"/>
        </w:rPr>
        <w:t xml:space="preserve">Gateway </w:t>
      </w:r>
      <w:r>
        <w:rPr>
          <w:rFonts w:ascii="Courier New" w:hAnsi="Courier New"/>
          <w:color w:val="1F4D78"/>
          <w:sz w:val="20"/>
          <w:shd w:fill="EAF2F8"/>
        </w:rPr>
        <w:t>CUSTOM_JWT</w:t>
      </w:r>
      <w:r>
        <w:rPr>
          <w:rFonts w:ascii="Calibri" w:hAnsi="Calibri"/>
          <w:color w:val="17324D"/>
          <w:sz w:val="22"/>
        </w:rPr>
        <w:t xml:space="preserve"> validation checks signature, issuer/discovery metadata, audience and allowed client.</w:t>
      </w:r>
    </w:p>
    <w:p>
      <w:pPr>
        <w:spacing w:after="80" w:line="300" w:lineRule="auto"/>
        <w:numPr>
          <w:ilvl w:val="0"/>
          <w:numId w:val="21"/>
        </w:numPr>
      </w:pPr>
      <w:r>
        <w:rPr>
          <w:rFonts w:ascii="Calibri" w:hAnsi="Calibri"/>
          <w:color w:val="17324D"/>
          <w:sz w:val="22"/>
        </w:rPr>
        <w:t>Direct Cedar evaluates</w:t>
      </w:r>
    </w:p>
    <w:p>
      <w:r>
        <w:rPr>
          <w:rFonts w:ascii="Courier New" w:hAnsi="Courier New"/>
          <w:color w:val="1F4D78"/>
          <w:sz w:val="20"/>
          <w:shd w:fill="EAF2F8"/>
        </w:rPr>
        <w:t>sharepoint-delegated___sharepoint_upload_file</w:t>
      </w:r>
      <w:r>
        <w:rPr>
          <w:rFonts w:ascii="Calibri" w:hAnsi="Calibri"/>
          <w:color w:val="17324D"/>
          <w:sz w:val="22"/>
        </w:rPr>
        <w:t>, the delegated scope and the delegated upload role.</w:t>
      </w:r>
    </w:p>
    <w:p>
      <w:pPr>
        <w:spacing w:after="80" w:line="300" w:lineRule="auto"/>
        <w:numPr>
          <w:ilvl w:val="0"/>
          <w:numId w:val="22"/>
        </w:numPr>
      </w:pPr>
      <w:r>
        <w:rPr>
          <w:rFonts w:ascii="Calibri" w:hAnsi="Calibri"/>
          <w:color w:val="17324D"/>
          <w:sz w:val="22"/>
        </w:rPr>
        <w:t xml:space="preserve">Gateway invokes the request interceptor, which overwrites </w:t>
      </w:r>
      <w:r>
        <w:rPr>
          <w:rFonts w:ascii="Courier New" w:hAnsi="Courier New"/>
          <w:color w:val="1F4D78"/>
          <w:sz w:val="20"/>
          <w:shd w:fill="EAF2F8"/>
        </w:rPr>
        <w:t>x-mcp-user-assertion</w:t>
      </w:r>
      <w:r>
        <w:rPr>
          <w:rFonts w:ascii="Calibri" w:hAnsi="Calibri"/>
          <w:color w:val="17324D"/>
          <w:sz w:val="22"/>
        </w:rPr>
        <w:t xml:space="preserve"> with the validated bearer assertion.</w:t>
      </w:r>
    </w:p>
    <w:p>
      <w:pPr>
        <w:spacing w:after="80" w:line="300" w:lineRule="auto"/>
        <w:numPr>
          <w:ilvl w:val="0"/>
          <w:numId w:val="22"/>
        </w:numPr>
      </w:pPr>
      <w:r>
        <w:rPr>
          <w:rFonts w:ascii="Calibri" w:hAnsi="Calibri"/>
          <w:color w:val="17324D"/>
          <w:sz w:val="22"/>
        </w:rPr>
        <w:t>Gateway invokes the SharePoint delegated Runtime with SigV4 and the assertion header.</w:t>
      </w:r>
    </w:p>
    <w:p>
      <w:pPr>
        <w:spacing w:after="80" w:line="300" w:lineRule="auto"/>
        <w:numPr>
          <w:ilvl w:val="0"/>
          <w:numId w:val="22"/>
        </w:numPr>
      </w:pPr>
      <w:r>
        <w:rPr>
          <w:rFonts w:ascii="Calibri" w:hAnsi="Calibri"/>
          <w:color w:val="17324D"/>
          <w:sz w:val="22"/>
        </w:rPr>
        <w:t xml:space="preserve">Runtime validates </w:t>
      </w:r>
      <w:r>
        <w:rPr>
          <w:rFonts w:ascii="Courier New" w:hAnsi="Courier New"/>
          <w:color w:val="1F4D78"/>
          <w:sz w:val="20"/>
          <w:shd w:fill="EAF2F8"/>
        </w:rPr>
        <w:t>site_id</w:t>
      </w:r>
      <w:r>
        <w:rPr>
          <w:rFonts w:ascii="Calibri" w:hAnsi="Calibri"/>
          <w:color w:val="17324D"/>
          <w:sz w:val="22"/>
        </w:rPr>
        <w:t xml:space="preserve">, </w:t>
      </w:r>
      <w:r>
        <w:rPr>
          <w:rFonts w:ascii="Courier New" w:hAnsi="Courier New"/>
          <w:color w:val="1F4D78"/>
          <w:sz w:val="20"/>
          <w:shd w:fill="EAF2F8"/>
        </w:rPr>
        <w:t>file_path</w:t>
      </w:r>
      <w:r>
        <w:rPr>
          <w:rFonts w:ascii="Calibri" w:hAnsi="Calibri"/>
          <w:color w:val="17324D"/>
          <w:sz w:val="22"/>
        </w:rPr>
        <w:t xml:space="preserve">, and </w:t>
      </w:r>
      <w:r>
        <w:rPr>
          <w:rFonts w:ascii="Courier New" w:hAnsi="Courier New"/>
          <w:color w:val="1F4D78"/>
          <w:sz w:val="20"/>
          <w:shd w:fill="EAF2F8"/>
        </w:rPr>
        <w:t>content</w:t>
      </w:r>
      <w:r>
        <w:rPr>
          <w:rFonts w:ascii="Calibri" w:hAnsi="Calibri"/>
          <w:color w:val="17324D"/>
          <w:sz w:val="22"/>
        </w:rPr>
        <w:t>; invalid input fails</w:t>
      </w:r>
    </w:p>
    <w:p>
      <w:r>
        <w:rPr>
          <w:rFonts w:ascii="Calibri" w:hAnsi="Calibri"/>
          <w:color w:val="17324D"/>
          <w:sz w:val="22"/>
        </w:rPr>
        <w:t>without cleanup or repair.</w:t>
      </w:r>
    </w:p>
    <w:p>
      <w:pPr>
        <w:spacing w:after="80" w:line="300" w:lineRule="auto"/>
        <w:numPr>
          <w:ilvl w:val="0"/>
          <w:numId w:val="23"/>
        </w:numPr>
      </w:pPr>
      <w:r>
        <w:rPr>
          <w:rFonts w:ascii="Calibri" w:hAnsi="Calibri"/>
          <w:color w:val="17324D"/>
          <w:sz w:val="22"/>
        </w:rPr>
        <w:t>Runtime performs the OBO exchange and calls Graph as the employee.</w:t>
      </w:r>
    </w:p>
    <w:p>
      <w:pPr>
        <w:spacing w:after="80" w:line="300" w:lineRule="auto"/>
        <w:numPr>
          <w:ilvl w:val="0"/>
          <w:numId w:val="23"/>
        </w:numPr>
      </w:pPr>
      <w:r>
        <w:rPr>
          <w:rFonts w:ascii="Calibri" w:hAnsi="Calibri"/>
          <w:color w:val="17324D"/>
          <w:sz w:val="22"/>
        </w:rPr>
        <w:t>SharePoint enforces the employee's native site/item permissions before the response returns through Runtime and Gateway.</w:t>
      </w:r>
    </w:p>
    <w:p>
      <w:pPr>
        <w:pStyle w:val="Heading2"/>
      </w:pPr>
      <w:r>
        <w:t>7.2 Application caller flow</w:t>
      </w:r>
    </w:p>
    <w:p>
      <w:r>
        <w:rPr>
          <w:rFonts w:ascii="Calibri" w:hAnsi="Calibri"/>
          <w:color w:val="17324D"/>
          <w:sz w:val="22"/>
        </w:rPr>
        <w:t xml:space="preserve">An approved application obtains an app-only Enterprise MCP token through client credentials. Direct Cedar authorizes only </w:t>
      </w:r>
      <w:r>
        <w:rPr>
          <w:rFonts w:ascii="Courier New" w:hAnsi="Courier New"/>
          <w:color w:val="1F4D78"/>
          <w:sz w:val="20"/>
          <w:shd w:fill="EAF2F8"/>
        </w:rPr>
        <w:t>sharepoint-application___sharepoint_upload_file</w:t>
      </w:r>
      <w:r>
        <w:rPr>
          <w:rFonts w:ascii="Calibri" w:hAnsi="Calibri"/>
          <w:color w:val="17324D"/>
          <w:sz w:val="22"/>
        </w:rPr>
        <w:t xml:space="preserve"> for its application upload role. The application Runtime obtains a separate Graph application token, and SharePoint limits it to explicit </w:t>
      </w:r>
      <w:r>
        <w:rPr>
          <w:rFonts w:ascii="Courier New" w:hAnsi="Courier New"/>
          <w:color w:val="1F4D78"/>
          <w:sz w:val="20"/>
          <w:shd w:fill="EAF2F8"/>
        </w:rPr>
        <w:t>Sites.Selected</w:t>
      </w:r>
      <w:r>
        <w:rPr>
          <w:rFonts w:ascii="Calibri" w:hAnsi="Calibri"/>
          <w:color w:val="17324D"/>
          <w:sz w:val="22"/>
        </w:rPr>
        <w:t xml:space="preserve"> grants. Its AWS workload role remains separate and is used for workload execution, logs and approved credential retrieval.</w:t>
      </w:r>
    </w:p>
    <w:p>
      <w:pPr>
        <w:pStyle w:val="Heading2"/>
      </w:pPr>
      <w:r>
        <w:t>7.3 Documentation-assisted Terraform delivery</w:t>
      </w:r>
    </w:p>
    <w:p>
      <w:pPr>
        <w:spacing w:after="40"/>
        <w:jc w:val="center"/>
      </w:pPr>
      <w:r>
        <w:drawing>
          <wp:inline xmlns:a="http://schemas.openxmlformats.org/drawingml/2006/main" xmlns:pic="http://schemas.openxmlformats.org/drawingml/2006/picture">
            <wp:extent cx="5394960" cy="2139210"/>
            <wp:docPr id="4" name="Picture 4" title="Claude Code documentation and Terraform delivery sequence" descr="Claude Code documentation and Terraform delivery sequence"/>
            <wp:cNvGraphicFramePr>
              <a:graphicFrameLocks noChangeAspect="1"/>
            </wp:cNvGraphicFramePr>
            <a:graphic>
              <a:graphicData uri="http://schemas.openxmlformats.org/drawingml/2006/picture">
                <pic:pic>
                  <pic:nvPicPr>
                    <pic:cNvPr id="0" name="claude-code-terraform-docs-sequence.png"/>
                    <pic:cNvPicPr/>
                  </pic:nvPicPr>
                  <pic:blipFill>
                    <a:blip r:embed="rId14"/>
                    <a:stretch>
                      <a:fillRect/>
                    </a:stretch>
                  </pic:blipFill>
                  <pic:spPr>
                    <a:xfrm>
                      <a:off x="0" y="0"/>
                      <a:ext cx="5394960" cy="2139210"/>
                    </a:xfrm>
                    <a:prstGeom prst="rect"/>
                  </pic:spPr>
                </pic:pic>
              </a:graphicData>
            </a:graphic>
          </wp:inline>
        </w:drawing>
      </w:r>
    </w:p>
    <w:p>
      <w:r>
        <w:rPr>
          <w:rFonts w:ascii="Calibri" w:hAnsi="Calibri"/>
          <w:b/>
          <w:color w:val="17324D"/>
          <w:sz w:val="22"/>
        </w:rPr>
        <w:t>Figure 4 - Claude Code documentation lookup and the separate Git/TFE delivery path.</w:t>
      </w:r>
      <w:r>
        <w:rPr>
          <w:rFonts w:ascii="Calibri" w:hAnsi="Calibri"/>
          <w:color w:val="17324D"/>
          <w:sz w:val="22"/>
        </w:rPr>
        <w:t xml:space="preserve"> Editable sources: </w:t>
      </w:r>
      <w:r>
        <w:rPr>
          <w:rFonts w:ascii="Courier New" w:hAnsi="Courier New"/>
          <w:color w:val="1F4D78"/>
          <w:sz w:val="20"/>
          <w:shd w:fill="EAF2F8"/>
        </w:rPr>
        <w:t>claude-code-terraform-docs-sequence.mmd</w:t>
      </w:r>
      <w:r>
        <w:rPr>
          <w:rFonts w:ascii="Calibri" w:hAnsi="Calibri"/>
          <w:color w:val="17324D"/>
          <w:sz w:val="22"/>
        </w:rPr>
        <w:t xml:space="preserve"> and </w:t>
      </w:r>
      <w:r>
        <w:rPr>
          <w:rFonts w:ascii="Courier New" w:hAnsi="Courier New"/>
          <w:color w:val="1F4D78"/>
          <w:sz w:val="20"/>
          <w:shd w:fill="EAF2F8"/>
        </w:rPr>
        <w:t>claude-code-terraform-docs-sequence.drawio</w:t>
      </w:r>
      <w:r>
        <w:rPr>
          <w:rFonts w:ascii="Calibri" w:hAnsi="Calibri"/>
          <w:color w:val="17324D"/>
          <w:sz w:val="22"/>
        </w:rPr>
        <w:t>.</w:t>
      </w:r>
    </w:p>
    <w:p>
      <w:r>
        <w:rPr>
          <w:rFonts w:ascii="Calibri" w:hAnsi="Calibri"/>
          <w:color w:val="17324D"/>
          <w:sz w:val="22"/>
        </w:rPr>
        <w:t xml:space="preserve">Claude Code calls AWS Knowledge and Microsoft Learn directly through Gateway targets. Terraform provider/module documentation is served by an enterprise-hosted Terraform MCP Runtime configured with only the public </w:t>
      </w:r>
      <w:r>
        <w:rPr>
          <w:rFonts w:ascii="Courier New" w:hAnsi="Courier New"/>
          <w:color w:val="1F4D78"/>
          <w:sz w:val="20"/>
          <w:shd w:fill="EAF2F8"/>
        </w:rPr>
        <w:t>registry</w:t>
      </w:r>
      <w:r>
        <w:rPr>
          <w:rFonts w:ascii="Calibri" w:hAnsi="Calibri"/>
          <w:color w:val="17324D"/>
          <w:sz w:val="22"/>
        </w:rPr>
        <w:t xml:space="preserve"> toolset, Terraform operations disabled and no TFE credential. Claude Code writes the resulting Terraform in the local checkout, presents the diff to the employee, and uses standard Git/PR actions against the self-managed Azure DevOps Server. The existing VCS integration triggers central TFE plan and approval. Gateway and the Terraform MCP Runtime cannot push code, create TFE runs or apply infrastructure.</w:t>
      </w:r>
    </w:p>
    <w:p>
      <w:pPr>
        <w:pStyle w:val="Heading2"/>
      </w:pPr>
      <w:r>
        <w:t>7.4 AgentCore Identity usage</w:t>
      </w:r>
    </w:p>
    <w:p>
      <w:r>
        <w:rPr>
          <w:rFonts w:ascii="Calibri" w:hAnsi="Calibri"/>
          <w:color w:val="17324D"/>
          <w:sz w:val="22"/>
        </w:rPr>
        <w:t>AgentCore Identity is involved in the current architecture in two limited ways:</w:t>
      </w:r>
    </w:p>
    <w:p>
      <w:pPr>
        <w:spacing w:after="80" w:line="300" w:lineRule="auto"/>
        <w:numPr>
          <w:ilvl w:val="0"/>
          <w:numId w:val="24"/>
        </w:numPr>
      </w:pPr>
      <w:r>
        <w:rPr>
          <w:rFonts w:ascii="Calibri" w:hAnsi="Calibri"/>
          <w:color w:val="17324D"/>
          <w:sz w:val="22"/>
        </w:rPr>
        <w:t xml:space="preserve">AWS documents the Runtime/Gateway inbound </w:t>
      </w:r>
      <w:r>
        <w:rPr>
          <w:rFonts w:ascii="Courier New" w:hAnsi="Courier New"/>
          <w:color w:val="1F4D78"/>
          <w:sz w:val="20"/>
          <w:shd w:fill="EAF2F8"/>
        </w:rPr>
        <w:t>CUSTOM_JWT</w:t>
      </w:r>
      <w:r>
        <w:rPr>
          <w:rFonts w:ascii="Calibri" w:hAnsi="Calibri"/>
          <w:color w:val="17324D"/>
          <w:sz w:val="22"/>
        </w:rPr>
        <w:t xml:space="preserve"> authorizer as an AgentCore Identity capability. It validates externally issued tokens; it does not replace Microsoft Entra ID.</w:t>
      </w:r>
    </w:p>
    <w:p>
      <w:pPr>
        <w:spacing w:after="80" w:line="300" w:lineRule="auto"/>
        <w:numPr>
          <w:ilvl w:val="0"/>
          <w:numId w:val="24"/>
        </w:numPr>
      </w:pPr>
      <w:r>
        <w:rPr>
          <w:rFonts w:ascii="Calibri" w:hAnsi="Calibri"/>
          <w:color w:val="17324D"/>
          <w:sz w:val="22"/>
        </w:rPr>
        <w:t>Runtime and Gateway may create service-managed workload identities automatically. These identities are not a reason to grant outbound credential access.</w:t>
      </w:r>
    </w:p>
    <w:p>
      <w:r>
        <w:rPr>
          <w:rFonts w:ascii="Calibri" w:hAnsi="Calibri"/>
          <w:color w:val="17324D"/>
          <w:sz w:val="22"/>
        </w:rPr>
        <w:t xml:space="preserve">The first slice does </w:t>
      </w:r>
      <w:r>
        <w:rPr>
          <w:rFonts w:ascii="Calibri" w:hAnsi="Calibri"/>
          <w:b/>
          <w:color w:val="17324D"/>
          <w:sz w:val="22"/>
        </w:rPr>
        <w:t>not</w:t>
      </w:r>
      <w:r>
        <w:rPr>
          <w:rFonts w:ascii="Calibri" w:hAnsi="Calibri"/>
          <w:color w:val="17324D"/>
          <w:sz w:val="22"/>
        </w:rPr>
        <w:t xml:space="preserve"> create AgentCore Identity OAuth/API-key credential providers, use its token vault, or grant Runtime workload-token permissions. A later proposal may evaluate outbound brokering if the platform needs user-delegated SaaS access, OAuth refresh-token custody, on-behalf-of exchange or consistent credential vending across multiple third-party systems.</w:t>
      </w:r>
    </w:p>
    <w:p>
      <w:pPr>
        <w:pStyle w:val="Heading2"/>
      </w:pPr>
      <w:r>
        <w:t>7.5 Authorization layers</w:t>
      </w:r>
    </w:p>
    <w:p>
      <w:r>
        <w:rPr>
          <w:rFonts w:ascii="Calibri" w:hAnsi="Calibri"/>
          <w:color w:val="17324D"/>
          <w:sz w:val="22"/>
        </w:rPr>
        <w:t>Authorization is deliberately layered:</w:t>
      </w:r>
    </w:p>
    <w:p>
      <w:pPr>
        <w:spacing w:after="80" w:line="300" w:lineRule="auto"/>
        <w:numPr>
          <w:ilvl w:val="0"/>
          <w:numId w:val="25"/>
        </w:numPr>
      </w:pPr>
      <w:r>
        <w:rPr>
          <w:rFonts w:ascii="Calibri" w:hAnsi="Calibri"/>
          <w:b/>
          <w:color w:val="17324D"/>
          <w:sz w:val="22"/>
        </w:rPr>
        <w:t>Entra assignment:</w:t>
      </w:r>
      <w:r>
        <w:rPr>
          <w:rFonts w:ascii="Calibri" w:hAnsi="Calibri"/>
          <w:color w:val="17324D"/>
          <w:sz w:val="22"/>
        </w:rPr>
        <w:t xml:space="preserve"> who may obtain a token and which scope/app role is present.</w:t>
      </w:r>
    </w:p>
    <w:p>
      <w:pPr>
        <w:spacing w:after="80" w:line="300" w:lineRule="auto"/>
        <w:numPr>
          <w:ilvl w:val="0"/>
          <w:numId w:val="25"/>
        </w:numPr>
      </w:pPr>
      <w:r>
        <w:rPr>
          <w:rFonts w:ascii="Calibri" w:hAnsi="Calibri"/>
          <w:b/>
          <w:color w:val="17324D"/>
          <w:sz w:val="22"/>
        </w:rPr>
        <w:t>Gateway JWT validation:</w:t>
      </w:r>
      <w:r>
        <w:rPr>
          <w:rFonts w:ascii="Calibri" w:hAnsi="Calibri"/>
          <w:color w:val="17324D"/>
          <w:sz w:val="22"/>
        </w:rPr>
        <w:t xml:space="preserve"> whether the token is valid for this environment and client.</w:t>
      </w:r>
    </w:p>
    <w:p>
      <w:pPr>
        <w:spacing w:after="80" w:line="300" w:lineRule="auto"/>
        <w:numPr>
          <w:ilvl w:val="0"/>
          <w:numId w:val="25"/>
        </w:numPr>
      </w:pPr>
      <w:r>
        <w:rPr>
          <w:rFonts w:ascii="Calibri" w:hAnsi="Calibri"/>
          <w:b/>
          <w:color w:val="17324D"/>
          <w:sz w:val="22"/>
        </w:rPr>
        <w:t>Gateway policy:</w:t>
      </w:r>
      <w:r>
        <w:rPr>
          <w:rFonts w:ascii="Calibri" w:hAnsi="Calibri"/>
          <w:color w:val="17324D"/>
          <w:sz w:val="22"/>
        </w:rPr>
        <w:t xml:space="preserve"> whether the caller may discover or invoke the requested tool with the supplied parameters.</w:t>
      </w:r>
    </w:p>
    <w:p>
      <w:pPr>
        <w:spacing w:after="80" w:line="300" w:lineRule="auto"/>
        <w:numPr>
          <w:ilvl w:val="0"/>
          <w:numId w:val="25"/>
        </w:numPr>
      </w:pPr>
      <w:r>
        <w:rPr>
          <w:rFonts w:ascii="Calibri" w:hAnsi="Calibri"/>
          <w:b/>
          <w:color w:val="17324D"/>
          <w:sz w:val="22"/>
        </w:rPr>
        <w:t>Runtime validation:</w:t>
      </w:r>
      <w:r>
        <w:rPr>
          <w:rFonts w:ascii="Calibri" w:hAnsi="Calibri"/>
          <w:color w:val="17324D"/>
          <w:sz w:val="22"/>
        </w:rPr>
        <w:t xml:space="preserve"> whether the required upload inputs are valid exactly</w:t>
      </w:r>
    </w:p>
    <w:p>
      <w:r>
        <w:rPr>
          <w:rFonts w:ascii="Calibri" w:hAnsi="Calibri"/>
          <w:color w:val="17324D"/>
          <w:sz w:val="22"/>
        </w:rPr>
        <w:t>as supplied.</w:t>
      </w:r>
    </w:p>
    <w:p>
      <w:pPr>
        <w:spacing w:after="80" w:line="300" w:lineRule="auto"/>
        <w:numPr>
          <w:ilvl w:val="0"/>
          <w:numId w:val="26"/>
        </w:numPr>
      </w:pPr>
      <w:r>
        <w:rPr>
          <w:rFonts w:ascii="Calibri" w:hAnsi="Calibri"/>
          <w:b/>
          <w:color w:val="17324D"/>
          <w:sz w:val="22"/>
        </w:rPr>
        <w:t>Graph OBO or application identity:</w:t>
      </w:r>
      <w:r>
        <w:rPr>
          <w:rFonts w:ascii="Calibri" w:hAnsi="Calibri"/>
          <w:color w:val="17324D"/>
          <w:sz w:val="22"/>
        </w:rPr>
        <w:t xml:space="preserve"> whether the call represents the employee or the approved application principal.</w:t>
      </w:r>
    </w:p>
    <w:p>
      <w:pPr>
        <w:spacing w:after="80" w:line="300" w:lineRule="auto"/>
        <w:numPr>
          <w:ilvl w:val="0"/>
          <w:numId w:val="26"/>
        </w:numPr>
      </w:pPr>
      <w:r>
        <w:rPr>
          <w:rFonts w:ascii="Calibri" w:hAnsi="Calibri"/>
          <w:b/>
          <w:color w:val="17324D"/>
          <w:sz w:val="22"/>
        </w:rPr>
        <w:t>SharePoint controls:</w:t>
      </w:r>
      <w:r>
        <w:rPr>
          <w:rFonts w:ascii="Calibri" w:hAnsi="Calibri"/>
          <w:color w:val="17324D"/>
          <w:sz w:val="22"/>
        </w:rPr>
        <w:t xml:space="preserve"> native user ACLs or </w:t>
      </w:r>
      <w:r>
        <w:rPr>
          <w:rFonts w:ascii="Courier New" w:hAnsi="Courier New"/>
          <w:color w:val="1F4D78"/>
          <w:sz w:val="20"/>
          <w:shd w:fill="EAF2F8"/>
        </w:rPr>
        <w:t>Sites.Selected</w:t>
      </w:r>
      <w:r>
        <w:rPr>
          <w:rFonts w:ascii="Calibri" w:hAnsi="Calibri"/>
          <w:color w:val="17324D"/>
          <w:sz w:val="22"/>
        </w:rPr>
        <w:t>, plus versioning, retention and audit controls.</w:t>
      </w:r>
    </w:p>
    <w:p>
      <w:r>
        <w:rPr>
          <w:rFonts w:ascii="Calibri" w:hAnsi="Calibri"/>
          <w:color w:val="17324D"/>
          <w:sz w:val="22"/>
        </w:rPr>
        <w:t>No single layer is treated as sufficient by itself.</w:t>
      </w:r>
    </w:p>
    <w:p>
      <w:pPr>
        <w:pStyle w:val="Heading2"/>
      </w:pPr>
      <w:r>
        <w:t>7.6 Request context</w:t>
      </w:r>
    </w:p>
    <w:p>
      <w:r>
        <w:rPr>
          <w:rFonts w:ascii="Calibri" w:hAnsi="Calibri"/>
          <w:color w:val="17324D"/>
          <w:sz w:val="22"/>
        </w:rPr>
        <w:t>Cedar consumes Gateway-validated caller claims; the Runtime does not make a second identity-policy decision. Client-supplied identity headers and MCP tool arguments remain untrusted. The request interceptor copies the validated bearer token into a dedicated OBO assertion header only for the delegated lane, overwriting any client value. That header is a credential assertion rather than a caller identity claim, is absent from application lanes, and must never be logged.</w:t>
      </w:r>
    </w:p>
    <w:p>
      <w:pPr>
        <w:pStyle w:val="Heading1"/>
      </w:pPr>
      <w:r>
        <w:t>8. Network and trust boundaries</w:t>
      </w:r>
    </w:p>
    <w:p>
      <w:pPr>
        <w:pStyle w:val="Heading2"/>
      </w:pPr>
      <w:r>
        <w:t>8.1 Inbound access</w:t>
      </w:r>
    </w:p>
    <w:p>
      <w:r>
        <w:rPr>
          <w:rFonts w:ascii="Calibri" w:hAnsi="Calibri"/>
          <w:color w:val="17324D"/>
          <w:sz w:val="22"/>
        </w:rPr>
        <w:t>The client endpoint is the AWS-managed Gateway URL:</w:t>
      </w:r>
    </w:p>
    <w:tbl>
      <w:tblPr>
        <w:tblW w:type="dxa" w:w="9360"/>
        <w:tblLayout w:type="fixed"/>
        <w:tblLook w:firstColumn="1" w:firstRow="1" w:lastColumn="0" w:lastRow="0" w:noHBand="0" w:noVBand="1" w:val="04A0"/>
        <w:tblInd w:w="120" w:type="dxa"/>
        <w:tblLayout w:type="fixed"/>
      </w:tblPr>
      <w:tblGrid>
        <w:gridCol w:w="9360"/>
      </w:tblGrid>
      <w:tr>
        <w:trPr>
          <w:cantSplit/>
        </w:trPr>
        <w:tc>
          <w:tcPr>
            <w:tcW w:type="dxa" w:w="9360"/>
            <w:vAlign w:val="center"/>
            <w:tcMar>
              <w:top w:w="80" w:type="dxa"/>
              <w:start w:w="120" w:type="dxa"/>
              <w:bottom w:w="80" w:type="dxa"/>
              <w:end w:w="120" w:type="dxa"/>
            </w:tcMar>
            <w:shd w:fill="F6F8FA"/>
          </w:tcPr>
          <w:p>
            <w:pPr>
              <w:spacing w:after="0" w:line="240" w:lineRule="auto"/>
            </w:pPr>
            <w:r>
              <w:rPr>
                <w:rFonts w:ascii="Courier New" w:hAnsi="Courier New"/>
                <w:color w:val="17324D"/>
                <w:sz w:val="17"/>
              </w:rPr>
              <w:t>https://{gateway-id}.gateway.bedrock-agentcore.{region}.amazonaws.com/mcp</w:t>
            </w:r>
          </w:p>
        </w:tc>
      </w:tr>
    </w:tbl>
    <w:p>
      <w:pPr>
        <w:spacing w:after="40"/>
      </w:pPr>
    </w:p>
    <w:p>
      <w:r>
        <w:rPr>
          <w:rFonts w:ascii="Calibri" w:hAnsi="Calibri"/>
          <w:color w:val="17324D"/>
          <w:sz w:val="22"/>
        </w:rPr>
        <w:t xml:space="preserve">Approved VPC clients use the externally managed interface endpoint </w:t>
      </w:r>
      <w:r>
        <w:rPr>
          <w:rFonts w:ascii="Courier New" w:hAnsi="Courier New"/>
          <w:color w:val="1F4D78"/>
          <w:sz w:val="20"/>
          <w:shd w:fill="EAF2F8"/>
        </w:rPr>
        <w:t>com.amazonaws.&lt;region&gt;.bedrock-agentcore.gateway</w:t>
      </w:r>
      <w:r>
        <w:rPr>
          <w:rFonts w:ascii="Calibri" w:hAnsi="Calibri"/>
          <w:color w:val="17324D"/>
          <w:sz w:val="22"/>
        </w:rPr>
        <w:t xml:space="preserve"> with private DNS. The network/platform account, rather than this workload Terraform root, owns the endpoint, endpoint policy, routing and client-side security groups. For OAuth requests through this endpoint, the endpoint policy may require a wildcard principal because VPC endpoint policies evaluate IAM principals rather than OAuth users. Compensating controls are exact Gateway resource scoping, security-group restrictions, routing controls, </w:t>
      </w:r>
      <w:r>
        <w:rPr>
          <w:rFonts w:ascii="Courier New" w:hAnsi="Courier New"/>
          <w:color w:val="1F4D78"/>
          <w:sz w:val="20"/>
          <w:shd w:fill="EAF2F8"/>
        </w:rPr>
        <w:t>CUSTOM_JWT</w:t>
      </w:r>
      <w:r>
        <w:rPr>
          <w:rFonts w:ascii="Calibri" w:hAnsi="Calibri"/>
          <w:color w:val="17324D"/>
          <w:sz w:val="22"/>
        </w:rPr>
        <w:t xml:space="preserve"> validation and Gateway policy.</w:t>
      </w:r>
    </w:p>
    <w:p>
      <w:r>
        <w:rPr>
          <w:rFonts w:ascii="Calibri" w:hAnsi="Calibri"/>
          <w:color w:val="17324D"/>
          <w:sz w:val="22"/>
        </w:rPr>
        <w:t>Corporate workstation routing to PrivateLink must be proven through the enterprise network path. Private connectivity is exposure reduction, not caller authentication.</w:t>
      </w:r>
    </w:p>
    <w:p>
      <w:pPr>
        <w:pStyle w:val="Heading2"/>
      </w:pPr>
      <w:r>
        <w:t>8.2 Gateway-to-Runtime</w:t>
      </w:r>
    </w:p>
    <w:p>
      <w:r>
        <w:rPr>
          <w:rFonts w:ascii="Calibri" w:hAnsi="Calibri"/>
          <w:color w:val="17324D"/>
          <w:sz w:val="22"/>
        </w:rPr>
        <w:t xml:space="preserve">Gateway signs Runtime requests using the Gateway IAM role. The Runtime resource policy allows </w:t>
      </w:r>
      <w:r>
        <w:rPr>
          <w:rFonts w:ascii="Courier New" w:hAnsi="Courier New"/>
          <w:color w:val="1F4D78"/>
          <w:sz w:val="20"/>
          <w:shd w:fill="EAF2F8"/>
        </w:rPr>
        <w:t>InvokeAgentRuntime</w:t>
      </w:r>
      <w:r>
        <w:rPr>
          <w:rFonts w:ascii="Calibri" w:hAnsi="Calibri"/>
          <w:color w:val="17324D"/>
          <w:sz w:val="22"/>
        </w:rPr>
        <w:t xml:space="preserve"> only from that role. Direct client-to-Runtime access is not an approved fallback. Runtime IAM trust is restricted with source-account and source-ARN conditions.</w:t>
      </w:r>
    </w:p>
    <w:p>
      <w:pPr>
        <w:pStyle w:val="Heading2"/>
      </w:pPr>
      <w:r>
        <w:t>8.3 Runtime egress</w:t>
      </w:r>
    </w:p>
    <w:p>
      <w:r>
        <w:rPr>
          <w:rFonts w:ascii="Calibri" w:hAnsi="Calibri"/>
          <w:color w:val="17324D"/>
          <w:sz w:val="22"/>
        </w:rPr>
        <w:t>Runtime operates in VPC mode with private subnets and restricted security groups. Egress should be limited to required AWS endpoints, Microsoft identity endpoints and Microsoft Graph. The final design must document whether Graph egress uses controlled NAT/proxy, firewall and DNS controls, and how certificate inspection or proxy behaviour affects OAuth and Graph traffic.</w:t>
      </w:r>
    </w:p>
    <w:p>
      <w:pPr>
        <w:pStyle w:val="Heading2"/>
      </w:pPr>
      <w:r>
        <w:t>8.4 Endpoint and domain choice</w:t>
      </w:r>
    </w:p>
    <w:p>
      <w:r>
        <w:rPr>
          <w:rFonts w:ascii="Calibri" w:hAnsi="Calibri"/>
          <w:color w:val="17324D"/>
          <w:sz w:val="22"/>
        </w:rPr>
        <w:t>CloudFront and other CDN-backed custom domains are excluded. Clients use the AWS-managed Gateway hostname. A vanity domain requires a new architecture decision demonstrating supported TLS termination, OAuth discovery behaviour, regional routing and absence of an unapproved global edge layer.</w:t>
      </w:r>
    </w:p>
    <w:p>
      <w:pPr>
        <w:pStyle w:val="Heading1"/>
      </w:pPr>
      <w:r>
        <w:t>9. Tool and data contracts</w:t>
      </w:r>
    </w:p>
    <w:p>
      <w:pPr>
        <w:pStyle w:val="Heading2"/>
      </w:pPr>
      <w:r>
        <w:t>9.1 First-slice tools</w:t>
      </w:r>
    </w:p>
    <w:tbl>
      <w:tblPr>
        <w:tblStyle w:val="TableGrid"/>
        <w:tblW w:type="dxa" w:w="9360"/>
        <w:tblLayout w:type="fixed"/>
        <w:tblLook w:firstColumn="1" w:firstRow="1" w:lastColumn="0" w:lastRow="0" w:noHBand="0" w:noVBand="1" w:val="04A0"/>
        <w:tblInd w:w="120" w:type="dxa"/>
        <w:tblLayout w:type="fixed"/>
        <w:tblInd w:w="120" w:type="dxa"/>
        <w:tblLayout w:type="fixed"/>
      </w:tblPr>
      <w:tblGrid>
        <w:gridCol w:w="2500"/>
        <w:gridCol w:w="2900"/>
        <w:gridCol w:w="3960"/>
      </w:tblGrid>
      <w:tr>
        <w:trPr>
          <w:cantSplit/>
          <w:tblHeader w:val="true"/>
        </w:trPr>
        <w:tc>
          <w:tcPr>
            <w:tcW w:type="dxa" w:w="2500"/>
            <w:vAlign w:val="center"/>
            <w:tcMar>
              <w:top w:w="80" w:type="dxa"/>
              <w:start w:w="120" w:type="dxa"/>
              <w:bottom w:w="80" w:type="dxa"/>
              <w:end w:w="120" w:type="dxa"/>
            </w:tcMar>
            <w:shd w:fill="E8EEF5"/>
          </w:tcPr>
          <w:p>
            <w:pPr>
              <w:spacing w:after="0"/>
              <w:jc w:val="center"/>
            </w:pPr>
            <w:r>
              <w:rPr>
                <w:rFonts w:ascii="Calibri" w:hAnsi="Calibri"/>
                <w:b/>
                <w:color w:val="17324D"/>
                <w:sz w:val="19"/>
              </w:rPr>
              <w:t>Tool</w:t>
            </w:r>
          </w:p>
        </w:tc>
        <w:tc>
          <w:tcPr>
            <w:tcW w:type="dxa" w:w="2900"/>
            <w:vAlign w:val="center"/>
            <w:tcMar>
              <w:top w:w="80" w:type="dxa"/>
              <w:start w:w="120" w:type="dxa"/>
              <w:bottom w:w="80" w:type="dxa"/>
              <w:end w:w="120" w:type="dxa"/>
            </w:tcMar>
            <w:shd w:fill="E8EEF5"/>
          </w:tcPr>
          <w:p>
            <w:pPr>
              <w:spacing w:after="0"/>
              <w:jc w:val="center"/>
            </w:pPr>
            <w:r>
              <w:rPr>
                <w:rFonts w:ascii="Calibri" w:hAnsi="Calibri"/>
                <w:b/>
                <w:color w:val="17324D"/>
                <w:sz w:val="19"/>
              </w:rPr>
              <w:t>Purpose</w:t>
            </w:r>
          </w:p>
        </w:tc>
        <w:tc>
          <w:tcPr>
            <w:tcW w:type="dxa" w:w="3960"/>
            <w:vAlign w:val="center"/>
            <w:tcMar>
              <w:top w:w="80" w:type="dxa"/>
              <w:start w:w="120" w:type="dxa"/>
              <w:bottom w:w="80" w:type="dxa"/>
              <w:end w:w="120" w:type="dxa"/>
            </w:tcMar>
            <w:shd w:fill="E8EEF5"/>
          </w:tcPr>
          <w:p>
            <w:pPr>
              <w:spacing w:after="0"/>
              <w:jc w:val="left"/>
            </w:pPr>
            <w:r>
              <w:rPr>
                <w:rFonts w:ascii="Calibri" w:hAnsi="Calibri"/>
                <w:b/>
                <w:color w:val="17324D"/>
                <w:sz w:val="19"/>
              </w:rPr>
              <w:t>Default authorization</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sharepoint_list_site_content</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List metadata below a requested site/path</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Exact lane-qualified Cedar read role plus downstream SharePoint authorization</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sharepoint_get_file_text</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Read bounded text from one file</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Exact lane-qualified Cedar read role plus downstream SharePoint authorization</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ourier New" w:hAnsi="Courier New"/>
                <w:color w:val="1F4D78"/>
                <w:sz w:val="17"/>
                <w:shd w:fill="EAF2F8"/>
              </w:rPr>
              <w:t>sharepoint_upload_file</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Create or replace one small UTF-8 text file in the site's default document library</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Exact lane-qualified Cedar upload role plus downstream SharePoint authorization</w:t>
            </w:r>
          </w:p>
        </w:tc>
      </w:tr>
    </w:tbl>
    <w:p>
      <w:pPr>
        <w:spacing w:after="40"/>
      </w:pPr>
    </w:p>
    <w:p>
      <w:r>
        <w:rPr>
          <w:rFonts w:ascii="Calibri" w:hAnsi="Calibri"/>
          <w:color w:val="17324D"/>
          <w:sz w:val="22"/>
        </w:rPr>
        <w:t>The platform must not expose generic HTTP request, arbitrary URL, shell, SQL, file-system or permission-management tools.</w:t>
      </w:r>
    </w:p>
    <w:p>
      <w:pPr>
        <w:pStyle w:val="Heading2"/>
      </w:pPr>
      <w:r>
        <w:t>9.2 Data classification and handling</w:t>
      </w:r>
    </w:p>
    <w:p>
      <w:r>
        <w:rPr>
          <w:rFonts w:ascii="Calibri" w:hAnsi="Calibri"/>
          <w:color w:val="17324D"/>
          <w:sz w:val="22"/>
        </w:rPr>
        <w:t xml:space="preserve">SharePoint content may contain internal, personal, security-sensitive or regulated information. The platform does not change the source classification. Site owners govern employee access through native SharePoint permissions and govern application access through explicit </w:t>
      </w:r>
      <w:r>
        <w:rPr>
          <w:rFonts w:ascii="Courier New" w:hAnsi="Courier New"/>
          <w:color w:val="1F4D78"/>
          <w:sz w:val="20"/>
          <w:shd w:fill="EAF2F8"/>
        </w:rPr>
        <w:t>Sites.Selected</w:t>
      </w:r>
      <w:r>
        <w:rPr>
          <w:rFonts w:ascii="Calibri" w:hAnsi="Calibri"/>
          <w:color w:val="17324D"/>
          <w:sz w:val="22"/>
        </w:rPr>
        <w:t xml:space="preserve"> grants. Callers remain responsible for handling uploaded content according to its classification.</w:t>
      </w:r>
    </w:p>
    <w:p>
      <w:r>
        <w:rPr>
          <w:rFonts w:ascii="Calibri" w:hAnsi="Calibri"/>
          <w:color w:val="17324D"/>
          <w:sz w:val="22"/>
        </w:rPr>
        <w:t>The following are prohibited from application logs, traces and policy logs:</w:t>
      </w:r>
    </w:p>
    <w:p>
      <w:pPr>
        <w:spacing w:after="80" w:line="300" w:lineRule="auto"/>
        <w:numPr>
          <w:ilvl w:val="0"/>
          <w:numId w:val="27"/>
        </w:numPr>
      </w:pPr>
      <w:r>
        <w:rPr>
          <w:rFonts w:ascii="Calibri" w:hAnsi="Calibri"/>
          <w:color w:val="17324D"/>
          <w:sz w:val="22"/>
        </w:rPr>
        <w:t>bearer tokens, refresh tokens, client secrets or certificates;</w:t>
      </w:r>
    </w:p>
    <w:p>
      <w:pPr>
        <w:spacing w:after="80" w:line="300" w:lineRule="auto"/>
        <w:numPr>
          <w:ilvl w:val="0"/>
          <w:numId w:val="27"/>
        </w:numPr>
      </w:pPr>
      <w:r>
        <w:rPr>
          <w:rFonts w:ascii="Calibri" w:hAnsi="Calibri"/>
          <w:color w:val="17324D"/>
          <w:sz w:val="22"/>
        </w:rPr>
        <w:t>full SharePoint documents or large content fragments;</w:t>
      </w:r>
    </w:p>
    <w:p>
      <w:pPr>
        <w:spacing w:after="80" w:line="300" w:lineRule="auto"/>
        <w:numPr>
          <w:ilvl w:val="0"/>
          <w:numId w:val="27"/>
        </w:numPr>
      </w:pPr>
      <w:r>
        <w:rPr>
          <w:rFonts w:ascii="Calibri" w:hAnsi="Calibri"/>
          <w:color w:val="17324D"/>
          <w:sz w:val="22"/>
        </w:rPr>
        <w:t>full sensitive MCP inputs or outputs;</w:t>
      </w:r>
    </w:p>
    <w:p>
      <w:pPr>
        <w:spacing w:after="80" w:line="300" w:lineRule="auto"/>
        <w:numPr>
          <w:ilvl w:val="0"/>
          <w:numId w:val="27"/>
        </w:numPr>
      </w:pPr>
      <w:r>
        <w:rPr>
          <w:rFonts w:ascii="Calibri" w:hAnsi="Calibri"/>
          <w:color w:val="17324D"/>
          <w:sz w:val="22"/>
        </w:rPr>
        <w:t>secret-bearing HTTP headers;</w:t>
      </w:r>
    </w:p>
    <w:p>
      <w:pPr>
        <w:spacing w:after="80" w:line="300" w:lineRule="auto"/>
        <w:numPr>
          <w:ilvl w:val="0"/>
          <w:numId w:val="27"/>
        </w:numPr>
      </w:pPr>
      <w:r>
        <w:rPr>
          <w:rFonts w:ascii="Calibri" w:hAnsi="Calibri"/>
          <w:color w:val="17324D"/>
          <w:sz w:val="22"/>
        </w:rPr>
        <w:t>unnecessary personal attributes from Entra claims.</w:t>
      </w:r>
    </w:p>
    <w:p>
      <w:r>
        <w:rPr>
          <w:rFonts w:ascii="Calibri" w:hAnsi="Calibri"/>
          <w:color w:val="17324D"/>
          <w:sz w:val="22"/>
        </w:rPr>
        <w:t>Allowed audit metadata includes correlation ID, timestamp, caller subject identifier or approved pseudonymous identifier, client ID, Cedar action/policy identifier, tool, requested resource identifier, decision, reason code, latency and result code.</w:t>
      </w:r>
    </w:p>
    <w:p>
      <w:pPr>
        <w:pStyle w:val="Heading2"/>
      </w:pPr>
      <w:r>
        <w:t>9.3 SharePoint authorization</w:t>
      </w:r>
    </w:p>
    <w:p>
      <w:r>
        <w:rPr>
          <w:rFonts w:ascii="Calibri" w:hAnsi="Calibri"/>
          <w:color w:val="17324D"/>
          <w:sz w:val="22"/>
        </w:rPr>
        <w:t>The delegated Runtime performs Graph OBO. SharePoint therefore evaluates the signed-in employee's existing native permissions for each requested site and item; Cedar does not duplicate those site memberships.</w:t>
      </w:r>
    </w:p>
    <w:p>
      <w:r>
        <w:rPr>
          <w:rFonts w:ascii="Calibri" w:hAnsi="Calibri"/>
          <w:color w:val="17324D"/>
          <w:sz w:val="22"/>
        </w:rPr>
        <w:t xml:space="preserve">The application Runtime uses a dedicated Graph application identity with </w:t>
      </w:r>
      <w:r>
        <w:rPr>
          <w:rFonts w:ascii="Courier New" w:hAnsi="Courier New"/>
          <w:color w:val="1F4D78"/>
          <w:sz w:val="20"/>
          <w:shd w:fill="EAF2F8"/>
        </w:rPr>
        <w:t>Sites.Selected</w:t>
      </w:r>
      <w:r>
        <w:rPr>
          <w:rFonts w:ascii="Calibri" w:hAnsi="Calibri"/>
          <w:color w:val="17324D"/>
          <w:sz w:val="22"/>
        </w:rPr>
        <w:t xml:space="preserve"> or a narrower selected-permission model and receives explicit grants only to approved sites. Broad tenant permissions such as </w:t>
      </w:r>
      <w:r>
        <w:rPr>
          <w:rFonts w:ascii="Courier New" w:hAnsi="Courier New"/>
          <w:color w:val="1F4D78"/>
          <w:sz w:val="20"/>
          <w:shd w:fill="EAF2F8"/>
        </w:rPr>
        <w:t>Sites.Read.All</w:t>
      </w:r>
      <w:r>
        <w:rPr>
          <w:rFonts w:ascii="Calibri" w:hAnsi="Calibri"/>
          <w:color w:val="17324D"/>
          <w:sz w:val="22"/>
        </w:rPr>
        <w:t xml:space="preserve"> or </w:t>
      </w:r>
      <w:r>
        <w:rPr>
          <w:rFonts w:ascii="Courier New" w:hAnsi="Courier New"/>
          <w:color w:val="1F4D78"/>
          <w:sz w:val="20"/>
          <w:shd w:fill="EAF2F8"/>
        </w:rPr>
        <w:t>Sites.ReadWrite.All</w:t>
      </w:r>
      <w:r>
        <w:rPr>
          <w:rFonts w:ascii="Calibri" w:hAnsi="Calibri"/>
          <w:color w:val="17324D"/>
          <w:sz w:val="22"/>
        </w:rPr>
        <w:t xml:space="preserve"> are not approved.</w:t>
      </w:r>
    </w:p>
    <w:p>
      <w:pPr>
        <w:pStyle w:val="Heading2"/>
      </w:pPr>
      <w:r>
        <w:t>9.4 Upload contract</w:t>
      </w:r>
    </w:p>
    <w:p>
      <w:r>
        <w:rPr>
          <w:rFonts w:ascii="Calibri" w:hAnsi="Calibri"/>
          <w:color w:val="17324D"/>
          <w:sz w:val="22"/>
        </w:rPr>
        <w:t>The upload tool has three client-visible inputs:</w:t>
      </w:r>
    </w:p>
    <w:p>
      <w:pPr>
        <w:spacing w:after="80" w:line="300" w:lineRule="auto"/>
        <w:numPr>
          <w:ilvl w:val="0"/>
          <w:numId w:val="28"/>
        </w:numPr>
      </w:pPr>
      <w:r>
        <w:rPr>
          <w:rFonts w:ascii="Courier New" w:hAnsi="Courier New"/>
          <w:color w:val="1F4D78"/>
          <w:sz w:val="20"/>
          <w:shd w:fill="EAF2F8"/>
        </w:rPr>
        <w:t>site_id</w:t>
      </w:r>
      <w:r>
        <w:rPr>
          <w:rFonts w:ascii="Calibri" w:hAnsi="Calibri"/>
          <w:color w:val="17324D"/>
          <w:sz w:val="22"/>
        </w:rPr>
        <w:t>;</w:t>
      </w:r>
    </w:p>
    <w:p>
      <w:pPr>
        <w:spacing w:after="80" w:line="300" w:lineRule="auto"/>
        <w:numPr>
          <w:ilvl w:val="0"/>
          <w:numId w:val="28"/>
        </w:numPr>
      </w:pPr>
      <w:r>
        <w:rPr>
          <w:rFonts w:ascii="Courier New" w:hAnsi="Courier New"/>
          <w:color w:val="1F4D78"/>
          <w:sz w:val="20"/>
          <w:shd w:fill="EAF2F8"/>
        </w:rPr>
        <w:t>file_path</w:t>
      </w:r>
      <w:r>
        <w:rPr>
          <w:rFonts w:ascii="Calibri" w:hAnsi="Calibri"/>
          <w:color w:val="17324D"/>
          <w:sz w:val="22"/>
        </w:rPr>
        <w:t>; and</w:t>
      </w:r>
    </w:p>
    <w:p>
      <w:pPr>
        <w:spacing w:after="80" w:line="300" w:lineRule="auto"/>
        <w:numPr>
          <w:ilvl w:val="0"/>
          <w:numId w:val="28"/>
        </w:numPr>
      </w:pPr>
      <w:r>
        <w:rPr>
          <w:rFonts w:ascii="Courier New" w:hAnsi="Courier New"/>
          <w:color w:val="1F4D78"/>
          <w:sz w:val="20"/>
          <w:shd w:fill="EAF2F8"/>
        </w:rPr>
        <w:t>content</w:t>
      </w:r>
      <w:r>
        <w:rPr>
          <w:rFonts w:ascii="Calibri" w:hAnsi="Calibri"/>
          <w:color w:val="17324D"/>
          <w:sz w:val="22"/>
        </w:rPr>
        <w:t>, where an empty string is a valid empty file.</w:t>
      </w:r>
    </w:p>
    <w:p>
      <w:r>
        <w:rPr>
          <w:rFonts w:ascii="Calibri" w:hAnsi="Calibri"/>
          <w:color w:val="17324D"/>
          <w:sz w:val="22"/>
        </w:rPr>
        <w:t xml:space="preserve">Invalid identifiers or paths raise an error. The Runtime does not trim, normalize, repair, coerce, or replace a value before sending it to Graph. The PoC does not require a change ticket, idempotency key, audit reason, ETag, or caller-supplied correlation ID. Cedar authorizes the exact upload action, while the employee ACL or application </w:t>
      </w:r>
      <w:r>
        <w:rPr>
          <w:rFonts w:ascii="Courier New" w:hAnsi="Courier New"/>
          <w:color w:val="1F4D78"/>
          <w:sz w:val="20"/>
          <w:shd w:fill="EAF2F8"/>
        </w:rPr>
        <w:t>Sites.Selected</w:t>
      </w:r>
      <w:r>
        <w:rPr>
          <w:rFonts w:ascii="Calibri" w:hAnsi="Calibri"/>
          <w:color w:val="17324D"/>
          <w:sz w:val="22"/>
        </w:rPr>
        <w:t xml:space="preserve"> grant decides site access.</w:t>
      </w:r>
    </w:p>
    <w:p>
      <w:r>
        <w:rPr>
          <w:rFonts w:ascii="Calibri" w:hAnsi="Calibri"/>
          <w:color w:val="17324D"/>
          <w:sz w:val="22"/>
        </w:rPr>
        <w:t xml:space="preserve">AgentCore Gateway exposes the actions as </w:t>
      </w:r>
      <w:r>
        <w:rPr>
          <w:rFonts w:ascii="Courier New" w:hAnsi="Courier New"/>
          <w:color w:val="1F4D78"/>
          <w:sz w:val="20"/>
          <w:shd w:fill="EAF2F8"/>
        </w:rPr>
        <w:t>sharepoint-delegated___sharepoint_upload_file</w:t>
      </w:r>
      <w:r>
        <w:rPr>
          <w:rFonts w:ascii="Calibri" w:hAnsi="Calibri"/>
          <w:color w:val="17324D"/>
          <w:sz w:val="22"/>
        </w:rPr>
        <w:t xml:space="preserve"> and </w:t>
      </w:r>
      <w:r>
        <w:rPr>
          <w:rFonts w:ascii="Courier New" w:hAnsi="Courier New"/>
          <w:color w:val="1F4D78"/>
          <w:sz w:val="20"/>
          <w:shd w:fill="EAF2F8"/>
        </w:rPr>
        <w:t>sharepoint-application___sharepoint_upload_file</w:t>
      </w:r>
      <w:r>
        <w:rPr>
          <w:rFonts w:ascii="Calibri" w:hAnsi="Calibri"/>
          <w:color w:val="17324D"/>
          <w:sz w:val="22"/>
        </w:rPr>
        <w:t xml:space="preserve">. AWS defines the three underscores as the </w:t>
      </w:r>
      <w:r>
        <w:rPr>
          <w:rFonts w:ascii="Courier New" w:hAnsi="Courier New"/>
          <w:color w:val="1F4D78"/>
          <w:sz w:val="20"/>
          <w:shd w:fill="EAF2F8"/>
        </w:rPr>
        <w:t>&lt;TargetName&gt;___&lt;ToolName&gt;</w:t>
      </w:r>
      <w:r>
        <w:rPr>
          <w:rFonts w:ascii="Calibri" w:hAnsi="Calibri"/>
          <w:color w:val="17324D"/>
          <w:sz w:val="22"/>
        </w:rPr>
        <w:t xml:space="preserve"> separator.</w:t>
      </w:r>
    </w:p>
    <w:p>
      <w:pPr>
        <w:pStyle w:val="Heading1"/>
      </w:pPr>
      <w:r>
        <w:t>10. Policy, build and deployment</w:t>
      </w:r>
    </w:p>
    <w:p>
      <w:pPr>
        <w:pStyle w:val="Heading2"/>
      </w:pPr>
      <w:r>
        <w:t>10.1 Policy as code</w:t>
      </w:r>
    </w:p>
    <w:p>
      <w:r>
        <w:rPr>
          <w:rFonts w:ascii="Calibri" w:hAnsi="Calibri"/>
          <w:color w:val="17324D"/>
          <w:sz w:val="22"/>
        </w:rPr>
        <w:t xml:space="preserve">The </w:t>
      </w:r>
      <w:r>
        <w:rPr>
          <w:rFonts w:ascii="Courier New" w:hAnsi="Courier New"/>
          <w:color w:val="1F4D78"/>
          <w:sz w:val="20"/>
          <w:shd w:fill="EAF2F8"/>
        </w:rPr>
        <w:t>.cedar</w:t>
      </w:r>
      <w:r>
        <w:rPr>
          <w:rFonts w:ascii="Calibri" w:hAnsi="Calibri"/>
          <w:color w:val="17324D"/>
          <w:sz w:val="22"/>
        </w:rPr>
        <w:t xml:space="preserve"> files are the human-maintained and deployable authorization source. There is no YAML abstraction, generated JSON, or Runtime policy copy. AgentCore validates direct Cedar against the live Gateway-generated schema during policy create/update.</w:t>
      </w:r>
    </w:p>
    <w:p>
      <w:r>
        <w:rPr>
          <w:rFonts w:ascii="Calibri" w:hAnsi="Calibri"/>
          <w:color w:val="17324D"/>
          <w:sz w:val="22"/>
        </w:rPr>
        <w:t>Production policy changes require:</w:t>
      </w:r>
    </w:p>
    <w:p>
      <w:pPr>
        <w:spacing w:after="80" w:line="300" w:lineRule="auto"/>
        <w:numPr>
          <w:ilvl w:val="0"/>
          <w:numId w:val="29"/>
        </w:numPr>
      </w:pPr>
      <w:r>
        <w:rPr>
          <w:rFonts w:ascii="Calibri" w:hAnsi="Calibri"/>
          <w:color w:val="17324D"/>
          <w:sz w:val="22"/>
        </w:rPr>
        <w:t>path-scoped Azure DevOps build validation;</w:t>
      </w:r>
    </w:p>
    <w:p>
      <w:pPr>
        <w:spacing w:after="80" w:line="300" w:lineRule="auto"/>
        <w:numPr>
          <w:ilvl w:val="0"/>
          <w:numId w:val="29"/>
        </w:numPr>
      </w:pPr>
      <w:r>
        <w:rPr>
          <w:rFonts w:ascii="Calibri" w:hAnsi="Calibri"/>
          <w:color w:val="17324D"/>
          <w:sz w:val="22"/>
        </w:rPr>
        <w:t>policy-owner and security/data-owner review where access expands;</w:t>
      </w:r>
    </w:p>
    <w:p>
      <w:pPr>
        <w:spacing w:after="80" w:line="300" w:lineRule="auto"/>
        <w:numPr>
          <w:ilvl w:val="0"/>
          <w:numId w:val="29"/>
        </w:numPr>
      </w:pPr>
      <w:r>
        <w:rPr>
          <w:rFonts w:ascii="Courier New" w:hAnsi="Courier New"/>
          <w:color w:val="1F4D78"/>
          <w:sz w:val="20"/>
          <w:shd w:fill="EAF2F8"/>
        </w:rPr>
        <w:t>FAIL_ON_ANY_FINDINGS</w:t>
      </w:r>
      <w:r>
        <w:rPr>
          <w:rFonts w:ascii="Calibri" w:hAnsi="Calibri"/>
          <w:color w:val="17324D"/>
          <w:sz w:val="22"/>
        </w:rPr>
        <w:t xml:space="preserve"> deployment validation;</w:t>
      </w:r>
    </w:p>
    <w:p>
      <w:pPr>
        <w:spacing w:after="80" w:line="300" w:lineRule="auto"/>
        <w:numPr>
          <w:ilvl w:val="0"/>
          <w:numId w:val="29"/>
        </w:numPr>
      </w:pPr>
      <w:r>
        <w:rPr>
          <w:rFonts w:ascii="Calibri" w:hAnsi="Calibri"/>
          <w:color w:val="17324D"/>
          <w:sz w:val="22"/>
        </w:rPr>
        <w:t>negative authorization tests;</w:t>
      </w:r>
    </w:p>
    <w:p>
      <w:pPr>
        <w:spacing w:after="80" w:line="300" w:lineRule="auto"/>
        <w:numPr>
          <w:ilvl w:val="0"/>
          <w:numId w:val="29"/>
        </w:numPr>
      </w:pPr>
      <w:r>
        <w:rPr>
          <w:rFonts w:ascii="Calibri" w:hAnsi="Calibri"/>
          <w:color w:val="17324D"/>
          <w:sz w:val="22"/>
        </w:rPr>
        <w:t>Terraform plan visibility where Gateway resources change;</w:t>
      </w:r>
    </w:p>
    <w:p>
      <w:pPr>
        <w:spacing w:after="80" w:line="300" w:lineRule="auto"/>
        <w:numPr>
          <w:ilvl w:val="0"/>
          <w:numId w:val="29"/>
        </w:numPr>
      </w:pPr>
      <w:r>
        <w:rPr>
          <w:rFonts w:ascii="Calibri" w:hAnsi="Calibri"/>
          <w:color w:val="17324D"/>
          <w:sz w:val="22"/>
        </w:rPr>
        <w:t>explicit promotion and rollback evidence.</w:t>
      </w:r>
    </w:p>
    <w:p>
      <w:pPr>
        <w:pStyle w:val="Heading2"/>
      </w:pPr>
      <w:r>
        <w:t>10.2 Images</w:t>
      </w:r>
    </w:p>
    <w:p>
      <w:r>
        <w:rPr>
          <w:rFonts w:ascii="Calibri" w:hAnsi="Calibri"/>
          <w:color w:val="17324D"/>
          <w:sz w:val="22"/>
        </w:rPr>
        <w:t>Each Runtime deploys a final service image from central ECR. Production images must use immutable digests or immutable version tags and pass dependency, malware and vulnerability scanning, SBOM generation and signature/provenance verification. Runtime roles receive pull access only to approved repositories.</w:t>
      </w:r>
    </w:p>
    <w:p>
      <w:pPr>
        <w:pStyle w:val="Heading2"/>
      </w:pPr>
      <w:r>
        <w:t>10.3 Environment separation</w:t>
      </w:r>
    </w:p>
    <w:p>
      <w:r>
        <w:rPr>
          <w:rFonts w:ascii="Calibri" w:hAnsi="Calibri"/>
          <w:color w:val="17324D"/>
          <w:sz w:val="22"/>
        </w:rPr>
        <w:t>Non-production and production use the same Terraform root but separate state, tfvars, Entra applications/audiences, client IDs, AWS resources, image references, policy promotion and approvals. A token issued for one environment must not be accepted by another.</w:t>
      </w:r>
    </w:p>
    <w:p>
      <w:pPr>
        <w:pStyle w:val="Heading1"/>
      </w:pPr>
      <w:r>
        <w:t>11. Observability and audit</w:t>
      </w:r>
    </w:p>
    <w:p>
      <w:r>
        <w:rPr>
          <w:rFonts w:ascii="Calibri" w:hAnsi="Calibri"/>
          <w:color w:val="17324D"/>
          <w:sz w:val="22"/>
        </w:rPr>
        <w:t>The operational design requires end-to-end correlation from client to Gateway, policy decision, Runtime and Graph call without propagating sensitive credentials.</w:t>
      </w:r>
    </w:p>
    <w:p>
      <w:r>
        <w:rPr>
          <w:rFonts w:ascii="Calibri" w:hAnsi="Calibri"/>
          <w:color w:val="17324D"/>
          <w:sz w:val="22"/>
        </w:rPr>
        <w:t>Required telemetry includes:</w:t>
      </w:r>
    </w:p>
    <w:p>
      <w:pPr>
        <w:spacing w:after="80" w:line="300" w:lineRule="auto"/>
        <w:numPr>
          <w:ilvl w:val="0"/>
          <w:numId w:val="30"/>
        </w:numPr>
      </w:pPr>
      <w:r>
        <w:rPr>
          <w:rFonts w:ascii="Calibri" w:hAnsi="Calibri"/>
          <w:color w:val="17324D"/>
          <w:sz w:val="22"/>
        </w:rPr>
        <w:t>Gateway invocation, authentication failure, target error and latency metrics;</w:t>
      </w:r>
    </w:p>
    <w:p>
      <w:pPr>
        <w:spacing w:after="80" w:line="300" w:lineRule="auto"/>
        <w:numPr>
          <w:ilvl w:val="0"/>
          <w:numId w:val="30"/>
        </w:numPr>
      </w:pPr>
      <w:r>
        <w:rPr>
          <w:rFonts w:ascii="Calibri" w:hAnsi="Calibri"/>
          <w:color w:val="17324D"/>
          <w:sz w:val="22"/>
        </w:rPr>
        <w:t>Gateway policy allow/deny decisions and reason codes;</w:t>
      </w:r>
    </w:p>
    <w:p>
      <w:pPr>
        <w:spacing w:after="80" w:line="300" w:lineRule="auto"/>
        <w:numPr>
          <w:ilvl w:val="0"/>
          <w:numId w:val="30"/>
        </w:numPr>
      </w:pPr>
      <w:r>
        <w:rPr>
          <w:rFonts w:ascii="Calibri" w:hAnsi="Calibri"/>
          <w:color w:val="17324D"/>
          <w:sz w:val="22"/>
        </w:rPr>
        <w:t>Runtime startup, tool call, validation failure, downstream status and latency events;</w:t>
      </w:r>
    </w:p>
    <w:p>
      <w:pPr>
        <w:spacing w:after="80" w:line="300" w:lineRule="auto"/>
        <w:numPr>
          <w:ilvl w:val="0"/>
          <w:numId w:val="30"/>
        </w:numPr>
      </w:pPr>
      <w:r>
        <w:rPr>
          <w:rFonts w:ascii="Calibri" w:hAnsi="Calibri"/>
          <w:color w:val="17324D"/>
          <w:sz w:val="22"/>
        </w:rPr>
        <w:t>Graph throttling, upload and permission failures;</w:t>
      </w:r>
    </w:p>
    <w:p>
      <w:pPr>
        <w:spacing w:after="80" w:line="300" w:lineRule="auto"/>
        <w:numPr>
          <w:ilvl w:val="0"/>
          <w:numId w:val="30"/>
        </w:numPr>
      </w:pPr>
      <w:r>
        <w:rPr>
          <w:rFonts w:ascii="Calibri" w:hAnsi="Calibri"/>
          <w:color w:val="17324D"/>
          <w:sz w:val="22"/>
        </w:rPr>
        <w:t>deployment, identity, policy and selected-site permission changes;</w:t>
      </w:r>
    </w:p>
    <w:p>
      <w:pPr>
        <w:spacing w:after="80" w:line="300" w:lineRule="auto"/>
        <w:numPr>
          <w:ilvl w:val="0"/>
          <w:numId w:val="30"/>
        </w:numPr>
      </w:pPr>
      <w:r>
        <w:rPr>
          <w:rFonts w:ascii="Calibri" w:hAnsi="Calibri"/>
          <w:color w:val="17324D"/>
          <w:sz w:val="22"/>
        </w:rPr>
        <w:t>unusual denied-tool, cross-site and upload-volume patterns.</w:t>
      </w:r>
    </w:p>
    <w:p>
      <w:r>
        <w:rPr>
          <w:rFonts w:ascii="Calibri" w:hAnsi="Calibri"/>
          <w:color w:val="17324D"/>
          <w:sz w:val="22"/>
        </w:rPr>
        <w:t>CloudWatch Transaction Search and relevant AgentCore log destinations must be configured. Retention, encryption, SIEM forwarding, alert thresholds, operational dashboards and on-call ownership must be defined and tested before production. Observability testing must include a deliberate check that tokens, secrets and document bodies do not appear in logs or traces.</w:t>
      </w:r>
    </w:p>
    <w:p>
      <w:pPr>
        <w:pStyle w:val="Heading1"/>
      </w:pPr>
      <w:r>
        <w:t>12. Reliability and performance</w:t>
      </w:r>
    </w:p>
    <w:p>
      <w:r>
        <w:rPr>
          <w:rFonts w:ascii="Calibri" w:hAnsi="Calibri"/>
          <w:color w:val="17324D"/>
          <w:sz w:val="22"/>
        </w:rPr>
        <w:t>The platform depends on AgentCore Gateway, Runtime, Entra ID, Microsoft Graph/SharePoint, network connectivity, ECR and observability services. The first slice should fail closed on identity, policy or downstream permission uncertainty.</w:t>
      </w:r>
    </w:p>
    <w:p>
      <w:r>
        <w:rPr>
          <w:rFonts w:ascii="Calibri" w:hAnsi="Calibri"/>
          <w:color w:val="17324D"/>
          <w:sz w:val="22"/>
        </w:rPr>
        <w:t>Required resilience behaviours:</w:t>
      </w:r>
    </w:p>
    <w:p>
      <w:pPr>
        <w:spacing w:after="80" w:line="300" w:lineRule="auto"/>
        <w:numPr>
          <w:ilvl w:val="0"/>
          <w:numId w:val="31"/>
        </w:numPr>
      </w:pPr>
      <w:r>
        <w:rPr>
          <w:rFonts w:ascii="Calibri" w:hAnsi="Calibri"/>
          <w:color w:val="17324D"/>
          <w:sz w:val="22"/>
        </w:rPr>
        <w:t>bounded timeouts at client, Gateway/Runtime and Graph layers;</w:t>
      </w:r>
    </w:p>
    <w:p>
      <w:pPr>
        <w:spacing w:after="80" w:line="300" w:lineRule="auto"/>
        <w:numPr>
          <w:ilvl w:val="0"/>
          <w:numId w:val="31"/>
        </w:numPr>
      </w:pPr>
      <w:r>
        <w:rPr>
          <w:rFonts w:ascii="Calibri" w:hAnsi="Calibri"/>
          <w:color w:val="17324D"/>
          <w:sz w:val="22"/>
        </w:rPr>
        <w:t>retries only for safe/transient cases with exponential backoff and jitter;</w:t>
      </w:r>
    </w:p>
    <w:p>
      <w:pPr>
        <w:spacing w:after="80" w:line="300" w:lineRule="auto"/>
        <w:numPr>
          <w:ilvl w:val="0"/>
          <w:numId w:val="31"/>
        </w:numPr>
      </w:pPr>
      <w:r>
        <w:rPr>
          <w:rFonts w:ascii="Calibri" w:hAnsi="Calibri"/>
          <w:color w:val="17324D"/>
          <w:sz w:val="22"/>
        </w:rPr>
        <w:t xml:space="preserve">honour Microsoft </w:t>
      </w:r>
      <w:r>
        <w:rPr>
          <w:rFonts w:ascii="Courier New" w:hAnsi="Courier New"/>
          <w:color w:val="1F4D78"/>
          <w:sz w:val="20"/>
          <w:shd w:fill="EAF2F8"/>
        </w:rPr>
        <w:t>Retry-After</w:t>
      </w:r>
      <w:r>
        <w:rPr>
          <w:rFonts w:ascii="Calibri" w:hAnsi="Calibri"/>
          <w:color w:val="17324D"/>
          <w:sz w:val="22"/>
        </w:rPr>
        <w:t xml:space="preserve"> for Graph/SharePoint throttling;</w:t>
      </w:r>
    </w:p>
    <w:p>
      <w:pPr>
        <w:spacing w:after="80" w:line="300" w:lineRule="auto"/>
        <w:numPr>
          <w:ilvl w:val="0"/>
          <w:numId w:val="31"/>
        </w:numPr>
      </w:pPr>
      <w:r>
        <w:rPr>
          <w:rFonts w:ascii="Calibri" w:hAnsi="Calibri"/>
          <w:color w:val="17324D"/>
          <w:sz w:val="22"/>
        </w:rPr>
        <w:t>no automatic retry of the upload call; surface the Graph error to the caller;</w:t>
      </w:r>
    </w:p>
    <w:p>
      <w:pPr>
        <w:spacing w:after="80" w:line="300" w:lineRule="auto"/>
        <w:numPr>
          <w:ilvl w:val="0"/>
          <w:numId w:val="31"/>
        </w:numPr>
      </w:pPr>
      <w:r>
        <w:rPr>
          <w:rFonts w:ascii="Calibri" w:hAnsi="Calibri"/>
          <w:color w:val="17324D"/>
          <w:sz w:val="22"/>
        </w:rPr>
        <w:t>circuit-breaking or controlled degradation for repeated downstream failures;</w:t>
      </w:r>
    </w:p>
    <w:p>
      <w:pPr>
        <w:spacing w:after="80" w:line="300" w:lineRule="auto"/>
        <w:numPr>
          <w:ilvl w:val="0"/>
          <w:numId w:val="31"/>
        </w:numPr>
      </w:pPr>
      <w:r>
        <w:rPr>
          <w:rFonts w:ascii="Calibri" w:hAnsi="Calibri"/>
          <w:color w:val="17324D"/>
          <w:sz w:val="22"/>
        </w:rPr>
        <w:t>immutable previous image and policy versions for rollback;</w:t>
      </w:r>
    </w:p>
    <w:p>
      <w:pPr>
        <w:spacing w:after="80" w:line="300" w:lineRule="auto"/>
        <w:numPr>
          <w:ilvl w:val="0"/>
          <w:numId w:val="31"/>
        </w:numPr>
      </w:pPr>
      <w:r>
        <w:rPr>
          <w:rFonts w:ascii="Calibri" w:hAnsi="Calibri"/>
          <w:color w:val="17324D"/>
          <w:sz w:val="22"/>
        </w:rPr>
        <w:t>a kill switch that removes a client, denies a tool or disables a target without a direct-Runtime bypass.</w:t>
      </w:r>
    </w:p>
    <w:p>
      <w:r>
        <w:rPr>
          <w:rFonts w:ascii="Calibri" w:hAnsi="Calibri"/>
          <w:color w:val="17324D"/>
          <w:sz w:val="22"/>
        </w:rPr>
        <w:t>Service-level objectives, expected concurrency, payload limits, peak usage, recovery time objective and recovery point objective are not yet defined. SharePoint remains the system of record; this platform does not maintain a separate authoritative content copy.</w:t>
      </w:r>
    </w:p>
    <w:p>
      <w:pPr>
        <w:pStyle w:val="Heading1"/>
      </w:pPr>
      <w:r>
        <w:t>13. Security reference</w:t>
      </w:r>
    </w:p>
    <w:p>
      <w:pPr>
        <w:pStyle w:val="Heading2"/>
      </w:pPr>
      <w:r>
        <w:t>13.1 Method and assumptions</w:t>
      </w:r>
    </w:p>
    <w:p>
      <w:r>
        <w:rPr>
          <w:rFonts w:ascii="Calibri" w:hAnsi="Calibri"/>
          <w:color w:val="17324D"/>
          <w:sz w:val="22"/>
        </w:rPr>
        <w:t xml:space="preserve">The threat model uses STRIDE categories across the data-flow trust boundaries. Ratings are qualitative because the enterprise risk-scoring standard and workload classification have not yet been supplied. </w:t>
      </w:r>
      <w:r>
        <w:rPr>
          <w:rFonts w:ascii="Calibri" w:hAnsi="Calibri"/>
          <w:b/>
          <w:color w:val="17324D"/>
          <w:sz w:val="22"/>
        </w:rPr>
        <w:t>Inherent risk</w:t>
      </w:r>
      <w:r>
        <w:rPr>
          <w:rFonts w:ascii="Calibri" w:hAnsi="Calibri"/>
          <w:color w:val="17324D"/>
          <w:sz w:val="22"/>
        </w:rPr>
        <w:t xml:space="preserve"> assumes the proposed capability without the listed controls. </w:t>
      </w:r>
      <w:r>
        <w:rPr>
          <w:rFonts w:ascii="Calibri" w:hAnsi="Calibri"/>
          <w:b/>
          <w:color w:val="17324D"/>
          <w:sz w:val="22"/>
        </w:rPr>
        <w:t>Residual risk</w:t>
      </w:r>
      <w:r>
        <w:rPr>
          <w:rFonts w:ascii="Calibri" w:hAnsi="Calibri"/>
          <w:color w:val="17324D"/>
          <w:sz w:val="22"/>
        </w:rPr>
        <w:t xml:space="preserve"> assumes all proposed controls are implemented and validated. Reconcile these provisional ratings with the organisation's risk method before production use.</w:t>
      </w:r>
    </w:p>
    <w:p>
      <w:r>
        <w:rPr>
          <w:rFonts w:ascii="Calibri" w:hAnsi="Calibri"/>
          <w:color w:val="17324D"/>
          <w:sz w:val="22"/>
        </w:rPr>
        <w:t>Threat actors considered include an external attacker with a stolen token, a compromised managed device, a malicious or over-privileged insider, a compromised client/service principal, malicious content in SharePoint, a compromised build dependency or image, and accidental administrator or policy error.</w:t>
      </w:r>
    </w:p>
    <w:p>
      <w:r>
        <w:rPr>
          <w:rFonts w:ascii="Calibri" w:hAnsi="Calibri"/>
          <w:color w:val="17324D"/>
          <w:sz w:val="22"/>
        </w:rPr>
        <w:t>Primary assets are caller identity, authorization policy, downstream credentials, SharePoint content, write integrity, audit evidence, service availability, source code, images, Terraform state and deployment approvals.</w:t>
      </w:r>
    </w:p>
    <w:p>
      <w:pPr>
        <w:pStyle w:val="Heading2"/>
      </w:pPr>
      <w:r>
        <w:t>13.2 Trust boundaries</w:t>
      </w:r>
    </w:p>
    <w:p>
      <w:pPr>
        <w:spacing w:after="80" w:line="300" w:lineRule="auto"/>
        <w:numPr>
          <w:ilvl w:val="0"/>
          <w:numId w:val="32"/>
        </w:numPr>
      </w:pPr>
      <w:r>
        <w:rPr>
          <w:rFonts w:ascii="Calibri" w:hAnsi="Calibri"/>
          <w:b/>
          <w:color w:val="17324D"/>
          <w:sz w:val="22"/>
        </w:rPr>
        <w:t>TB1:</w:t>
      </w:r>
      <w:r>
        <w:rPr>
          <w:rFonts w:ascii="Calibri" w:hAnsi="Calibri"/>
          <w:color w:val="17324D"/>
          <w:sz w:val="22"/>
        </w:rPr>
        <w:t xml:space="preserve"> managed user/device to Microsoft Entra ID.</w:t>
      </w:r>
    </w:p>
    <w:p>
      <w:pPr>
        <w:spacing w:after="80" w:line="300" w:lineRule="auto"/>
        <w:numPr>
          <w:ilvl w:val="0"/>
          <w:numId w:val="32"/>
        </w:numPr>
      </w:pPr>
      <w:r>
        <w:rPr>
          <w:rFonts w:ascii="Calibri" w:hAnsi="Calibri"/>
          <w:b/>
          <w:color w:val="17324D"/>
          <w:sz w:val="22"/>
        </w:rPr>
        <w:t>TB2:</w:t>
      </w:r>
      <w:r>
        <w:rPr>
          <w:rFonts w:ascii="Calibri" w:hAnsi="Calibri"/>
          <w:color w:val="17324D"/>
          <w:sz w:val="22"/>
        </w:rPr>
        <w:t xml:space="preserve"> caller network to AgentCore Gateway.</w:t>
      </w:r>
    </w:p>
    <w:p>
      <w:pPr>
        <w:spacing w:after="80" w:line="300" w:lineRule="auto"/>
        <w:numPr>
          <w:ilvl w:val="0"/>
          <w:numId w:val="32"/>
        </w:numPr>
      </w:pPr>
      <w:r>
        <w:rPr>
          <w:rFonts w:ascii="Calibri" w:hAnsi="Calibri"/>
          <w:b/>
          <w:color w:val="17324D"/>
          <w:sz w:val="22"/>
        </w:rPr>
        <w:t>TB3:</w:t>
      </w:r>
      <w:r>
        <w:rPr>
          <w:rFonts w:ascii="Calibri" w:hAnsi="Calibri"/>
          <w:color w:val="17324D"/>
          <w:sz w:val="22"/>
        </w:rPr>
        <w:t xml:space="preserve"> Gateway identity validation and policy enforcement.</w:t>
      </w:r>
    </w:p>
    <w:p>
      <w:pPr>
        <w:spacing w:after="80" w:line="300" w:lineRule="auto"/>
        <w:numPr>
          <w:ilvl w:val="0"/>
          <w:numId w:val="32"/>
        </w:numPr>
      </w:pPr>
      <w:r>
        <w:rPr>
          <w:rFonts w:ascii="Calibri" w:hAnsi="Calibri"/>
          <w:b/>
          <w:color w:val="17324D"/>
          <w:sz w:val="22"/>
        </w:rPr>
        <w:t>TB4:</w:t>
      </w:r>
      <w:r>
        <w:rPr>
          <w:rFonts w:ascii="Calibri" w:hAnsi="Calibri"/>
          <w:color w:val="17324D"/>
          <w:sz w:val="22"/>
        </w:rPr>
        <w:t xml:space="preserve"> Gateway IAM role to Runtime resource policy.</w:t>
      </w:r>
    </w:p>
    <w:p>
      <w:pPr>
        <w:spacing w:after="80" w:line="300" w:lineRule="auto"/>
        <w:numPr>
          <w:ilvl w:val="0"/>
          <w:numId w:val="32"/>
        </w:numPr>
      </w:pPr>
      <w:r>
        <w:rPr>
          <w:rFonts w:ascii="Calibri" w:hAnsi="Calibri"/>
          <w:b/>
          <w:color w:val="17324D"/>
          <w:sz w:val="22"/>
        </w:rPr>
        <w:t>TB5:</w:t>
      </w:r>
      <w:r>
        <w:rPr>
          <w:rFonts w:ascii="Calibri" w:hAnsi="Calibri"/>
          <w:color w:val="17324D"/>
          <w:sz w:val="22"/>
        </w:rPr>
        <w:t xml:space="preserve"> Runtime container to VPC/AWS services and downstream credential source.</w:t>
      </w:r>
    </w:p>
    <w:p>
      <w:pPr>
        <w:spacing w:after="80" w:line="300" w:lineRule="auto"/>
        <w:numPr>
          <w:ilvl w:val="0"/>
          <w:numId w:val="32"/>
        </w:numPr>
      </w:pPr>
      <w:r>
        <w:rPr>
          <w:rFonts w:ascii="Calibri" w:hAnsi="Calibri"/>
          <w:b/>
          <w:color w:val="17324D"/>
          <w:sz w:val="22"/>
        </w:rPr>
        <w:t>TB6:</w:t>
      </w:r>
      <w:r>
        <w:rPr>
          <w:rFonts w:ascii="Calibri" w:hAnsi="Calibri"/>
          <w:color w:val="17324D"/>
          <w:sz w:val="22"/>
        </w:rPr>
        <w:t xml:space="preserve"> AWS Runtime to Microsoft identity and Graph/SharePoint.</w:t>
      </w:r>
    </w:p>
    <w:p>
      <w:pPr>
        <w:spacing w:after="80" w:line="300" w:lineRule="auto"/>
        <w:numPr>
          <w:ilvl w:val="0"/>
          <w:numId w:val="32"/>
        </w:numPr>
      </w:pPr>
      <w:r>
        <w:rPr>
          <w:rFonts w:ascii="Calibri" w:hAnsi="Calibri"/>
          <w:b/>
          <w:color w:val="17324D"/>
          <w:sz w:val="22"/>
        </w:rPr>
        <w:t>TB7:</w:t>
      </w:r>
      <w:r>
        <w:rPr>
          <w:rFonts w:ascii="Calibri" w:hAnsi="Calibri"/>
          <w:color w:val="17324D"/>
          <w:sz w:val="22"/>
        </w:rPr>
        <w:t xml:space="preserve"> source control/build pipeline to ECR and Terraform deployment.</w:t>
      </w:r>
    </w:p>
    <w:p>
      <w:pPr>
        <w:pStyle w:val="Heading2"/>
      </w:pPr>
      <w:r>
        <w:t>13.3 Threat register</w:t>
      </w:r>
    </w:p>
    <w:tbl>
      <w:tblPr>
        <w:tblW w:type="dxa" w:w="9360"/>
        <w:tblLayout w:type="fixed"/>
        <w:tblLook w:firstColumn="1" w:firstRow="1" w:lastColumn="0" w:lastRow="0" w:noHBand="0" w:noVBand="1" w:val="04A0"/>
        <w:tblInd w:w="120" w:type="dxa"/>
        <w:tblLayout w:type="fixed"/>
      </w:tblPr>
      <w:tblGrid>
        <w:gridCol w:w="9360"/>
      </w:tblGrid>
      <w:tr>
        <w:trPr>
          <w:cantSplit/>
        </w:trPr>
        <w:tc>
          <w:tcPr>
            <w:tcW w:type="dxa" w:w="9360"/>
            <w:vAlign w:val="center"/>
            <w:tcMar>
              <w:top w:w="80" w:type="dxa"/>
              <w:start w:w="120" w:type="dxa"/>
              <w:bottom w:w="80" w:type="dxa"/>
              <w:end w:w="120" w:type="dxa"/>
            </w:tcMar>
            <w:shd w:fill="EAF2F8"/>
          </w:tcPr>
          <w:p>
            <w:pPr>
              <w:spacing w:after="40" w:line="300" w:lineRule="auto"/>
            </w:pPr>
            <w:r>
              <w:rPr>
                <w:rFonts w:ascii="Calibri" w:hAnsi="Calibri"/>
                <w:b/>
                <w:color w:val="2E74B5"/>
                <w:sz w:val="21"/>
              </w:rPr>
              <w:t xml:space="preserve">Reading the register: </w:t>
            </w:r>
            <w:r>
              <w:rPr>
                <w:rFonts w:ascii="Calibri" w:hAnsi="Calibri"/>
                <w:color w:val="17324D"/>
                <w:sz w:val="21"/>
              </w:rPr>
              <w:t>Inherent and residual ratings are qualitative and provisional. Residual ratings assume every listed control is implemented and evidenced.</w:t>
            </w:r>
          </w:p>
        </w:tc>
      </w:tr>
    </w:tbl>
    <w:p>
      <w:pPr>
        <w:spacing w:after="40"/>
      </w:pPr>
    </w:p>
    <w:p>
      <w:pPr>
        <w:pStyle w:val="Heading3"/>
        <w:keepNext/>
      </w:pPr>
      <w:r>
        <w:rPr>
          <w:rFonts w:ascii="Calibri" w:hAnsi="Calibri"/>
          <w:color w:val="1F4D78"/>
          <w:sz w:val="23"/>
        </w:rPr>
        <w:t>T01 - Spoofing: Stolen or copied bearer token is replayed to Gateway.</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Short token lifetime; approved refresh helper; Conditional Access; exact audience/client validation; network restrictions; rapid revocation; no token logging.</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High; residual: 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Token replay/revocation test; Identity and Security</w:t>
      </w:r>
    </w:p>
    <w:p>
      <w:pPr>
        <w:pStyle w:val="Heading3"/>
        <w:keepNext/>
      </w:pPr>
      <w:r>
        <w:rPr>
          <w:rFonts w:ascii="Calibri" w:hAnsi="Calibri"/>
          <w:color w:val="1F4D78"/>
          <w:sz w:val="23"/>
        </w:rPr>
        <w:t>T02 - Spoofing: Token from the wrong tenant, environment, audience or client is accepted.</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Tenant-specific discovery; exact audience; allowed clients; required scope/claims; separate prod/nonprod registrations; negative tests.</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High; residual: Low.</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Cross-environment and wrong-client tests; Identity/Platform</w:t>
      </w:r>
    </w:p>
    <w:p>
      <w:pPr>
        <w:pStyle w:val="Heading3"/>
        <w:keepNext/>
      </w:pPr>
      <w:r>
        <w:rPr>
          <w:rFonts w:ascii="Calibri" w:hAnsi="Calibri"/>
          <w:color w:val="1F4D78"/>
          <w:sz w:val="23"/>
        </w:rPr>
        <w:t>T03 - Tampering: Caller supplies trusted-looking identity headers or tool arguments to impersonate another caller.</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Cedar consumes only Gateway-validated claims; Runtime does not authorize from client headers; the interceptor overwrites the OBO assertion only for the delegated lane, and application lanes do not allowlist it.</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High; residual: Low-Medium.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Header spoofing, wrong-lane assertion and missing-claim tests; Platform/Security</w:t>
      </w:r>
    </w:p>
    <w:p>
      <w:pPr>
        <w:pStyle w:val="Heading3"/>
        <w:keepNext/>
      </w:pPr>
      <w:r>
        <w:rPr>
          <w:rFonts w:ascii="Calibri" w:hAnsi="Calibri"/>
          <w:color w:val="1F4D78"/>
          <w:sz w:val="23"/>
        </w:rPr>
        <w:t>T04 - Repudiation: Caller or operator disputes a tool action and evidence is incomplete.</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Correlation ID; immutable central audit; subject/client/tool/resource/decision metadata; time synchronization; retention and SIEM controls.</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Medium; residual: Low-Medium.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Trace one request end to end; Operations/Security</w:t>
      </w:r>
    </w:p>
    <w:p>
      <w:pPr>
        <w:pStyle w:val="Heading3"/>
        <w:keepNext/>
      </w:pPr>
      <w:r>
        <w:rPr>
          <w:rFonts w:ascii="Calibri" w:hAnsi="Calibri"/>
          <w:color w:val="1F4D78"/>
          <w:sz w:val="23"/>
        </w:rPr>
        <w:t>T05 - Information disclosure: Tokens, credentials, personal claims or document bodies appear in logs/traces.</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Structured allowlisted logging; redaction; no raw headers/body; log scanning tests; least claim propagation; protected log access.</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High; residual: Low-Medium.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Automated secret/content log scan; Platform/Security</w:t>
      </w:r>
    </w:p>
    <w:p>
      <w:pPr>
        <w:pStyle w:val="Heading3"/>
        <w:keepNext/>
      </w:pPr>
      <w:r>
        <w:rPr>
          <w:rFonts w:ascii="Calibri" w:hAnsi="Calibri"/>
          <w:color w:val="1F4D78"/>
          <w:sz w:val="23"/>
        </w:rPr>
        <w:t>T06 - Elevation of privilege: A caller invokes a tool or SharePoint resource outside its authority.</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 xml:space="preserve">Entra assignment; Gateway policy </w:t>
      </w:r>
      <w:r>
        <w:rPr>
          <w:rFonts w:ascii="Courier New" w:hAnsi="Courier New"/>
          <w:color w:val="1F4D78"/>
          <w:sz w:val="18"/>
          <w:shd w:fill="EAF2F8"/>
        </w:rPr>
        <w:t>ENFORCE</w:t>
      </w:r>
      <w:r>
        <w:rPr>
          <w:rFonts w:ascii="Calibri" w:hAnsi="Calibri"/>
          <w:color w:val="17324D"/>
          <w:sz w:val="20"/>
        </w:rPr>
        <w:t xml:space="preserve">; deny-by-default Cedar; Runtime input validation; employee native ACLs; application </w:t>
      </w:r>
      <w:r>
        <w:rPr>
          <w:rFonts w:ascii="Courier New" w:hAnsi="Courier New"/>
          <w:color w:val="1F4D78"/>
          <w:sz w:val="18"/>
          <w:shd w:fill="EAF2F8"/>
        </w:rPr>
        <w:t>Sites.Selected</w:t>
      </w:r>
      <w:r>
        <w:rPr>
          <w:rFonts w:ascii="Calibri" w:hAnsi="Calibri"/>
          <w:color w:val="17324D"/>
          <w:sz w:val="20"/>
        </w:rPr>
        <w:t>; negative tests.</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Critical; residual: Low-Medium.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Tool, OBO and cross-site denial tests; Policy/Data owner/Security</w:t>
      </w:r>
    </w:p>
    <w:p>
      <w:pPr>
        <w:pStyle w:val="Heading3"/>
        <w:keepNext/>
      </w:pPr>
      <w:r>
        <w:rPr>
          <w:rFonts w:ascii="Calibri" w:hAnsi="Calibri"/>
          <w:color w:val="1F4D78"/>
          <w:sz w:val="23"/>
        </w:rPr>
        <w:t>T07 - Elevation of privilege: Runtime is invoked directly, bypassing Gateway authentication and policy.</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Runtime resource policy allows only Gateway IAM role; role least privilege; no direct client URL; negative IAM tests.</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High; residual: Low.</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Direct invocation denial test; AWS Platform</w:t>
      </w:r>
    </w:p>
    <w:p>
      <w:pPr>
        <w:pStyle w:val="Heading3"/>
        <w:keepNext/>
      </w:pPr>
      <w:r>
        <w:rPr>
          <w:rFonts w:ascii="Calibri" w:hAnsi="Calibri"/>
          <w:color w:val="1F4D78"/>
          <w:sz w:val="23"/>
        </w:rPr>
        <w:t>T08 - Tampering: Prompt injection or malicious content persuades an agent to call the upload tool.</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One narrow upload tool; deterministic external policy; delegated/application upload roles; downstream site authorization; model output never grants authority.</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High; residual: 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Adversarial content/tool-use tests; App/Security</w:t>
      </w:r>
    </w:p>
    <w:p>
      <w:pPr>
        <w:pStyle w:val="Heading3"/>
        <w:keepNext/>
      </w:pPr>
      <w:r>
        <w:rPr>
          <w:rFonts w:ascii="Calibri" w:hAnsi="Calibri"/>
          <w:color w:val="1F4D78"/>
          <w:sz w:val="23"/>
        </w:rPr>
        <w:t>T09 - Information disclosure: Graph application has tenant-wide permissions or selected grants drift.</w:t>
      </w:r>
    </w:p>
    <w:p>
      <w:pPr>
        <w:spacing w:after="80" w:line="300" w:lineRule="auto"/>
        <w:numPr>
          <w:ilvl w:val="0"/>
          <w:numId w:val="33"/>
        </w:numPr>
      </w:pPr>
      <w:r>
        <w:rPr>
          <w:rFonts w:ascii="Calibri" w:hAnsi="Calibri"/>
          <w:b/>
          <w:color w:val="17324D"/>
          <w:sz w:val="20"/>
        </w:rPr>
        <w:t xml:space="preserve">Required controls: </w:t>
      </w:r>
      <w:r>
        <w:rPr>
          <w:rFonts w:ascii="Courier New" w:hAnsi="Courier New"/>
          <w:color w:val="1F4D78"/>
          <w:sz w:val="18"/>
          <w:shd w:fill="EAF2F8"/>
        </w:rPr>
        <w:t>Sites.Selected</w:t>
      </w:r>
      <w:r>
        <w:rPr>
          <w:rFonts w:ascii="Calibri" w:hAnsi="Calibri"/>
          <w:color w:val="17324D"/>
          <w:sz w:val="20"/>
        </w:rPr>
        <w:t xml:space="preserve"> or narrower; explicit grant inventory; periodic access review; separate environments; automated drift detection; no broad Graph roles.</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Critical; residual: Low-Medium.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Graph permission evidence; M365/Data owner</w:t>
      </w:r>
    </w:p>
    <w:p>
      <w:pPr>
        <w:pStyle w:val="Heading3"/>
        <w:keepNext/>
      </w:pPr>
      <w:r>
        <w:rPr>
          <w:rFonts w:ascii="Calibri" w:hAnsi="Calibri"/>
          <w:color w:val="1F4D78"/>
          <w:sz w:val="23"/>
        </w:rPr>
        <w:t>T10 - Tampering: Site/path identifiers exploit traversal, encoding or IDOR weaknesses.</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Reject invalid or ambiguous input without canonicalization or repair; pass accepted values unchanged; negative path tests.</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High; residual: Low-Medium.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Path and identifier fuzz tests; MCP server owner</w:t>
      </w:r>
    </w:p>
    <w:p>
      <w:pPr>
        <w:pStyle w:val="Heading3"/>
        <w:keepNext/>
      </w:pPr>
      <w:r>
        <w:rPr>
          <w:rFonts w:ascii="Calibri" w:hAnsi="Calibri"/>
          <w:color w:val="1F4D78"/>
          <w:sz w:val="23"/>
        </w:rPr>
        <w:t>T11 - Tampering: An upload is repeated or replaces an existing file.</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No automatic retry; SharePoint versioning/restore; audit and explicit PoC acceptance of create-or-replace semantics. A stronger workflow requires a future ADR.</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Critical; residual: High.</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Repeat-upload and version-restore test; MCP/M365 owners</w:t>
      </w:r>
    </w:p>
    <w:p>
      <w:pPr>
        <w:pStyle w:val="Heading3"/>
        <w:keepNext/>
      </w:pPr>
      <w:r>
        <w:rPr>
          <w:rFonts w:ascii="Calibri" w:hAnsi="Calibri"/>
          <w:color w:val="1F4D78"/>
          <w:sz w:val="23"/>
        </w:rPr>
        <w:t>T12 - Spoofing: Downstream application secret or certificate is stolen.</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Approved secret store; preferably certificate/workload federation where supported; short rotation; Runtime least privilege; no Terraform plaintext; detection and revocation runbook.</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High; residual: 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Rotation and revocation exercise; Identity/Platform</w:t>
      </w:r>
    </w:p>
    <w:p>
      <w:pPr>
        <w:pStyle w:val="Heading3"/>
        <w:keepNext/>
      </w:pPr>
      <w:r>
        <w:rPr>
          <w:rFonts w:ascii="Calibri" w:hAnsi="Calibri"/>
          <w:color w:val="1F4D78"/>
          <w:sz w:val="23"/>
        </w:rPr>
        <w:t>T13 - Tampering: Reviewed direct Cedar and deployed Cedar diverge or are maliciously changed.</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 xml:space="preserve">Single Cedar source; AgentCore </w:t>
      </w:r>
      <w:r>
        <w:rPr>
          <w:rFonts w:ascii="Courier New" w:hAnsi="Courier New"/>
          <w:color w:val="1F4D78"/>
          <w:sz w:val="18"/>
          <w:shd w:fill="EAF2F8"/>
        </w:rPr>
        <w:t>FAIL_ON_ANY_FINDINGS</w:t>
      </w:r>
      <w:r>
        <w:rPr>
          <w:rFonts w:ascii="Calibri" w:hAnsi="Calibri"/>
          <w:color w:val="17324D"/>
          <w:sz w:val="20"/>
        </w:rPr>
        <w:t xml:space="preserve">; required reviewers; signed build evidence; promotion comparison; </w:t>
      </w:r>
      <w:r>
        <w:rPr>
          <w:rFonts w:ascii="Courier New" w:hAnsi="Courier New"/>
          <w:color w:val="1F4D78"/>
          <w:sz w:val="18"/>
          <w:shd w:fill="EAF2F8"/>
        </w:rPr>
        <w:t>ENFORCE</w:t>
      </w:r>
      <w:r>
        <w:rPr>
          <w:rFonts w:ascii="Calibri" w:hAnsi="Calibri"/>
          <w:color w:val="17324D"/>
          <w:sz w:val="20"/>
        </w:rPr>
        <w:t xml:space="preserve"> gate.</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Critical; residual: Low-Medium.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Policy consistency and rollback test; Policy/DevOps</w:t>
      </w:r>
    </w:p>
    <w:p>
      <w:pPr>
        <w:pStyle w:val="Heading3"/>
        <w:keepNext/>
      </w:pPr>
      <w:r>
        <w:rPr>
          <w:rFonts w:ascii="Calibri" w:hAnsi="Calibri"/>
          <w:color w:val="1F4D78"/>
          <w:sz w:val="23"/>
        </w:rPr>
        <w:t>T14 - Tampering: Compromised dependency or container image executes in Runtime.</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Pinned dependencies; scan; SBOM; signature/provenance; immutable digest; restricted ECR; non-root image; patch SLA.</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Critical; residual: 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Supply-chain evidence and signature verification; DevOps/Security</w:t>
      </w:r>
    </w:p>
    <w:p>
      <w:pPr>
        <w:pStyle w:val="Heading3"/>
        <w:keepNext/>
      </w:pPr>
      <w:r>
        <w:rPr>
          <w:rFonts w:ascii="Calibri" w:hAnsi="Calibri"/>
          <w:color w:val="1F4D78"/>
          <w:sz w:val="23"/>
        </w:rPr>
        <w:t>T15 - Denial of service: Excessive MCP calls, semantic search, large files or Graph throttling exhaust capacity.</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 xml:space="preserve">Payload/result limits; quotas/rate controls; timeouts; bounded concurrency; cache where safe; </w:t>
      </w:r>
      <w:r>
        <w:rPr>
          <w:rFonts w:ascii="Courier New" w:hAnsi="Courier New"/>
          <w:color w:val="1F4D78"/>
          <w:sz w:val="18"/>
          <w:shd w:fill="EAF2F8"/>
        </w:rPr>
        <w:t>Retry-After</w:t>
      </w:r>
      <w:r>
        <w:rPr>
          <w:rFonts w:ascii="Calibri" w:hAnsi="Calibri"/>
          <w:color w:val="17324D"/>
          <w:sz w:val="20"/>
        </w:rPr>
        <w:t>; alarms; per-client controls.</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High; residual: 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Load/throttle/failure tests; Operations/App owners</w:t>
      </w:r>
    </w:p>
    <w:p>
      <w:pPr>
        <w:pStyle w:val="Heading3"/>
        <w:keepNext/>
      </w:pPr>
      <w:r>
        <w:rPr>
          <w:rFonts w:ascii="Calibri" w:hAnsi="Calibri"/>
          <w:color w:val="1F4D78"/>
          <w:sz w:val="23"/>
        </w:rPr>
        <w:t>T16 - Information disclosure: Uploaded content crosses an unintended SharePoint data boundary.</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 xml:space="preserve">Employee native ACLs; application </w:t>
      </w:r>
      <w:r>
        <w:rPr>
          <w:rFonts w:ascii="Courier New" w:hAnsi="Courier New"/>
          <w:color w:val="1F4D78"/>
          <w:sz w:val="18"/>
          <w:shd w:fill="EAF2F8"/>
        </w:rPr>
        <w:t>Sites.Selected</w:t>
      </w:r>
      <w:r>
        <w:rPr>
          <w:rFonts w:ascii="Calibri" w:hAnsi="Calibri"/>
          <w:color w:val="17324D"/>
          <w:sz w:val="20"/>
        </w:rPr>
        <w:t>; classification handling; least-privilege upload roles.</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High; residual: 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Cross-site upload tests; Data owner/Security</w:t>
      </w:r>
    </w:p>
    <w:p>
      <w:pPr>
        <w:pStyle w:val="Heading3"/>
        <w:keepNext/>
      </w:pPr>
      <w:r>
        <w:rPr>
          <w:rFonts w:ascii="Calibri" w:hAnsi="Calibri"/>
          <w:color w:val="1F4D78"/>
          <w:sz w:val="23"/>
        </w:rPr>
        <w:t>T17 - Elevation of privilege: Administrator, pipeline or Terraform state compromise expands access.</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Separate state and roles; least-privilege CI/TFE identities; protected branches; path reviewers; approval gates; state encryption/access logging; break-glass monitoring.</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Critical; residual: 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Access review and deployment audit; Cloud/DevOps/Security</w:t>
      </w:r>
    </w:p>
    <w:p>
      <w:pPr>
        <w:pStyle w:val="Heading3"/>
        <w:keepNext/>
      </w:pPr>
      <w:r>
        <w:rPr>
          <w:rFonts w:ascii="Calibri" w:hAnsi="Calibri"/>
          <w:color w:val="1F4D78"/>
          <w:sz w:val="23"/>
        </w:rPr>
        <w:t>T18 - Denial of service: Gateway, Runtime, Entra, Graph, network or region dependency is unavailable.</w:t>
      </w:r>
    </w:p>
    <w:p>
      <w:pPr>
        <w:spacing w:after="80" w:line="300" w:lineRule="auto"/>
        <w:numPr>
          <w:ilvl w:val="0"/>
          <w:numId w:val="33"/>
        </w:numPr>
      </w:pPr>
      <w:r>
        <w:rPr>
          <w:rFonts w:ascii="Calibri" w:hAnsi="Calibri"/>
          <w:b/>
          <w:color w:val="17324D"/>
          <w:sz w:val="20"/>
        </w:rPr>
        <w:t xml:space="preserve">Required controls: </w:t>
      </w:r>
      <w:r>
        <w:rPr>
          <w:rFonts w:ascii="Calibri" w:hAnsi="Calibri"/>
          <w:color w:val="17324D"/>
          <w:sz w:val="20"/>
        </w:rPr>
        <w:t>Dependency timeouts; fail closed; clear error handling; service health monitoring; rollback/disable plan; agreed SLO/RTO; tested recovery.</w:t>
      </w:r>
    </w:p>
    <w:p>
      <w:pPr>
        <w:spacing w:after="80" w:line="300" w:lineRule="auto"/>
        <w:numPr>
          <w:ilvl w:val="0"/>
          <w:numId w:val="33"/>
        </w:numPr>
      </w:pPr>
      <w:r>
        <w:rPr>
          <w:rFonts w:ascii="Calibri" w:hAnsi="Calibri"/>
          <w:b/>
          <w:color w:val="17324D"/>
          <w:sz w:val="20"/>
        </w:rPr>
        <w:t xml:space="preserve">Risk: </w:t>
      </w:r>
      <w:r>
        <w:rPr>
          <w:rFonts w:ascii="Calibri" w:hAnsi="Calibri"/>
          <w:color w:val="17324D"/>
          <w:sz w:val="20"/>
        </w:rPr>
        <w:t>Inherent: High; residual: Medium.</w:t>
      </w:r>
    </w:p>
    <w:p>
      <w:pPr>
        <w:spacing w:after="80" w:line="300" w:lineRule="auto"/>
        <w:numPr>
          <w:ilvl w:val="0"/>
          <w:numId w:val="33"/>
        </w:numPr>
      </w:pPr>
      <w:r>
        <w:rPr>
          <w:rFonts w:ascii="Calibri" w:hAnsi="Calibri"/>
          <w:b/>
          <w:color w:val="17324D"/>
          <w:sz w:val="20"/>
        </w:rPr>
        <w:t xml:space="preserve">Validation / owner: </w:t>
      </w:r>
      <w:r>
        <w:rPr>
          <w:rFonts w:ascii="Calibri" w:hAnsi="Calibri"/>
          <w:color w:val="17324D"/>
          <w:sz w:val="20"/>
        </w:rPr>
        <w:t>Dependency-failure game day; Operations</w:t>
      </w:r>
    </w:p>
    <w:p>
      <w:pPr>
        <w:pStyle w:val="Heading2"/>
      </w:pPr>
      <w:r>
        <w:t>13.4 Highest residual risks</w:t>
      </w:r>
    </w:p>
    <w:p>
      <w:r>
        <w:rPr>
          <w:rFonts w:ascii="Calibri" w:hAnsi="Calibri"/>
          <w:color w:val="17324D"/>
          <w:sz w:val="22"/>
        </w:rPr>
        <w:t>The most material expected residual risks are stolen caller tokens, prompt-injection-driven misuse within otherwise valid permissions, downstream credential compromise, software supply-chain compromise, data over-disclosure and dependency availability. These risks cannot be eliminated by the Gateway alone. They require enterprise identity/device controls, narrow permissions, controlled write enablement, supply-chain assurance, monitoring and incident response.</w:t>
      </w:r>
    </w:p>
    <w:p>
      <w:pPr>
        <w:pStyle w:val="Heading1"/>
      </w:pPr>
      <w:r>
        <w:t>14. Security implementation checklist</w:t>
      </w:r>
    </w:p>
    <w:tbl>
      <w:tblPr>
        <w:tblStyle w:val="TableGrid"/>
        <w:tblW w:type="dxa" w:w="9360"/>
        <w:tblLayout w:type="fixed"/>
        <w:tblLook w:firstColumn="1" w:firstRow="1" w:lastColumn="0" w:lastRow="0" w:noHBand="0" w:noVBand="1" w:val="04A0"/>
        <w:tblInd w:w="120" w:type="dxa"/>
        <w:tblLayout w:type="fixed"/>
        <w:tblInd w:w="120" w:type="dxa"/>
        <w:tblLayout w:type="fixed"/>
      </w:tblPr>
      <w:tblGrid>
        <w:gridCol w:w="2200"/>
        <w:gridCol w:w="3300"/>
        <w:gridCol w:w="3860"/>
      </w:tblGrid>
      <w:tr>
        <w:trPr>
          <w:cantSplit/>
          <w:tblHeader w:val="true"/>
        </w:trPr>
        <w:tc>
          <w:tcPr>
            <w:tcW w:type="dxa" w:w="2200"/>
            <w:vAlign w:val="center"/>
            <w:tcMar>
              <w:top w:w="40" w:type="dxa"/>
              <w:start w:w="120" w:type="dxa"/>
              <w:bottom w:w="40" w:type="dxa"/>
              <w:end w:w="120" w:type="dxa"/>
            </w:tcMar>
            <w:shd w:fill="E8EEF5"/>
          </w:tcPr>
          <w:p>
            <w:pPr>
              <w:spacing w:after="0"/>
              <w:jc w:val="center"/>
            </w:pPr>
            <w:r>
              <w:rPr>
                <w:rFonts w:ascii="Calibri" w:hAnsi="Calibri"/>
                <w:b/>
                <w:color w:val="17324D"/>
                <w:sz w:val="19"/>
              </w:rPr>
              <w:t>Control</w:t>
            </w:r>
          </w:p>
        </w:tc>
        <w:tc>
          <w:tcPr>
            <w:tcW w:type="dxa" w:w="3300"/>
            <w:vAlign w:val="center"/>
            <w:tcMar>
              <w:top w:w="40" w:type="dxa"/>
              <w:start w:w="120" w:type="dxa"/>
              <w:bottom w:w="40" w:type="dxa"/>
              <w:end w:w="120" w:type="dxa"/>
            </w:tcMar>
            <w:shd w:fill="E8EEF5"/>
          </w:tcPr>
          <w:p>
            <w:pPr>
              <w:spacing w:after="0"/>
              <w:jc w:val="center"/>
            </w:pPr>
            <w:r>
              <w:rPr>
                <w:rFonts w:ascii="Calibri" w:hAnsi="Calibri"/>
                <w:b/>
                <w:color w:val="17324D"/>
                <w:sz w:val="19"/>
              </w:rPr>
              <w:t>Requirement</w:t>
            </w:r>
          </w:p>
        </w:tc>
        <w:tc>
          <w:tcPr>
            <w:tcW w:type="dxa" w:w="3860"/>
            <w:vAlign w:val="center"/>
            <w:tcMar>
              <w:top w:w="40" w:type="dxa"/>
              <w:start w:w="120" w:type="dxa"/>
              <w:bottom w:w="40" w:type="dxa"/>
              <w:end w:w="120" w:type="dxa"/>
            </w:tcMar>
            <w:shd w:fill="E8EEF5"/>
          </w:tcPr>
          <w:p>
            <w:pPr>
              <w:spacing w:after="0"/>
              <w:jc w:val="left"/>
            </w:pPr>
            <w:r>
              <w:rPr>
                <w:rFonts w:ascii="Calibri" w:hAnsi="Calibri"/>
                <w:b/>
                <w:color w:val="17324D"/>
                <w:sz w:val="19"/>
              </w:rPr>
              <w:t>Verification</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IAM-01</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Separate Entra API audiences, app registrations, assignments and allowed clients for nonprod and prod.</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Entra export and negative cross-environment test</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IAM-02</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Validate issuer/discovery, audience, client, scope and required role/group claims at the appropriate layer.</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Gateway configuration and token test matrix</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IAM-03</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Use an approved delegated token/refresh flow for Claude Code; do not paste long-lived tokens into static configuration.</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Endpoint/client demonstration and security review</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IAM-04</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Use OBO for the delegated lane and a separate Graph application credential for the application lane; never send the Enterprise MCP token directly to Graph.</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Token audience evidence and code/config review</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IAM-05</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Do not grant AgentCore Identity credential-vending permissions unless separately approved.</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Runtime/Gateway IAM policy review</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NET-01</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Restrict Gateway private access with endpoint SG/routing and exact Gateway resource scope.</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Network test and Terraform plan</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NET-02</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Restrict Runtime subnets, SGs and egress to approved dependencies.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VPC flow evidence and firewall/proxy approval</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AUTHZ-01</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 xml:space="preserve">Run Gateway policy in </w:t>
            </w:r>
            <w:r>
              <w:rPr>
                <w:rFonts w:ascii="Courier New" w:hAnsi="Courier New"/>
                <w:color w:val="1F4D78"/>
                <w:sz w:val="17"/>
                <w:shd w:fill="EAF2F8"/>
              </w:rPr>
              <w:t>ENFORCE</w:t>
            </w:r>
            <w:r>
              <w:rPr>
                <w:rFonts w:ascii="Calibri" w:hAnsi="Calibri"/>
                <w:color w:val="17324D"/>
                <w:sz w:val="16"/>
              </w:rPr>
              <w:t xml:space="preserve"> before production and deny unknown caller/tool/resource combinations.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Cedar tests and denial logs</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AUTHZ-02</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Cedar must consume Gateway-validated claims; Runtime must not authorize from caller-supplied identity headers.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Spoofing test and Gateway decision trace</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TOOL-01</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Expose one upload tool; reject invalid identifiers or paths and pass accepted values unchanged.</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Tool contract and negative test suite</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WRITE-01</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Use the documented create-or-replace upload contract, do not retry automatically, and validate SharePoint recovery.</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Upload and version-restore evidence</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DATA-01</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 xml:space="preserve">Enforce native employee ACLs for OBO and explicit </w:t>
            </w:r>
            <w:r>
              <w:rPr>
                <w:rFonts w:ascii="Courier New" w:hAnsi="Courier New"/>
                <w:color w:val="1F4D78"/>
                <w:sz w:val="17"/>
                <w:shd w:fill="EAF2F8"/>
              </w:rPr>
              <w:t>Sites.Selected</w:t>
            </w:r>
            <w:r>
              <w:rPr>
                <w:rFonts w:ascii="Calibri" w:hAnsi="Calibri"/>
                <w:color w:val="17324D"/>
                <w:sz w:val="16"/>
              </w:rPr>
              <w:t xml:space="preserve"> grants for application access.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SharePoint ACL and Graph grant inventory</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LOG-01</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Centralize authentication, policy, tool and deployment audit with agreed retention and SIEM alerts.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Dashboard, alarm and sample trace</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LOG-02</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Prove that logs/traces do not contain tokens, secrets or full documents.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Automated scan and manual sample review</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SUP-01</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Deploy scanned, SBOM-attested and signed immutable images with pinned dependencies.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Build provenance and ECR digest</w:t>
            </w:r>
          </w:p>
        </w:tc>
      </w:tr>
      <w:tr>
        <w:trPr>
          <w:cantSplit/>
        </w:trPr>
        <w:tc>
          <w:tcPr>
            <w:tcW w:type="dxa" w:w="2200"/>
            <w:vAlign w:val="center"/>
            <w:tcMar>
              <w:top w:w="40" w:type="dxa"/>
              <w:start w:w="120" w:type="dxa"/>
              <w:bottom w:w="40" w:type="dxa"/>
              <w:end w:w="120" w:type="dxa"/>
            </w:tcMar>
          </w:tcPr>
          <w:p>
            <w:pPr>
              <w:spacing w:after="0" w:line="240" w:lineRule="auto"/>
              <w:jc w:val="center"/>
            </w:pPr>
            <w:r>
              <w:rPr>
                <w:rFonts w:ascii="Calibri" w:hAnsi="Calibri"/>
                <w:color w:val="17324D"/>
                <w:sz w:val="16"/>
              </w:rPr>
              <w:t>OPS-01</w:t>
            </w:r>
          </w:p>
        </w:tc>
        <w:tc>
          <w:tcPr>
            <w:tcW w:type="dxa" w:w="3300"/>
            <w:vAlign w:val="center"/>
            <w:tcMar>
              <w:top w:w="40" w:type="dxa"/>
              <w:start w:w="120" w:type="dxa"/>
              <w:bottom w:w="40" w:type="dxa"/>
              <w:end w:w="120" w:type="dxa"/>
            </w:tcMar>
          </w:tcPr>
          <w:p>
            <w:pPr>
              <w:spacing w:after="0" w:line="240" w:lineRule="auto"/>
              <w:jc w:val="left"/>
            </w:pPr>
            <w:r>
              <w:rPr>
                <w:rFonts w:ascii="Calibri" w:hAnsi="Calibri"/>
                <w:color w:val="17324D"/>
                <w:sz w:val="16"/>
              </w:rPr>
              <w:t>Apply timeouts, bounded retries, throttling handling, kill switches and rollback runbooks.</w:t>
            </w:r>
          </w:p>
        </w:tc>
        <w:tc>
          <w:tcPr>
            <w:tcW w:type="dxa" w:w="3860"/>
            <w:vAlign w:val="center"/>
            <w:tcMar>
              <w:top w:w="40" w:type="dxa"/>
              <w:start w:w="120" w:type="dxa"/>
              <w:bottom w:w="40" w:type="dxa"/>
              <w:end w:w="120" w:type="dxa"/>
            </w:tcMar>
          </w:tcPr>
          <w:p>
            <w:pPr>
              <w:spacing w:after="0" w:line="240" w:lineRule="auto"/>
              <w:jc w:val="left"/>
            </w:pPr>
            <w:r>
              <w:rPr>
                <w:rFonts w:ascii="Calibri" w:hAnsi="Calibri"/>
                <w:color w:val="17324D"/>
                <w:sz w:val="16"/>
              </w:rPr>
              <w:t>Failure and rollback tests</w:t>
            </w:r>
          </w:p>
        </w:tc>
      </w:tr>
    </w:tbl>
    <w:p>
      <w:pPr>
        <w:spacing w:after="40"/>
      </w:pPr>
    </w:p>
    <w:p>
      <w:pPr>
        <w:pStyle w:val="Heading1"/>
      </w:pPr>
      <w:r>
        <w:t>15. Operations and rollback</w:t>
      </w:r>
    </w:p>
    <w:tbl>
      <w:tblPr>
        <w:tblStyle w:val="TableGrid"/>
        <w:tblW w:type="dxa" w:w="9360"/>
        <w:tblLayout w:type="fixed"/>
        <w:tblLook w:firstColumn="1" w:firstRow="1" w:lastColumn="0" w:lastRow="0" w:noHBand="0" w:noVBand="1" w:val="04A0"/>
        <w:tblInd w:w="120" w:type="dxa"/>
        <w:tblLayout w:type="fixed"/>
        <w:tblInd w:w="120" w:type="dxa"/>
        <w:tblLayout w:type="fixed"/>
      </w:tblPr>
      <w:tblGrid>
        <w:gridCol w:w="2200"/>
        <w:gridCol w:w="3300"/>
        <w:gridCol w:w="3860"/>
      </w:tblGrid>
      <w:tr>
        <w:trPr>
          <w:cantSplit/>
          <w:tblHeader w:val="true"/>
        </w:trPr>
        <w:tc>
          <w:tcPr>
            <w:tcW w:type="dxa" w:w="2200"/>
            <w:vAlign w:val="center"/>
            <w:tcMar>
              <w:top w:w="80" w:type="dxa"/>
              <w:start w:w="120" w:type="dxa"/>
              <w:bottom w:w="80" w:type="dxa"/>
              <w:end w:w="120" w:type="dxa"/>
            </w:tcMar>
            <w:shd w:fill="E8EEF5"/>
          </w:tcPr>
          <w:p>
            <w:pPr>
              <w:spacing w:after="0"/>
              <w:jc w:val="center"/>
            </w:pPr>
            <w:r>
              <w:rPr>
                <w:rFonts w:ascii="Calibri" w:hAnsi="Calibri"/>
                <w:b/>
                <w:color w:val="17324D"/>
                <w:sz w:val="19"/>
              </w:rPr>
              <w:t>Trigger</w:t>
            </w:r>
          </w:p>
        </w:tc>
        <w:tc>
          <w:tcPr>
            <w:tcW w:type="dxa" w:w="3300"/>
            <w:vAlign w:val="center"/>
            <w:tcMar>
              <w:top w:w="80" w:type="dxa"/>
              <w:start w:w="120" w:type="dxa"/>
              <w:bottom w:w="80" w:type="dxa"/>
              <w:end w:w="120" w:type="dxa"/>
            </w:tcMar>
            <w:shd w:fill="E8EEF5"/>
          </w:tcPr>
          <w:p>
            <w:pPr>
              <w:spacing w:after="0"/>
              <w:jc w:val="left"/>
            </w:pPr>
            <w:r>
              <w:rPr>
                <w:rFonts w:ascii="Calibri" w:hAnsi="Calibri"/>
                <w:b/>
                <w:color w:val="17324D"/>
                <w:sz w:val="19"/>
              </w:rPr>
              <w:t>Immediate containment</w:t>
            </w:r>
          </w:p>
        </w:tc>
        <w:tc>
          <w:tcPr>
            <w:tcW w:type="dxa" w:w="3860"/>
            <w:vAlign w:val="center"/>
            <w:tcMar>
              <w:top w:w="80" w:type="dxa"/>
              <w:start w:w="120" w:type="dxa"/>
              <w:bottom w:w="80" w:type="dxa"/>
              <w:end w:w="120" w:type="dxa"/>
            </w:tcMar>
            <w:shd w:fill="E8EEF5"/>
          </w:tcPr>
          <w:p>
            <w:pPr>
              <w:spacing w:after="0"/>
              <w:jc w:val="left"/>
            </w:pPr>
            <w:r>
              <w:rPr>
                <w:rFonts w:ascii="Calibri" w:hAnsi="Calibri"/>
                <w:b/>
                <w:color w:val="17324D"/>
                <w:sz w:val="19"/>
              </w:rPr>
              <w:t>Recovery / rollback</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Caller token or client compromise</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Remove client/assignment; revoke sessions/credential; deny subject/client in policy</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Investigate audit trail, rotate credentials and re-enable only after incident review</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Incorrect policy decision</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Set explicit deny or disable affected tool/target</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Revert policy artifact, rerun negative tests, redeploy through approved path</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Runtime/image defect</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Disable target if unsafe; stop new cohort rollout</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Redeploy last known-good immutable image and verify smoke tests</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Graph credential compromise</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Revoke credential and selected grants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Rotate credential, review Graph audit, regrant only approved sites</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Unauthorized or incorrect upload</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Disable the upload tool and upload roles</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Use SharePoint version history/restore and incident evidence</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Gateway/AgentCore outage</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Fail closed and communicate service unavailability</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Restore service/dependency; no direct Runtime bypass</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Excessive throttling/load</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Reduce cohort/rate, disable expensive tools, honour backoff</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Tune quotas/concurrency after measurement and change review</w:t>
            </w:r>
          </w:p>
        </w:tc>
      </w:tr>
      <w:tr>
        <w:trPr>
          <w:cantSplit/>
        </w:trPr>
        <w:tc>
          <w:tcPr>
            <w:tcW w:type="dxa" w:w="2200"/>
            <w:vAlign w:val="center"/>
            <w:tcMar>
              <w:top w:w="80" w:type="dxa"/>
              <w:start w:w="120" w:type="dxa"/>
              <w:bottom w:w="80" w:type="dxa"/>
              <w:end w:w="120" w:type="dxa"/>
            </w:tcMar>
          </w:tcPr>
          <w:p>
            <w:pPr>
              <w:spacing w:after="0" w:line="252" w:lineRule="auto"/>
              <w:jc w:val="left"/>
            </w:pPr>
            <w:r>
              <w:rPr>
                <w:rFonts w:ascii="Calibri" w:hAnsi="Calibri"/>
                <w:color w:val="17324D"/>
                <w:sz w:val="18"/>
              </w:rPr>
              <w:t>Sensitive data in logs</w:t>
            </w:r>
          </w:p>
        </w:tc>
        <w:tc>
          <w:tcPr>
            <w:tcW w:type="dxa" w:w="3300"/>
            <w:vAlign w:val="center"/>
            <w:tcMar>
              <w:top w:w="80" w:type="dxa"/>
              <w:start w:w="120" w:type="dxa"/>
              <w:bottom w:w="80" w:type="dxa"/>
              <w:end w:w="120" w:type="dxa"/>
            </w:tcMar>
          </w:tcPr>
          <w:p>
            <w:pPr>
              <w:spacing w:after="0" w:line="252" w:lineRule="auto"/>
              <w:jc w:val="left"/>
            </w:pPr>
            <w:r>
              <w:rPr>
                <w:rFonts w:ascii="Calibri" w:hAnsi="Calibri"/>
                <w:color w:val="17324D"/>
                <w:sz w:val="18"/>
              </w:rPr>
              <w:t>Restrict log access and stop affected telemetry path if required</w:t>
            </w:r>
          </w:p>
        </w:tc>
        <w:tc>
          <w:tcPr>
            <w:tcW w:type="dxa" w:w="3860"/>
            <w:vAlign w:val="center"/>
            <w:tcMar>
              <w:top w:w="80" w:type="dxa"/>
              <w:start w:w="120" w:type="dxa"/>
              <w:bottom w:w="80" w:type="dxa"/>
              <w:end w:w="120" w:type="dxa"/>
            </w:tcMar>
          </w:tcPr>
          <w:p>
            <w:pPr>
              <w:spacing w:after="0" w:line="252" w:lineRule="auto"/>
              <w:jc w:val="left"/>
            </w:pPr>
            <w:r>
              <w:rPr>
                <w:rFonts w:ascii="Calibri" w:hAnsi="Calibri"/>
                <w:color w:val="17324D"/>
                <w:sz w:val="18"/>
              </w:rPr>
              <w:t>Purge according to policy, fix redaction, rotate exposed credentials and notify Security/Privacy</w:t>
            </w:r>
          </w:p>
        </w:tc>
      </w:tr>
    </w:tbl>
    <w:p>
      <w:pPr>
        <w:spacing w:after="40"/>
      </w:pPr>
    </w:p>
    <w:p>
      <w:r>
        <w:rPr>
          <w:rFonts w:ascii="Calibri" w:hAnsi="Calibri"/>
          <w:color w:val="17324D"/>
          <w:sz w:val="22"/>
        </w:rPr>
        <w:t>Every kill switch must have a named operator, tested command/change path, audit trail and maximum execution time.</w:t>
      </w:r>
    </w:p>
    <w:p>
      <w:pPr>
        <w:pStyle w:val="Heading1"/>
      </w:pPr>
      <w:r>
        <w:t>16. Developer verification guide</w:t>
      </w:r>
    </w:p>
    <w:p>
      <w:pPr>
        <w:pStyle w:val="Heading2"/>
      </w:pPr>
      <w:r>
        <w:t>16.1 Functional tests</w:t>
      </w:r>
    </w:p>
    <w:p>
      <w:pPr>
        <w:spacing w:after="80" w:line="300" w:lineRule="auto"/>
        <w:numPr>
          <w:ilvl w:val="0"/>
          <w:numId w:val="34"/>
        </w:numPr>
      </w:pPr>
      <w:r>
        <w:rPr>
          <w:rFonts w:ascii="Calibri" w:hAnsi="Calibri"/>
          <w:color w:val="17324D"/>
          <w:sz w:val="22"/>
        </w:rPr>
        <w:t>MCP initialize, list, semantic search, approved read calls and the approved</w:t>
      </w:r>
    </w:p>
    <w:p>
      <w:r>
        <w:rPr>
          <w:rFonts w:ascii="Calibri" w:hAnsi="Calibri"/>
          <w:color w:val="17324D"/>
          <w:sz w:val="22"/>
        </w:rPr>
        <w:t>upload call.</w:t>
      </w:r>
    </w:p>
    <w:p>
      <w:pPr>
        <w:spacing w:after="80" w:line="300" w:lineRule="auto"/>
        <w:numPr>
          <w:ilvl w:val="0"/>
          <w:numId w:val="35"/>
        </w:numPr>
      </w:pPr>
      <w:r>
        <w:rPr>
          <w:rFonts w:ascii="Calibri" w:hAnsi="Calibri"/>
          <w:color w:val="17324D"/>
          <w:sz w:val="22"/>
        </w:rPr>
        <w:t>Correct routing to the SharePoint delegated and application Runtime lanes.</w:t>
      </w:r>
    </w:p>
    <w:p>
      <w:pPr>
        <w:spacing w:after="80" w:line="300" w:lineRule="auto"/>
        <w:numPr>
          <w:ilvl w:val="0"/>
          <w:numId w:val="35"/>
        </w:numPr>
      </w:pPr>
      <w:r>
        <w:rPr>
          <w:rFonts w:ascii="Calibri" w:hAnsi="Calibri"/>
          <w:color w:val="17324D"/>
          <w:sz w:val="22"/>
        </w:rPr>
        <w:t>Valid empty and non-empty UTF-8 uploads to the default document library.</w:t>
      </w:r>
    </w:p>
    <w:p>
      <w:pPr>
        <w:spacing w:after="80" w:line="300" w:lineRule="auto"/>
        <w:numPr>
          <w:ilvl w:val="0"/>
          <w:numId w:val="35"/>
        </w:numPr>
      </w:pPr>
      <w:r>
        <w:rPr>
          <w:rFonts w:ascii="Calibri" w:hAnsi="Calibri"/>
          <w:color w:val="17324D"/>
          <w:sz w:val="22"/>
        </w:rPr>
        <w:t>Graph throttling, timeout and permission error mapping.</w:t>
      </w:r>
    </w:p>
    <w:p>
      <w:pPr>
        <w:spacing w:after="80" w:line="300" w:lineRule="auto"/>
        <w:numPr>
          <w:ilvl w:val="0"/>
          <w:numId w:val="35"/>
        </w:numPr>
      </w:pPr>
      <w:r>
        <w:rPr>
          <w:rFonts w:ascii="Calibri" w:hAnsi="Calibri"/>
          <w:color w:val="17324D"/>
          <w:sz w:val="22"/>
        </w:rPr>
        <w:t>App-only caller upload flow.</w:t>
      </w:r>
    </w:p>
    <w:p>
      <w:pPr>
        <w:spacing w:after="80" w:line="300" w:lineRule="auto"/>
        <w:numPr>
          <w:ilvl w:val="0"/>
          <w:numId w:val="35"/>
        </w:numPr>
      </w:pPr>
      <w:r>
        <w:rPr>
          <w:rFonts w:ascii="Calibri" w:hAnsi="Calibri"/>
          <w:color w:val="17324D"/>
          <w:sz w:val="22"/>
        </w:rPr>
        <w:t>Same-path replacement and SharePoint version-restore behaviour.</w:t>
      </w:r>
    </w:p>
    <w:p>
      <w:pPr>
        <w:pStyle w:val="Heading2"/>
      </w:pPr>
      <w:r>
        <w:t>16.2 Security tests</w:t>
      </w:r>
    </w:p>
    <w:p>
      <w:pPr>
        <w:spacing w:after="80" w:line="300" w:lineRule="auto"/>
        <w:numPr>
          <w:ilvl w:val="0"/>
          <w:numId w:val="36"/>
        </w:numPr>
      </w:pPr>
      <w:r>
        <w:rPr>
          <w:rFonts w:ascii="Calibri" w:hAnsi="Calibri"/>
          <w:color w:val="17324D"/>
          <w:sz w:val="22"/>
        </w:rPr>
        <w:t>Invalid signature, issuer, audience, client, expired token, missing scope/role and cross-environment token.</w:t>
      </w:r>
    </w:p>
    <w:p>
      <w:pPr>
        <w:spacing w:after="80" w:line="300" w:lineRule="auto"/>
        <w:numPr>
          <w:ilvl w:val="0"/>
          <w:numId w:val="36"/>
        </w:numPr>
      </w:pPr>
      <w:r>
        <w:rPr>
          <w:rFonts w:ascii="Calibri" w:hAnsi="Calibri"/>
          <w:color w:val="17324D"/>
          <w:sz w:val="22"/>
        </w:rPr>
        <w:t>Client-supplied identity-header spoofing and missing Cedar claims.</w:t>
      </w:r>
    </w:p>
    <w:p>
      <w:pPr>
        <w:spacing w:after="80" w:line="300" w:lineRule="auto"/>
        <w:numPr>
          <w:ilvl w:val="0"/>
          <w:numId w:val="36"/>
        </w:numPr>
      </w:pPr>
      <w:r>
        <w:rPr>
          <w:rFonts w:ascii="Calibri" w:hAnsi="Calibri"/>
          <w:color w:val="17324D"/>
          <w:sz w:val="22"/>
        </w:rPr>
        <w:t>Unauthorized tool, delegated cross-site, application cross-site and upload operation.</w:t>
      </w:r>
    </w:p>
    <w:p>
      <w:pPr>
        <w:spacing w:after="80" w:line="300" w:lineRule="auto"/>
        <w:numPr>
          <w:ilvl w:val="0"/>
          <w:numId w:val="36"/>
        </w:numPr>
      </w:pPr>
      <w:r>
        <w:rPr>
          <w:rFonts w:ascii="Calibri" w:hAnsi="Calibri"/>
          <w:color w:val="17324D"/>
          <w:sz w:val="22"/>
        </w:rPr>
        <w:t>Direct Runtime invocation.</w:t>
      </w:r>
    </w:p>
    <w:p>
      <w:pPr>
        <w:spacing w:after="80" w:line="300" w:lineRule="auto"/>
        <w:numPr>
          <w:ilvl w:val="0"/>
          <w:numId w:val="36"/>
        </w:numPr>
      </w:pPr>
      <w:r>
        <w:rPr>
          <w:rFonts w:ascii="Calibri" w:hAnsi="Calibri"/>
          <w:color w:val="17324D"/>
          <w:sz w:val="22"/>
        </w:rPr>
        <w:t>Invalid or ambiguous paths, malformed IDs and prompt-injection scenarios.</w:t>
      </w:r>
    </w:p>
    <w:p>
      <w:pPr>
        <w:spacing w:after="80" w:line="300" w:lineRule="auto"/>
        <w:numPr>
          <w:ilvl w:val="0"/>
          <w:numId w:val="36"/>
        </w:numPr>
      </w:pPr>
      <w:r>
        <w:rPr>
          <w:rFonts w:ascii="Calibri" w:hAnsi="Calibri"/>
          <w:color w:val="17324D"/>
          <w:sz w:val="22"/>
        </w:rPr>
        <w:t>Secret/token/content leakage in logs.</w:t>
      </w:r>
    </w:p>
    <w:p>
      <w:pPr>
        <w:spacing w:after="80" w:line="300" w:lineRule="auto"/>
        <w:numPr>
          <w:ilvl w:val="0"/>
          <w:numId w:val="36"/>
        </w:numPr>
      </w:pPr>
      <w:r>
        <w:rPr>
          <w:rFonts w:ascii="Calibri" w:hAnsi="Calibri"/>
          <w:color w:val="17324D"/>
          <w:sz w:val="22"/>
        </w:rPr>
        <w:t>Downstream permission inventory and cross-site denial.</w:t>
      </w:r>
    </w:p>
    <w:p>
      <w:pPr>
        <w:pStyle w:val="Heading2"/>
      </w:pPr>
      <w:r>
        <w:t>16.3 Operational tests</w:t>
      </w:r>
    </w:p>
    <w:p>
      <w:pPr>
        <w:spacing w:after="80" w:line="300" w:lineRule="auto"/>
        <w:numPr>
          <w:ilvl w:val="0"/>
          <w:numId w:val="37"/>
        </w:numPr>
      </w:pPr>
      <w:r>
        <w:rPr>
          <w:rFonts w:ascii="Calibri" w:hAnsi="Calibri"/>
          <w:color w:val="17324D"/>
          <w:sz w:val="22"/>
        </w:rPr>
        <w:t>End-to-end correlation across client, Gateway policy, Runtime and Graph.</w:t>
      </w:r>
    </w:p>
    <w:p>
      <w:pPr>
        <w:spacing w:after="80" w:line="300" w:lineRule="auto"/>
        <w:numPr>
          <w:ilvl w:val="0"/>
          <w:numId w:val="37"/>
        </w:numPr>
      </w:pPr>
      <w:r>
        <w:rPr>
          <w:rFonts w:ascii="Calibri" w:hAnsi="Calibri"/>
          <w:color w:val="17324D"/>
          <w:sz w:val="22"/>
        </w:rPr>
        <w:t>Dashboards, alarms, SIEM events and on-call runbooks.</w:t>
      </w:r>
    </w:p>
    <w:p>
      <w:pPr>
        <w:spacing w:after="80" w:line="300" w:lineRule="auto"/>
        <w:numPr>
          <w:ilvl w:val="0"/>
          <w:numId w:val="37"/>
        </w:numPr>
      </w:pPr>
      <w:r>
        <w:rPr>
          <w:rFonts w:ascii="Calibri" w:hAnsi="Calibri"/>
          <w:color w:val="17324D"/>
          <w:sz w:val="22"/>
        </w:rPr>
        <w:t>Dependency timeout, Graph throttling and partial-failure scenarios.</w:t>
      </w:r>
    </w:p>
    <w:p>
      <w:pPr>
        <w:spacing w:after="80" w:line="300" w:lineRule="auto"/>
        <w:numPr>
          <w:ilvl w:val="0"/>
          <w:numId w:val="37"/>
        </w:numPr>
      </w:pPr>
      <w:r>
        <w:rPr>
          <w:rFonts w:ascii="Calibri" w:hAnsi="Calibri"/>
          <w:color w:val="17324D"/>
          <w:sz w:val="22"/>
        </w:rPr>
        <w:t>Client revocation, tool/target kill switch, policy rollback and image rollback.</w:t>
      </w:r>
    </w:p>
    <w:p>
      <w:pPr>
        <w:spacing w:after="80" w:line="300" w:lineRule="auto"/>
        <w:numPr>
          <w:ilvl w:val="0"/>
          <w:numId w:val="37"/>
        </w:numPr>
      </w:pPr>
      <w:r>
        <w:rPr>
          <w:rFonts w:ascii="Calibri" w:hAnsi="Calibri"/>
          <w:color w:val="17324D"/>
          <w:sz w:val="22"/>
        </w:rPr>
        <w:t>Production-like load and agreed latency/error objectives.</w:t>
      </w:r>
    </w:p>
    <w:p>
      <w:pPr>
        <w:pStyle w:val="Heading2"/>
      </w:pPr>
      <w:r>
        <w:t>16.4 Deployment checks</w:t>
      </w:r>
    </w:p>
    <w:p>
      <w:pPr>
        <w:spacing w:after="80" w:line="300" w:lineRule="auto"/>
        <w:numPr>
          <w:ilvl w:val="0"/>
          <w:numId w:val="38"/>
        </w:numPr>
      </w:pPr>
      <w:r>
        <w:rPr>
          <w:rFonts w:ascii="Calibri" w:hAnsi="Calibri"/>
          <w:color w:val="17324D"/>
          <w:sz w:val="22"/>
        </w:rPr>
        <w:t>Required Azure DevOps branch policies and reviewers.</w:t>
      </w:r>
    </w:p>
    <w:p>
      <w:pPr>
        <w:spacing w:after="80" w:line="300" w:lineRule="auto"/>
        <w:numPr>
          <w:ilvl w:val="0"/>
          <w:numId w:val="38"/>
        </w:numPr>
      </w:pPr>
      <w:r>
        <w:rPr>
          <w:rFonts w:ascii="Calibri" w:hAnsi="Calibri"/>
          <w:color w:val="17324D"/>
          <w:sz w:val="22"/>
        </w:rPr>
        <w:t>Passing direct Cedar source checks, AgentCore live-schema validation and negative authorization tests.</w:t>
      </w:r>
    </w:p>
    <w:p>
      <w:pPr>
        <w:spacing w:after="80" w:line="300" w:lineRule="auto"/>
        <w:numPr>
          <w:ilvl w:val="0"/>
          <w:numId w:val="38"/>
        </w:numPr>
      </w:pPr>
      <w:r>
        <w:rPr>
          <w:rFonts w:ascii="Calibri" w:hAnsi="Calibri"/>
          <w:color w:val="17324D"/>
          <w:sz w:val="22"/>
        </w:rPr>
        <w:t>Immutable image digest, vulnerability results, SBOM and signature/provenance.</w:t>
      </w:r>
    </w:p>
    <w:p>
      <w:pPr>
        <w:spacing w:after="80" w:line="300" w:lineRule="auto"/>
        <w:numPr>
          <w:ilvl w:val="0"/>
          <w:numId w:val="38"/>
        </w:numPr>
      </w:pPr>
      <w:r>
        <w:rPr>
          <w:rFonts w:ascii="Calibri" w:hAnsi="Calibri"/>
          <w:color w:val="17324D"/>
          <w:sz w:val="22"/>
        </w:rPr>
        <w:t>Approved TFE plan/apply records and separate environment state.</w:t>
      </w:r>
    </w:p>
    <w:p>
      <w:pPr>
        <w:spacing w:after="80" w:line="300" w:lineRule="auto"/>
        <w:numPr>
          <w:ilvl w:val="0"/>
          <w:numId w:val="38"/>
        </w:numPr>
      </w:pPr>
      <w:r>
        <w:rPr>
          <w:rFonts w:ascii="Calibri" w:hAnsi="Calibri"/>
          <w:color w:val="17324D"/>
          <w:sz w:val="22"/>
        </w:rPr>
        <w:t>TFE target account/region values match the selected execution role and</w:t>
      </w:r>
    </w:p>
    <w:p>
      <w:r>
        <w:rPr>
          <w:rFonts w:ascii="Calibri" w:hAnsi="Calibri"/>
          <w:color w:val="17324D"/>
          <w:sz w:val="22"/>
        </w:rPr>
        <w:t>Australian environment.</w:t>
      </w:r>
    </w:p>
    <w:p>
      <w:pPr>
        <w:spacing w:after="80" w:line="300" w:lineRule="auto"/>
        <w:numPr>
          <w:ilvl w:val="0"/>
          <w:numId w:val="39"/>
        </w:numPr>
      </w:pPr>
      <w:r>
        <w:rPr>
          <w:rFonts w:ascii="Calibri" w:hAnsi="Calibri"/>
          <w:color w:val="17324D"/>
          <w:sz w:val="22"/>
        </w:rPr>
        <w:t>Entra app/assignment export and Graph selected-permission evidence.</w:t>
      </w:r>
    </w:p>
    <w:p>
      <w:pPr>
        <w:spacing w:after="80" w:line="300" w:lineRule="auto"/>
        <w:numPr>
          <w:ilvl w:val="0"/>
          <w:numId w:val="39"/>
        </w:numPr>
      </w:pPr>
      <w:r>
        <w:rPr>
          <w:rFonts w:ascii="Calibri" w:hAnsi="Calibri"/>
          <w:color w:val="17324D"/>
          <w:sz w:val="22"/>
        </w:rPr>
        <w:t>Provider/dependency versions and configuration without placeholders.</w:t>
      </w:r>
    </w:p>
    <w:p>
      <w:pPr>
        <w:pStyle w:val="Heading1"/>
      </w:pPr>
      <w:r>
        <w:t>17. Known gaps and open implementation work</w:t>
      </w:r>
    </w:p>
    <w:p>
      <w:r>
        <w:rPr>
          <w:rFonts w:ascii="Calibri" w:hAnsi="Calibri"/>
          <w:color w:val="17324D"/>
          <w:sz w:val="22"/>
        </w:rPr>
        <w:t>The following items are not complete. Treat them as implementation or validation work, not as behaviour already provided by the PoC:</w:t>
      </w:r>
    </w:p>
    <w:p>
      <w:pPr>
        <w:spacing w:after="80" w:line="300" w:lineRule="auto"/>
        <w:numPr>
          <w:ilvl w:val="0"/>
          <w:numId w:val="40"/>
        </w:numPr>
      </w:pPr>
      <w:r>
        <w:rPr>
          <w:rFonts w:ascii="Calibri" w:hAnsi="Calibri"/>
          <w:color w:val="17324D"/>
          <w:sz w:val="22"/>
        </w:rPr>
        <w:t>Validate the Gateway MCP target invoking the AgentCore Runtime endpoint with IAM signing in the target AWS account and region.</w:t>
      </w:r>
    </w:p>
    <w:p>
      <w:pPr>
        <w:spacing w:after="80" w:line="300" w:lineRule="auto"/>
        <w:numPr>
          <w:ilvl w:val="0"/>
          <w:numId w:val="40"/>
        </w:numPr>
      </w:pPr>
      <w:r>
        <w:rPr>
          <w:rFonts w:ascii="Calibri" w:hAnsi="Calibri"/>
          <w:color w:val="17324D"/>
          <w:sz w:val="22"/>
        </w:rPr>
        <w:t>Validate Runtime resource-policy denial of direct invocation.</w:t>
      </w:r>
    </w:p>
    <w:p>
      <w:pPr>
        <w:spacing w:after="80" w:line="300" w:lineRule="auto"/>
        <w:numPr>
          <w:ilvl w:val="0"/>
          <w:numId w:val="40"/>
        </w:numPr>
      </w:pPr>
      <w:r>
        <w:rPr>
          <w:rFonts w:ascii="Calibri" w:hAnsi="Calibri"/>
          <w:color w:val="17324D"/>
          <w:sz w:val="22"/>
        </w:rPr>
        <w:t>Select and demonstrate the supported Claude Code bearer-token acquisition and refresh experience without static token storage.</w:t>
      </w:r>
    </w:p>
    <w:p>
      <w:pPr>
        <w:spacing w:after="80" w:line="300" w:lineRule="auto"/>
        <w:numPr>
          <w:ilvl w:val="0"/>
          <w:numId w:val="40"/>
        </w:numPr>
      </w:pPr>
      <w:r>
        <w:rPr>
          <w:rFonts w:ascii="Calibri" w:hAnsi="Calibri"/>
          <w:color w:val="17324D"/>
          <w:sz w:val="22"/>
        </w:rPr>
        <w:t xml:space="preserve">Validate the separate </w:t>
      </w:r>
      <w:r>
        <w:rPr>
          <w:rFonts w:ascii="Courier New" w:hAnsi="Courier New"/>
          <w:color w:val="1F4D78"/>
          <w:sz w:val="20"/>
          <w:shd w:fill="EAF2F8"/>
        </w:rPr>
        <w:t>sharepoint-delegated</w:t>
      </w:r>
      <w:r>
        <w:rPr>
          <w:rFonts w:ascii="Calibri" w:hAnsi="Calibri"/>
          <w:color w:val="17324D"/>
          <w:sz w:val="22"/>
        </w:rPr>
        <w:t xml:space="preserve"> and</w:t>
      </w:r>
    </w:p>
    <w:p>
      <w:r>
        <w:rPr>
          <w:rFonts w:ascii="Courier New" w:hAnsi="Courier New"/>
          <w:color w:val="1F4D78"/>
          <w:sz w:val="20"/>
          <w:shd w:fill="EAF2F8"/>
        </w:rPr>
        <w:t>sharepoint-application</w:t>
      </w:r>
      <w:r>
        <w:rPr>
          <w:rFonts w:ascii="Calibri" w:hAnsi="Calibri"/>
          <w:color w:val="17324D"/>
          <w:sz w:val="22"/>
        </w:rPr>
        <w:t xml:space="preserve"> Gateway targets and Runtime deployments in the target AWS account.</w:t>
      </w:r>
    </w:p>
    <w:p>
      <w:pPr>
        <w:spacing w:after="80" w:line="300" w:lineRule="auto"/>
        <w:numPr>
          <w:ilvl w:val="0"/>
          <w:numId w:val="41"/>
        </w:numPr>
      </w:pPr>
      <w:r>
        <w:rPr>
          <w:rFonts w:ascii="Calibri" w:hAnsi="Calibri"/>
          <w:color w:val="17324D"/>
          <w:sz w:val="22"/>
        </w:rPr>
        <w:t xml:space="preserve">Validate the Terraform-wired Cedar with </w:t>
      </w:r>
      <w:r>
        <w:rPr>
          <w:rFonts w:ascii="Courier New" w:hAnsi="Courier New"/>
          <w:color w:val="1F4D78"/>
          <w:sz w:val="20"/>
          <w:shd w:fill="EAF2F8"/>
        </w:rPr>
        <w:t>FAIL_ON_ANY_FINDINGS</w:t>
      </w:r>
      <w:r>
        <w:rPr>
          <w:rFonts w:ascii="Calibri" w:hAnsi="Calibri"/>
          <w:color w:val="17324D"/>
          <w:sz w:val="22"/>
        </w:rPr>
        <w:t xml:space="preserve">, run positive/negative tests and set production policy to </w:t>
      </w:r>
      <w:r>
        <w:rPr>
          <w:rFonts w:ascii="Courier New" w:hAnsi="Courier New"/>
          <w:color w:val="1F4D78"/>
          <w:sz w:val="20"/>
          <w:shd w:fill="EAF2F8"/>
        </w:rPr>
        <w:t>ENFORCE</w:t>
      </w:r>
      <w:r>
        <w:rPr>
          <w:rFonts w:ascii="Calibri" w:hAnsi="Calibri"/>
          <w:color w:val="17324D"/>
          <w:sz w:val="22"/>
        </w:rPr>
        <w:t>.</w:t>
      </w:r>
    </w:p>
    <w:p>
      <w:pPr>
        <w:spacing w:after="80" w:line="300" w:lineRule="auto"/>
        <w:numPr>
          <w:ilvl w:val="0"/>
          <w:numId w:val="41"/>
        </w:numPr>
      </w:pPr>
      <w:r>
        <w:rPr>
          <w:rFonts w:ascii="Calibri" w:hAnsi="Calibri"/>
          <w:color w:val="17324D"/>
          <w:sz w:val="22"/>
        </w:rPr>
        <w:t>Validate the implemented Microsoft Graph upload with empty and non-empty</w:t>
      </w:r>
    </w:p>
    <w:p>
      <w:r>
        <w:rPr>
          <w:rFonts w:ascii="Calibri" w:hAnsi="Calibri"/>
          <w:color w:val="17324D"/>
          <w:sz w:val="22"/>
        </w:rPr>
        <w:t>UTF-8 content, create-or-replace behaviour, throttling and direct error propagation.</w:t>
      </w:r>
    </w:p>
    <w:p>
      <w:pPr>
        <w:spacing w:after="80" w:line="300" w:lineRule="auto"/>
        <w:numPr>
          <w:ilvl w:val="0"/>
          <w:numId w:val="42"/>
        </w:numPr>
      </w:pPr>
      <w:r>
        <w:rPr>
          <w:rFonts w:ascii="Calibri" w:hAnsi="Calibri"/>
          <w:color w:val="17324D"/>
          <w:sz w:val="22"/>
        </w:rPr>
        <w:t>Validate the delegated-lane OBO and application-lane Graph</w:t>
      </w:r>
    </w:p>
    <w:p>
      <w:r>
        <w:rPr>
          <w:rFonts w:ascii="Calibri" w:hAnsi="Calibri"/>
          <w:color w:val="17324D"/>
          <w:sz w:val="22"/>
        </w:rPr>
        <w:t xml:space="preserve">client-credential providers with real tenant credentials and </w:t>
      </w:r>
      <w:r>
        <w:rPr>
          <w:rFonts w:ascii="Courier New" w:hAnsi="Courier New"/>
          <w:color w:val="1F4D78"/>
          <w:sz w:val="20"/>
          <w:shd w:fill="EAF2F8"/>
        </w:rPr>
        <w:t>Sites.Selected</w:t>
      </w:r>
      <w:r>
        <w:rPr>
          <w:rFonts w:ascii="Calibri" w:hAnsi="Calibri"/>
          <w:color w:val="17324D"/>
          <w:sz w:val="22"/>
        </w:rPr>
        <w:t>. Do not store plaintext secrets in source or normal Terraform variables/state.</w:t>
      </w:r>
    </w:p>
    <w:p>
      <w:pPr>
        <w:spacing w:after="80" w:line="300" w:lineRule="auto"/>
        <w:numPr>
          <w:ilvl w:val="0"/>
          <w:numId w:val="43"/>
        </w:numPr>
      </w:pPr>
      <w:r>
        <w:rPr>
          <w:rFonts w:ascii="Calibri" w:hAnsi="Calibri"/>
          <w:color w:val="17324D"/>
          <w:sz w:val="22"/>
        </w:rPr>
        <w:t>Validate that missing or invalid required inputs fail and accepted values</w:t>
      </w:r>
    </w:p>
    <w:p>
      <w:r>
        <w:rPr>
          <w:rFonts w:ascii="Calibri" w:hAnsi="Calibri"/>
          <w:color w:val="17324D"/>
          <w:sz w:val="22"/>
        </w:rPr>
        <w:t>reach Graph unchanged.</w:t>
      </w:r>
    </w:p>
    <w:p>
      <w:pPr>
        <w:spacing w:after="80" w:line="300" w:lineRule="auto"/>
        <w:numPr>
          <w:ilvl w:val="0"/>
          <w:numId w:val="44"/>
        </w:numPr>
      </w:pPr>
      <w:r>
        <w:rPr>
          <w:rFonts w:ascii="Calibri" w:hAnsi="Calibri"/>
          <w:color w:val="17324D"/>
          <w:sz w:val="22"/>
        </w:rPr>
        <w:t>Implement and validate the existing list/read tools' live Microsoft Graph</w:t>
      </w:r>
    </w:p>
    <w:p>
      <w:r>
        <w:rPr>
          <w:rFonts w:ascii="Calibri" w:hAnsi="Calibri"/>
          <w:color w:val="17324D"/>
          <w:sz w:val="22"/>
        </w:rPr>
        <w:t>branches, including output bounds, supported file types, throttling and safe error handling.</w:t>
      </w:r>
    </w:p>
    <w:p>
      <w:pPr>
        <w:spacing w:after="80" w:line="300" w:lineRule="auto"/>
        <w:numPr>
          <w:ilvl w:val="0"/>
          <w:numId w:val="45"/>
        </w:numPr>
      </w:pPr>
      <w:r>
        <w:rPr>
          <w:rFonts w:ascii="Calibri" w:hAnsi="Calibri"/>
          <w:color w:val="17324D"/>
          <w:sz w:val="22"/>
        </w:rPr>
        <w:t>Validate the network/platform account's PrivateLink, private DNS, endpoint policy and corporate/AWS workload routing, including the compensating controls required for OAuth callers.</w:t>
      </w:r>
    </w:p>
    <w:p>
      <w:pPr>
        <w:spacing w:after="80" w:line="300" w:lineRule="auto"/>
        <w:numPr>
          <w:ilvl w:val="0"/>
          <w:numId w:val="45"/>
        </w:numPr>
      </w:pPr>
      <w:r>
        <w:rPr>
          <w:rFonts w:ascii="Calibri" w:hAnsi="Calibri"/>
          <w:color w:val="17324D"/>
          <w:sz w:val="22"/>
        </w:rPr>
        <w:t>Configure Gateway/Runtime/Identity observability, retention, SIEM forwarding, alarms and sensitive-data leakage tests.</w:t>
      </w:r>
    </w:p>
    <w:p>
      <w:pPr>
        <w:spacing w:after="80" w:line="300" w:lineRule="auto"/>
        <w:numPr>
          <w:ilvl w:val="0"/>
          <w:numId w:val="45"/>
        </w:numPr>
      </w:pPr>
      <w:r>
        <w:rPr>
          <w:rFonts w:ascii="Calibri" w:hAnsi="Calibri"/>
          <w:color w:val="17324D"/>
          <w:sz w:val="22"/>
        </w:rPr>
        <w:t>Configure real Azure DevOps agents, variable groups, required reviewers, image scanning, SBOM, signing and publish approvals.</w:t>
      </w:r>
    </w:p>
    <w:p>
      <w:pPr>
        <w:spacing w:after="80" w:line="300" w:lineRule="auto"/>
        <w:numPr>
          <w:ilvl w:val="0"/>
          <w:numId w:val="45"/>
        </w:numPr>
      </w:pPr>
      <w:r>
        <w:rPr>
          <w:rFonts w:ascii="Calibri" w:hAnsi="Calibri"/>
          <w:color w:val="17324D"/>
          <w:sz w:val="22"/>
        </w:rPr>
        <w:t>Replace all environment placeholders and validate the pinned provider/dependency versions in non-production/prod TFE workspaces.</w:t>
      </w:r>
    </w:p>
    <w:p>
      <w:pPr>
        <w:spacing w:after="80" w:line="300" w:lineRule="auto"/>
        <w:numPr>
          <w:ilvl w:val="0"/>
          <w:numId w:val="45"/>
        </w:numPr>
      </w:pPr>
      <w:r>
        <w:rPr>
          <w:rFonts w:ascii="Calibri" w:hAnsi="Calibri"/>
          <w:color w:val="17324D"/>
          <w:sz w:val="22"/>
        </w:rPr>
        <w:t>Define data classification, allowed sites/paths, data owners and periodic Graph permission review.</w:t>
      </w:r>
    </w:p>
    <w:p>
      <w:pPr>
        <w:spacing w:after="80" w:line="300" w:lineRule="auto"/>
        <w:numPr>
          <w:ilvl w:val="0"/>
          <w:numId w:val="45"/>
        </w:numPr>
      </w:pPr>
      <w:r>
        <w:rPr>
          <w:rFonts w:ascii="Calibri" w:hAnsi="Calibri"/>
          <w:color w:val="17324D"/>
          <w:sz w:val="22"/>
        </w:rPr>
        <w:t>Define SLO, RTO/RPO, capacity assumptions, support hours, incident ownership and tested kill-switch execution times.</w:t>
      </w:r>
    </w:p>
    <w:p>
      <w:pPr>
        <w:spacing w:after="80" w:line="300" w:lineRule="auto"/>
        <w:numPr>
          <w:ilvl w:val="0"/>
          <w:numId w:val="45"/>
        </w:numPr>
      </w:pPr>
      <w:r>
        <w:rPr>
          <w:rFonts w:ascii="Calibri" w:hAnsi="Calibri"/>
          <w:color w:val="17324D"/>
          <w:sz w:val="22"/>
        </w:rPr>
        <w:t>Validate the threat register against the organisation's risk method and record the resulting residual risks.</w:t>
      </w:r>
    </w:p>
    <w:p>
      <w:pPr>
        <w:spacing w:after="80" w:line="300" w:lineRule="auto"/>
        <w:numPr>
          <w:ilvl w:val="0"/>
          <w:numId w:val="45"/>
        </w:numPr>
      </w:pPr>
      <w:r>
        <w:rPr>
          <w:rFonts w:ascii="Calibri" w:hAnsi="Calibri"/>
          <w:color w:val="17324D"/>
          <w:sz w:val="22"/>
        </w:rPr>
        <w:t>Validate the direct AWS Knowledge and Microsoft Learn Gateway targets,</w:t>
      </w:r>
    </w:p>
    <w:p>
      <w:r>
        <w:rPr>
          <w:rFonts w:ascii="Calibri" w:hAnsi="Calibri"/>
          <w:color w:val="17324D"/>
          <w:sz w:val="22"/>
        </w:rPr>
        <w:t>including schema synchronization, Cedar denial of unreviewed tools, rate limits, data-egress controls, safe logging and target kill switches.</w:t>
      </w:r>
    </w:p>
    <w:p>
      <w:pPr>
        <w:spacing w:after="80" w:line="300" w:lineRule="auto"/>
        <w:numPr>
          <w:ilvl w:val="0"/>
          <w:numId w:val="46"/>
        </w:numPr>
      </w:pPr>
      <w:r>
        <w:rPr>
          <w:rFonts w:ascii="Calibri" w:hAnsi="Calibri"/>
          <w:color w:val="17324D"/>
          <w:sz w:val="22"/>
        </w:rPr>
        <w:t xml:space="preserve">Deploy the Terraform MCP Runtime with only the public </w:t>
      </w:r>
      <w:r>
        <w:rPr>
          <w:rFonts w:ascii="Courier New" w:hAnsi="Courier New"/>
          <w:color w:val="1F4D78"/>
          <w:sz w:val="20"/>
          <w:shd w:fill="EAF2F8"/>
        </w:rPr>
        <w:t>registry</w:t>
      </w:r>
      <w:r>
        <w:rPr>
          <w:rFonts w:ascii="Calibri" w:hAnsi="Calibri"/>
          <w:color w:val="17324D"/>
          <w:sz w:val="22"/>
        </w:rPr>
        <w:t xml:space="preserve"> toolset,</w:t>
      </w:r>
    </w:p>
    <w:p>
      <w:r>
        <w:rPr>
          <w:rFonts w:ascii="Calibri" w:hAnsi="Calibri"/>
          <w:color w:val="17324D"/>
          <w:sz w:val="22"/>
        </w:rPr>
        <w:t>Terraform operations disabled and no TFE credential; prove it cannot bypass Git/PR or central TFE controls.</w:t>
      </w:r>
    </w:p>
    <w:p>
      <w:pPr>
        <w:spacing w:after="80" w:line="300" w:lineRule="auto"/>
        <w:numPr>
          <w:ilvl w:val="0"/>
          <w:numId w:val="47"/>
        </w:numPr>
      </w:pPr>
      <w:r>
        <w:rPr>
          <w:rFonts w:ascii="Calibri" w:hAnsi="Calibri"/>
          <w:color w:val="17324D"/>
          <w:sz w:val="22"/>
        </w:rPr>
        <w:t>Record a separate decision before enabling Databricks data access.</w:t>
      </w:r>
    </w:p>
    <w:p>
      <w:pPr>
        <w:pStyle w:val="Heading1"/>
      </w:pPr>
      <w:r>
        <w:t>18. Component ownership</w:t>
      </w:r>
    </w:p>
    <w:tbl>
      <w:tblPr>
        <w:tblStyle w:val="TableGrid"/>
        <w:tblW w:type="dxa" w:w="9360"/>
        <w:tblLayout w:type="fixed"/>
        <w:tblLook w:firstColumn="1" w:firstRow="1" w:lastColumn="0" w:lastRow="0" w:noHBand="0" w:noVBand="1" w:val="04A0"/>
        <w:tblInd w:w="120" w:type="dxa"/>
        <w:tblLayout w:type="fixed"/>
        <w:tblInd w:w="120" w:type="dxa"/>
        <w:tblLayout w:type="fixed"/>
      </w:tblPr>
      <w:tblGrid>
        <w:gridCol w:w="2500"/>
        <w:gridCol w:w="2900"/>
        <w:gridCol w:w="3960"/>
      </w:tblGrid>
      <w:tr>
        <w:trPr>
          <w:cantSplit/>
          <w:tblHeader w:val="true"/>
        </w:trPr>
        <w:tc>
          <w:tcPr>
            <w:tcW w:type="dxa" w:w="2500"/>
            <w:vAlign w:val="center"/>
            <w:tcMar>
              <w:top w:w="80" w:type="dxa"/>
              <w:start w:w="120" w:type="dxa"/>
              <w:bottom w:w="80" w:type="dxa"/>
              <w:end w:w="120" w:type="dxa"/>
            </w:tcMar>
            <w:shd w:fill="E8EEF5"/>
          </w:tcPr>
          <w:p>
            <w:pPr>
              <w:spacing w:after="0"/>
              <w:jc w:val="center"/>
            </w:pPr>
            <w:r>
              <w:rPr>
                <w:rFonts w:ascii="Calibri" w:hAnsi="Calibri"/>
                <w:b/>
                <w:color w:val="17324D"/>
                <w:sz w:val="19"/>
              </w:rPr>
              <w:t>Capability</w:t>
            </w:r>
          </w:p>
        </w:tc>
        <w:tc>
          <w:tcPr>
            <w:tcW w:type="dxa" w:w="2900"/>
            <w:vAlign w:val="center"/>
            <w:tcMar>
              <w:top w:w="80" w:type="dxa"/>
              <w:start w:w="120" w:type="dxa"/>
              <w:bottom w:w="80" w:type="dxa"/>
              <w:end w:w="120" w:type="dxa"/>
            </w:tcMar>
            <w:shd w:fill="E8EEF5"/>
          </w:tcPr>
          <w:p>
            <w:pPr>
              <w:spacing w:after="0"/>
              <w:jc w:val="left"/>
            </w:pPr>
            <w:r>
              <w:rPr>
                <w:rFonts w:ascii="Calibri" w:hAnsi="Calibri"/>
                <w:b/>
                <w:color w:val="17324D"/>
                <w:sz w:val="19"/>
              </w:rPr>
              <w:t>Accountable owner</w:t>
            </w:r>
          </w:p>
        </w:tc>
        <w:tc>
          <w:tcPr>
            <w:tcW w:type="dxa" w:w="3960"/>
            <w:vAlign w:val="center"/>
            <w:tcMar>
              <w:top w:w="80" w:type="dxa"/>
              <w:start w:w="120" w:type="dxa"/>
              <w:bottom w:w="80" w:type="dxa"/>
              <w:end w:w="120" w:type="dxa"/>
            </w:tcMar>
            <w:shd w:fill="E8EEF5"/>
          </w:tcPr>
          <w:p>
            <w:pPr>
              <w:spacing w:after="0"/>
              <w:jc w:val="left"/>
            </w:pPr>
            <w:r>
              <w:rPr>
                <w:rFonts w:ascii="Calibri" w:hAnsi="Calibri"/>
                <w:b/>
                <w:color w:val="17324D"/>
                <w:sz w:val="19"/>
              </w:rPr>
              <w:t>Key responsibilities</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Shared Gateway, Runtime pattern and AWS IAM</w:t>
            </w:r>
          </w:p>
        </w:tc>
        <w:tc>
          <w:tcPr>
            <w:tcW w:type="dxa" w:w="2900"/>
            <w:vAlign w:val="center"/>
            <w:tcMar>
              <w:top w:w="80" w:type="dxa"/>
              <w:start w:w="120" w:type="dxa"/>
              <w:bottom w:w="80" w:type="dxa"/>
              <w:end w:w="120" w:type="dxa"/>
            </w:tcMar>
          </w:tcPr>
          <w:p>
            <w:pPr>
              <w:spacing w:after="0" w:line="252" w:lineRule="auto"/>
              <w:jc w:val="center"/>
            </w:pPr>
            <w:r>
              <w:rPr>
                <w:rFonts w:ascii="Calibri" w:hAnsi="Calibri"/>
                <w:color w:val="17324D"/>
                <w:sz w:val="18"/>
              </w:rPr>
              <w:t>Cloud Platform</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Infrastructure, least privilege, Runtime isolation, network and platform lifecycle</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Entra Enterprise MCP API and clients</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Microsoft Identity</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Registrations, assignments, token policy, Conditional Access, credential governance</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Gateway Cedar authorization policy</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Platform Policy Owner with Security/Data Owner approval</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Direct Cedar source, reviews, tests, promotion and access recertification</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SharePoint tools and Graph client</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SharePoint MCP service owner</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Tool contracts, validation, Graph behaviour, tests, safe errors and releases</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SharePoint selected permissions and content</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Microsoft 365 and site data owners</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Approved sites/paths, grants, classification, retention and recovery</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Azure DevOps image/policy CI</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DevOps / Cloud Platform</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Branch gates, builds, SBOM, scanning, signing and ECR promotion</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Terraform workspaces and applies</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Central TFE administration and Cloud Platform</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Workspace/state isolation, plan/apply workflow and approvals</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Gateway private connectivity</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Network / Cloud Platform</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Interface endpoint, private DNS, endpoint policy, routing, client security groups and connectivity evidence</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Public documentation MCP targets</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Cloud Platform with Security review</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Vendor endpoint lifecycle, target synchronization, Cedar tool exposure, data-egress controls, rate limits and kill switch</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Terraform MCP documentation Runtime</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Cloud Platform / Developer Experience</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Registry-only configuration, image lifecycle, no TFE credential, tests and operational support</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Monitoring and incidents</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Operations with Platform/Security</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Dashboards, alarms, SIEM, on-call, containment and evidence preservation</w:t>
            </w:r>
          </w:p>
        </w:tc>
      </w:tr>
      <w:tr>
        <w:trPr>
          <w:cantSplit/>
        </w:trPr>
        <w:tc>
          <w:tcPr>
            <w:tcW w:type="dxa" w:w="2500"/>
            <w:vAlign w:val="center"/>
            <w:tcMar>
              <w:top w:w="80" w:type="dxa"/>
              <w:start w:w="120" w:type="dxa"/>
              <w:bottom w:w="80" w:type="dxa"/>
              <w:end w:w="120" w:type="dxa"/>
            </w:tcMar>
          </w:tcPr>
          <w:p>
            <w:pPr>
              <w:spacing w:after="0" w:line="252" w:lineRule="auto"/>
              <w:jc w:val="left"/>
            </w:pPr>
            <w:r>
              <w:rPr>
                <w:rFonts w:ascii="Calibri" w:hAnsi="Calibri"/>
                <w:color w:val="17324D"/>
                <w:sz w:val="18"/>
              </w:rPr>
              <w:t>Client integrations</w:t>
            </w:r>
          </w:p>
        </w:tc>
        <w:tc>
          <w:tcPr>
            <w:tcW w:type="dxa" w:w="2900"/>
            <w:vAlign w:val="center"/>
            <w:tcMar>
              <w:top w:w="80" w:type="dxa"/>
              <w:start w:w="120" w:type="dxa"/>
              <w:bottom w:w="80" w:type="dxa"/>
              <w:end w:w="120" w:type="dxa"/>
            </w:tcMar>
          </w:tcPr>
          <w:p>
            <w:pPr>
              <w:spacing w:after="0" w:line="252" w:lineRule="auto"/>
              <w:jc w:val="left"/>
            </w:pPr>
            <w:r>
              <w:rPr>
                <w:rFonts w:ascii="Calibri" w:hAnsi="Calibri"/>
                <w:color w:val="17324D"/>
                <w:sz w:val="18"/>
              </w:rPr>
              <w:t>Developer Experience / application owners</w:t>
            </w:r>
          </w:p>
        </w:tc>
        <w:tc>
          <w:tcPr>
            <w:tcW w:type="dxa" w:w="3960"/>
            <w:vAlign w:val="center"/>
            <w:tcMar>
              <w:top w:w="80" w:type="dxa"/>
              <w:start w:w="120" w:type="dxa"/>
              <w:bottom w:w="80" w:type="dxa"/>
              <w:end w:w="120" w:type="dxa"/>
            </w:tcMar>
          </w:tcPr>
          <w:p>
            <w:pPr>
              <w:spacing w:after="0" w:line="252" w:lineRule="auto"/>
              <w:jc w:val="left"/>
            </w:pPr>
            <w:r>
              <w:rPr>
                <w:rFonts w:ascii="Calibri" w:hAnsi="Calibri"/>
                <w:color w:val="17324D"/>
                <w:sz w:val="18"/>
              </w:rPr>
              <w:t>Supported token flow, client configuration, user support and client-side logging controls</w:t>
            </w:r>
          </w:p>
        </w:tc>
      </w:tr>
    </w:tbl>
    <w:p>
      <w:pPr>
        <w:spacing w:after="40"/>
      </w:pPr>
    </w:p>
    <w:p>
      <w:pPr>
        <w:pStyle w:val="Heading1"/>
      </w:pPr>
      <w:r>
        <w:t>19. References</w:t>
      </w:r>
    </w:p>
    <w:p>
      <w:pPr>
        <w:pStyle w:val="Heading2"/>
      </w:pPr>
      <w:r>
        <w:t>19.1 Repository decisions and implementation</w:t>
      </w:r>
    </w:p>
    <w:p>
      <w:pPr>
        <w:spacing w:after="80" w:line="300" w:lineRule="auto"/>
        <w:numPr>
          <w:ilvl w:val="0"/>
          <w:numId w:val="48"/>
        </w:numPr>
      </w:pPr>
      <w:r>
        <w:rPr>
          <w:rFonts w:ascii="Courier New" w:hAnsi="Courier New"/>
          <w:color w:val="1F4D78"/>
          <w:sz w:val="20"/>
          <w:shd w:fill="EAF2F8"/>
        </w:rPr>
        <w:t>README.md</w:t>
      </w:r>
      <w:r>
        <w:rPr>
          <w:rFonts w:ascii="Calibri" w:hAnsi="Calibri"/>
          <w:color w:val="17324D"/>
          <w:sz w:val="22"/>
        </w:rPr>
        <w:t xml:space="preserve"> - current platform overview and implementation links.</w:t>
      </w:r>
    </w:p>
    <w:p>
      <w:pPr>
        <w:spacing w:after="80" w:line="300" w:lineRule="auto"/>
        <w:numPr>
          <w:ilvl w:val="0"/>
          <w:numId w:val="48"/>
        </w:numPr>
      </w:pPr>
      <w:r>
        <w:rPr>
          <w:rFonts w:ascii="Courier New" w:hAnsi="Courier New"/>
          <w:color w:val="1F4D78"/>
          <w:sz w:val="20"/>
          <w:shd w:fill="EAF2F8"/>
        </w:rPr>
        <w:t>END_GOAL.md</w:t>
      </w:r>
      <w:r>
        <w:rPr>
          <w:rFonts w:ascii="Calibri" w:hAnsi="Calibri"/>
          <w:color w:val="17324D"/>
          <w:sz w:val="22"/>
        </w:rPr>
        <w:t xml:space="preserve"> - target outcome and success criteria.</w:t>
      </w:r>
    </w:p>
    <w:p>
      <w:pPr>
        <w:spacing w:after="80" w:line="300" w:lineRule="auto"/>
        <w:numPr>
          <w:ilvl w:val="0"/>
          <w:numId w:val="48"/>
        </w:numPr>
      </w:pPr>
      <w:r>
        <w:rPr>
          <w:rFonts w:ascii="Courier New" w:hAnsi="Courier New"/>
          <w:color w:val="1F4D78"/>
          <w:sz w:val="20"/>
          <w:shd w:fill="EAF2F8"/>
        </w:rPr>
        <w:t>IN_PROGRESS.md</w:t>
      </w:r>
      <w:r>
        <w:rPr>
          <w:rFonts w:ascii="Calibri" w:hAnsi="Calibri"/>
          <w:color w:val="17324D"/>
          <w:sz w:val="22"/>
        </w:rPr>
        <w:t xml:space="preserve"> - outstanding validation and implementation work.</w:t>
      </w:r>
    </w:p>
    <w:p>
      <w:pPr>
        <w:spacing w:after="80" w:line="300" w:lineRule="auto"/>
        <w:numPr>
          <w:ilvl w:val="0"/>
          <w:numId w:val="48"/>
        </w:numPr>
      </w:pPr>
      <w:r>
        <w:rPr>
          <w:rFonts w:ascii="Courier New" w:hAnsi="Courier New"/>
          <w:color w:val="1F4D78"/>
          <w:sz w:val="20"/>
          <w:shd w:fill="EAF2F8"/>
        </w:rPr>
        <w:t>docs/adr/0001-agentcore-runtime-mcp-platform.md</w:t>
      </w:r>
      <w:r>
        <w:rPr>
          <w:rFonts w:ascii="Calibri" w:hAnsi="Calibri"/>
          <w:color w:val="17324D"/>
          <w:sz w:val="22"/>
        </w:rPr>
        <w:t xml:space="preserve"> - shared Gateway and separate Runtime-hosted MCP servers.</w:t>
      </w:r>
    </w:p>
    <w:p>
      <w:pPr>
        <w:spacing w:after="80" w:line="300" w:lineRule="auto"/>
        <w:numPr>
          <w:ilvl w:val="0"/>
          <w:numId w:val="48"/>
        </w:numPr>
      </w:pPr>
      <w:r>
        <w:rPr>
          <w:rFonts w:ascii="Courier New" w:hAnsi="Courier New"/>
          <w:color w:val="1F4D78"/>
          <w:sz w:val="20"/>
          <w:shd w:fill="EAF2F8"/>
        </w:rPr>
        <w:t>docs/adr/0003-azure-devops-cloud-owned-platform-repo.md</w:t>
      </w:r>
      <w:r>
        <w:rPr>
          <w:rFonts w:ascii="Calibri" w:hAnsi="Calibri"/>
          <w:color w:val="17324D"/>
          <w:sz w:val="22"/>
        </w:rPr>
        <w:t xml:space="preserve"> - repository and pipeline ownership.</w:t>
      </w:r>
    </w:p>
    <w:p>
      <w:pPr>
        <w:spacing w:after="80" w:line="300" w:lineRule="auto"/>
        <w:numPr>
          <w:ilvl w:val="0"/>
          <w:numId w:val="48"/>
        </w:numPr>
      </w:pPr>
      <w:r>
        <w:rPr>
          <w:rFonts w:ascii="Courier New" w:hAnsi="Courier New"/>
          <w:color w:val="1F4D78"/>
          <w:sz w:val="20"/>
          <w:shd w:fill="EAF2F8"/>
        </w:rPr>
        <w:t>docs/adr/0006-direct-cedar-and-dual-sharepoint-identity-lanes.md</w:t>
      </w:r>
      <w:r>
        <w:rPr>
          <w:rFonts w:ascii="Calibri" w:hAnsi="Calibri"/>
          <w:color w:val="17324D"/>
          <w:sz w:val="22"/>
        </w:rPr>
        <w:t xml:space="preserve"> - direct Cedar and the two SharePoint execution lanes.</w:t>
      </w:r>
    </w:p>
    <w:p>
      <w:pPr>
        <w:spacing w:after="80" w:line="300" w:lineRule="auto"/>
        <w:numPr>
          <w:ilvl w:val="0"/>
          <w:numId w:val="48"/>
        </w:numPr>
      </w:pPr>
      <w:r>
        <w:rPr>
          <w:rFonts w:ascii="Courier New" w:hAnsi="Courier New"/>
          <w:color w:val="1F4D78"/>
          <w:sz w:val="20"/>
          <w:shd w:fill="EAF2F8"/>
        </w:rPr>
        <w:t>docs/adr/0007-identity-lanes-by-downstream-credential-mode.md</w:t>
      </w:r>
      <w:r>
        <w:rPr>
          <w:rFonts w:ascii="Calibri" w:hAnsi="Calibri"/>
          <w:color w:val="17324D"/>
          <w:sz w:val="22"/>
        </w:rPr>
        <w:t xml:space="preserve"> - the reusable Runtime-lane rule for SharePoint, CRM and future services.</w:t>
      </w:r>
    </w:p>
    <w:p>
      <w:pPr>
        <w:spacing w:after="80" w:line="300" w:lineRule="auto"/>
        <w:numPr>
          <w:ilvl w:val="0"/>
          <w:numId w:val="48"/>
        </w:numPr>
      </w:pPr>
      <w:r>
        <w:rPr>
          <w:rFonts w:ascii="Courier New" w:hAnsi="Courier New"/>
          <w:color w:val="1F4D78"/>
          <w:sz w:val="20"/>
          <w:shd w:fill="EAF2F8"/>
        </w:rPr>
        <w:t>docs/adr/0008-external-account-network-prerequisites-and-australian-regions.md</w:t>
      </w:r>
      <w:r>
        <w:rPr>
          <w:rFonts w:ascii="Calibri" w:hAnsi="Calibri"/>
          <w:color w:val="17324D"/>
          <w:sz w:val="22"/>
        </w:rPr>
        <w:t xml:space="preserve"> - external platform inputs, PrivateLink ownership and regional availability gating.</w:t>
      </w:r>
    </w:p>
    <w:p>
      <w:pPr>
        <w:spacing w:after="80" w:line="300" w:lineRule="auto"/>
        <w:numPr>
          <w:ilvl w:val="0"/>
          <w:numId w:val="48"/>
        </w:numPr>
      </w:pPr>
      <w:r>
        <w:rPr>
          <w:rFonts w:ascii="Courier New" w:hAnsi="Courier New"/>
          <w:color w:val="1F4D78"/>
          <w:sz w:val="20"/>
          <w:shd w:fill="EAF2F8"/>
        </w:rPr>
        <w:t>docs/adr/0009-vendor-native-and-documentation-mcp-targets.md</w:t>
      </w:r>
      <w:r>
        <w:rPr>
          <w:rFonts w:ascii="Calibri" w:hAnsi="Calibri"/>
          <w:color w:val="17324D"/>
          <w:sz w:val="22"/>
        </w:rPr>
        <w:t xml:space="preserve"> - direct vendor-operated documentation targets and the Registry-only Terraform MCP Runtime.</w:t>
      </w:r>
    </w:p>
    <w:p>
      <w:pPr>
        <w:spacing w:after="80" w:line="300" w:lineRule="auto"/>
        <w:numPr>
          <w:ilvl w:val="0"/>
          <w:numId w:val="48"/>
        </w:numPr>
      </w:pPr>
      <w:r>
        <w:rPr>
          <w:rFonts w:ascii="Courier New" w:hAnsi="Courier New"/>
          <w:color w:val="1F4D78"/>
          <w:sz w:val="20"/>
          <w:shd w:fill="EAF2F8"/>
        </w:rPr>
        <w:t>docs/adr/0010-simple-sharepoint-upload-and-credential-lane-names.md</w:t>
      </w:r>
      <w:r>
        <w:rPr>
          <w:rFonts w:ascii="Calibri" w:hAnsi="Calibri"/>
          <w:color w:val="17324D"/>
          <w:sz w:val="22"/>
        </w:rPr>
        <w:t xml:space="preserve"> -</w:t>
      </w:r>
    </w:p>
    <w:p>
      <w:r>
        <w:rPr>
          <w:rFonts w:ascii="Calibri" w:hAnsi="Calibri"/>
          <w:color w:val="17324D"/>
          <w:sz w:val="22"/>
        </w:rPr>
        <w:t>single SharePoint upload, fail-fast inputs, AWS tool naming and credential lane names.</w:t>
      </w:r>
    </w:p>
    <w:p>
      <w:pPr>
        <w:spacing w:after="80" w:line="300" w:lineRule="auto"/>
        <w:numPr>
          <w:ilvl w:val="0"/>
          <w:numId w:val="49"/>
        </w:numPr>
      </w:pPr>
      <w:r>
        <w:rPr>
          <w:rFonts w:ascii="Courier New" w:hAnsi="Courier New"/>
          <w:color w:val="1F4D78"/>
          <w:sz w:val="20"/>
          <w:shd w:fill="EAF2F8"/>
        </w:rPr>
        <w:t>docs/adr/0004-claude-code-entra-jwt-mcp-boundary.md</w:t>
      </w:r>
      <w:r>
        <w:rPr>
          <w:rFonts w:ascii="Calibri" w:hAnsi="Calibri"/>
          <w:color w:val="17324D"/>
          <w:sz w:val="22"/>
        </w:rPr>
        <w:t xml:space="preserve"> - Entra caller token and AWS IAM separation.</w:t>
      </w:r>
    </w:p>
    <w:p>
      <w:pPr>
        <w:spacing w:after="80" w:line="300" w:lineRule="auto"/>
        <w:numPr>
          <w:ilvl w:val="0"/>
          <w:numId w:val="49"/>
        </w:numPr>
      </w:pPr>
      <w:r>
        <w:rPr>
          <w:rFonts w:ascii="Courier New" w:hAnsi="Courier New"/>
          <w:color w:val="1F4D78"/>
          <w:sz w:val="20"/>
          <w:shd w:fill="EAF2F8"/>
        </w:rPr>
        <w:t>docs/adr/0005-path-scoped-policy-pr-validation.md</w:t>
      </w:r>
      <w:r>
        <w:rPr>
          <w:rFonts w:ascii="Calibri" w:hAnsi="Calibri"/>
          <w:color w:val="17324D"/>
          <w:sz w:val="22"/>
        </w:rPr>
        <w:t xml:space="preserve"> - required policy PR validation.</w:t>
      </w:r>
    </w:p>
    <w:p>
      <w:pPr>
        <w:spacing w:after="80" w:line="300" w:lineRule="auto"/>
        <w:numPr>
          <w:ilvl w:val="0"/>
          <w:numId w:val="49"/>
        </w:numPr>
      </w:pPr>
      <w:r>
        <w:rPr>
          <w:rFonts w:ascii="Courier New" w:hAnsi="Courier New"/>
          <w:color w:val="1F4D78"/>
          <w:sz w:val="20"/>
          <w:shd w:fill="EAF2F8"/>
        </w:rPr>
        <w:t>examples/enterprise_mcp_platform</w:t>
      </w:r>
      <w:r>
        <w:rPr>
          <w:rFonts w:ascii="Calibri" w:hAnsi="Calibri"/>
          <w:color w:val="17324D"/>
          <w:sz w:val="22"/>
        </w:rPr>
        <w:t xml:space="preserve"> - current example code, policy and Terraform.</w:t>
      </w:r>
    </w:p>
    <w:p>
      <w:pPr>
        <w:pStyle w:val="Heading2"/>
      </w:pPr>
      <w:r>
        <w:t>19.2 Authoritative external sources</w:t>
      </w:r>
    </w:p>
    <w:p>
      <w:pPr>
        <w:spacing w:after="80" w:line="300" w:lineRule="auto"/>
        <w:numPr>
          <w:ilvl w:val="0"/>
          <w:numId w:val="50"/>
        </w:numPr>
      </w:pPr>
      <w:r>
        <w:rPr>
          <w:rFonts w:ascii="Calibri" w:hAnsi="Calibri"/>
          <w:color w:val="17324D"/>
          <w:sz w:val="22"/>
        </w:rPr>
        <w:t xml:space="preserve">AWS, “Deploy MCP servers in AgentCore Runtime”: </w:t>
      </w:r>
      <w:hyperlink r:id="rId15">
        <w:r>
          <w:rPr>
            <w:rFonts w:ascii="Calibri" w:hAnsi="Calibri"/>
            <w:color w:val="2E74B5"/>
            <w:u w:val="single"/>
          </w:rPr>
          <w:t>https://docs.aws.amazon.com/bedrock-agentcore/latest/devguide/runtime-mcp.html</w:t>
        </w:r>
      </w:hyperlink>
    </w:p>
    <w:p>
      <w:pPr>
        <w:spacing w:after="80" w:line="300" w:lineRule="auto"/>
        <w:numPr>
          <w:ilvl w:val="0"/>
          <w:numId w:val="50"/>
        </w:numPr>
      </w:pPr>
      <w:r>
        <w:rPr>
          <w:rFonts w:ascii="Calibri" w:hAnsi="Calibri"/>
          <w:color w:val="17324D"/>
          <w:sz w:val="22"/>
        </w:rPr>
        <w:t xml:space="preserve">AWS, “MCP server targets”: </w:t>
      </w:r>
      <w:hyperlink r:id="rId16">
        <w:r>
          <w:rPr>
            <w:rFonts w:ascii="Calibri" w:hAnsi="Calibri"/>
            <w:color w:val="2E74B5"/>
            <w:u w:val="single"/>
          </w:rPr>
          <w:t>https://docs.aws.amazon.com/bedrock-agentcore/latest/devguide/gateway-target-MCPservers.html</w:t>
        </w:r>
      </w:hyperlink>
    </w:p>
    <w:p>
      <w:pPr>
        <w:spacing w:after="80" w:line="300" w:lineRule="auto"/>
        <w:numPr>
          <w:ilvl w:val="0"/>
          <w:numId w:val="50"/>
        </w:numPr>
      </w:pPr>
      <w:r>
        <w:rPr>
          <w:rFonts w:ascii="Calibri" w:hAnsi="Calibri"/>
          <w:color w:val="17324D"/>
          <w:sz w:val="22"/>
        </w:rPr>
        <w:t xml:space="preserve">AWS, “AWS Knowledge MCP Server”: </w:t>
      </w:r>
      <w:hyperlink r:id="rId17">
        <w:r>
          <w:rPr>
            <w:rFonts w:ascii="Calibri" w:hAnsi="Calibri"/>
            <w:color w:val="2E74B5"/>
            <w:u w:val="single"/>
          </w:rPr>
          <w:t>https://awslabs.github.io/mcp/servers/aws-knowledge-mcp-server</w:t>
        </w:r>
      </w:hyperlink>
    </w:p>
    <w:p>
      <w:pPr>
        <w:spacing w:after="80" w:line="300" w:lineRule="auto"/>
        <w:numPr>
          <w:ilvl w:val="0"/>
          <w:numId w:val="50"/>
        </w:numPr>
      </w:pPr>
      <w:r>
        <w:rPr>
          <w:rFonts w:ascii="Calibri" w:hAnsi="Calibri"/>
          <w:color w:val="17324D"/>
          <w:sz w:val="22"/>
        </w:rPr>
        <w:t xml:space="preserve">AWS, “Configure inbound JWT authorizer”: </w:t>
      </w:r>
      <w:hyperlink r:id="rId18">
        <w:r>
          <w:rPr>
            <w:rFonts w:ascii="Calibri" w:hAnsi="Calibri"/>
            <w:color w:val="2E74B5"/>
            <w:u w:val="single"/>
          </w:rPr>
          <w:t>https://docs.aws.amazon.com/bedrock-agentcore/latest/devguide/inbound-jwt-authorizer.html</w:t>
        </w:r>
      </w:hyperlink>
    </w:p>
    <w:p>
      <w:pPr>
        <w:spacing w:after="80" w:line="300" w:lineRule="auto"/>
        <w:numPr>
          <w:ilvl w:val="0"/>
          <w:numId w:val="50"/>
        </w:numPr>
      </w:pPr>
      <w:r>
        <w:rPr>
          <w:rFonts w:ascii="Calibri" w:hAnsi="Calibri"/>
          <w:color w:val="17324D"/>
          <w:sz w:val="22"/>
        </w:rPr>
        <w:t xml:space="preserve">AWS, “Policy in Amazon Bedrock AgentCore”: </w:t>
      </w:r>
      <w:hyperlink r:id="rId19">
        <w:r>
          <w:rPr>
            <w:rFonts w:ascii="Calibri" w:hAnsi="Calibri"/>
            <w:color w:val="2E74B5"/>
            <w:u w:val="single"/>
          </w:rPr>
          <w:t>https://docs.aws.amazon.com/bedrock-agentcore/latest/devguide/policy.html</w:t>
        </w:r>
      </w:hyperlink>
    </w:p>
    <w:p>
      <w:pPr>
        <w:spacing w:after="80" w:line="300" w:lineRule="auto"/>
        <w:numPr>
          <w:ilvl w:val="0"/>
          <w:numId w:val="50"/>
        </w:numPr>
      </w:pPr>
      <w:r>
        <w:rPr>
          <w:rFonts w:ascii="Calibri" w:hAnsi="Calibri"/>
          <w:color w:val="17324D"/>
          <w:sz w:val="22"/>
        </w:rPr>
        <w:t xml:space="preserve">AWS, “Understand how AgentCore Gateway tools are named”: </w:t>
      </w:r>
      <w:hyperlink r:id="rId20">
        <w:r>
          <w:rPr>
            <w:rFonts w:ascii="Calibri" w:hAnsi="Calibri"/>
            <w:color w:val="2E74B5"/>
            <w:u w:val="single"/>
          </w:rPr>
          <w:t>https://docs.aws.amazon.com/bedrock-agentcore/latest/devguide/gateway-tool-naming.html</w:t>
        </w:r>
      </w:hyperlink>
    </w:p>
    <w:p>
      <w:pPr>
        <w:spacing w:after="80" w:line="300" w:lineRule="auto"/>
        <w:numPr>
          <w:ilvl w:val="0"/>
          <w:numId w:val="50"/>
        </w:numPr>
      </w:pPr>
      <w:r>
        <w:rPr>
          <w:rFonts w:ascii="Calibri" w:hAnsi="Calibri"/>
          <w:color w:val="17324D"/>
          <w:sz w:val="22"/>
        </w:rPr>
        <w:t xml:space="preserve">AWS, “Policy scope”: </w:t>
      </w:r>
      <w:hyperlink r:id="rId21">
        <w:r>
          <w:rPr>
            <w:rFonts w:ascii="Calibri" w:hAnsi="Calibri"/>
            <w:color w:val="2E74B5"/>
            <w:u w:val="single"/>
          </w:rPr>
          <w:t>https://docs.aws.amazon.com/bedrock-agentcore/latest/devguide/policy-scope.html</w:t>
        </w:r>
      </w:hyperlink>
    </w:p>
    <w:p>
      <w:pPr>
        <w:spacing w:after="80" w:line="300" w:lineRule="auto"/>
        <w:numPr>
          <w:ilvl w:val="0"/>
          <w:numId w:val="50"/>
        </w:numPr>
      </w:pPr>
      <w:r>
        <w:rPr>
          <w:rFonts w:ascii="Calibri" w:hAnsi="Calibri"/>
          <w:color w:val="17324D"/>
          <w:sz w:val="22"/>
        </w:rPr>
        <w:t xml:space="preserve">AWS, “Resource-based policies for AgentCore”: </w:t>
      </w:r>
      <w:hyperlink r:id="rId22">
        <w:r>
          <w:rPr>
            <w:rFonts w:ascii="Calibri" w:hAnsi="Calibri"/>
            <w:color w:val="2E74B5"/>
            <w:u w:val="single"/>
          </w:rPr>
          <w:t>https://docs.aws.amazon.com/bedrock-agentcore/latest/devguide/resource-based-policies.html</w:t>
        </w:r>
      </w:hyperlink>
    </w:p>
    <w:p>
      <w:pPr>
        <w:spacing w:after="80" w:line="300" w:lineRule="auto"/>
        <w:numPr>
          <w:ilvl w:val="0"/>
          <w:numId w:val="50"/>
        </w:numPr>
      </w:pPr>
      <w:r>
        <w:rPr>
          <w:rFonts w:ascii="Calibri" w:hAnsi="Calibri"/>
          <w:color w:val="17324D"/>
          <w:sz w:val="22"/>
        </w:rPr>
        <w:t xml:space="preserve">AWS, “AgentCore interface VPC endpoints”: </w:t>
      </w:r>
      <w:hyperlink r:id="rId23">
        <w:r>
          <w:rPr>
            <w:rFonts w:ascii="Calibri" w:hAnsi="Calibri"/>
            <w:color w:val="2E74B5"/>
            <w:u w:val="single"/>
          </w:rPr>
          <w:t>https://docs.aws.amazon.com/bedrock-agentcore/latest/devguide/vpc-interface-endpoints.html</w:t>
        </w:r>
      </w:hyperlink>
    </w:p>
    <w:p>
      <w:pPr>
        <w:spacing w:after="80" w:line="300" w:lineRule="auto"/>
        <w:numPr>
          <w:ilvl w:val="0"/>
          <w:numId w:val="50"/>
        </w:numPr>
      </w:pPr>
      <w:r>
        <w:rPr>
          <w:rFonts w:ascii="Calibri" w:hAnsi="Calibri"/>
          <w:color w:val="17324D"/>
          <w:sz w:val="22"/>
        </w:rPr>
        <w:t xml:space="preserve">AWS, “Header propagation with Gateway”: </w:t>
      </w:r>
      <w:hyperlink r:id="rId24">
        <w:r>
          <w:rPr>
            <w:rFonts w:ascii="Calibri" w:hAnsi="Calibri"/>
            <w:color w:val="2E74B5"/>
            <w:u w:val="single"/>
          </w:rPr>
          <w:t>https://docs.aws.amazon.com/bedrock-agentcore/latest/devguide/gateway-headers.html</w:t>
        </w:r>
      </w:hyperlink>
    </w:p>
    <w:p>
      <w:pPr>
        <w:spacing w:after="80" w:line="300" w:lineRule="auto"/>
        <w:numPr>
          <w:ilvl w:val="0"/>
          <w:numId w:val="50"/>
        </w:numPr>
      </w:pPr>
      <w:r>
        <w:rPr>
          <w:rFonts w:ascii="Calibri" w:hAnsi="Calibri"/>
          <w:color w:val="17324D"/>
          <w:sz w:val="22"/>
        </w:rPr>
        <w:t xml:space="preserve">AWS, “AgentCore Identity credential providers”: </w:t>
      </w:r>
      <w:hyperlink r:id="rId25">
        <w:r>
          <w:rPr>
            <w:rFonts w:ascii="Calibri" w:hAnsi="Calibri"/>
            <w:color w:val="2E74B5"/>
            <w:u w:val="single"/>
          </w:rPr>
          <w:t>https://docs.aws.amazon.com/bedrock-agentcore/latest/devguide/identity-outbound-credential-provider.html</w:t>
        </w:r>
      </w:hyperlink>
    </w:p>
    <w:p>
      <w:pPr>
        <w:spacing w:after="80" w:line="300" w:lineRule="auto"/>
        <w:numPr>
          <w:ilvl w:val="0"/>
          <w:numId w:val="50"/>
        </w:numPr>
      </w:pPr>
      <w:r>
        <w:rPr>
          <w:rFonts w:ascii="Calibri" w:hAnsi="Calibri"/>
          <w:color w:val="17324D"/>
          <w:sz w:val="22"/>
        </w:rPr>
        <w:t xml:space="preserve">AWS, “Add observability to AgentCore resources”: </w:t>
      </w:r>
      <w:hyperlink r:id="rId26">
        <w:r>
          <w:rPr>
            <w:rFonts w:ascii="Calibri" w:hAnsi="Calibri"/>
            <w:color w:val="2E74B5"/>
            <w:u w:val="single"/>
          </w:rPr>
          <w:t>https://docs.aws.amazon.com/bedrock-agentcore/latest/devguide/observability-configure.html</w:t>
        </w:r>
      </w:hyperlink>
    </w:p>
    <w:p>
      <w:pPr>
        <w:spacing w:after="80" w:line="300" w:lineRule="auto"/>
        <w:numPr>
          <w:ilvl w:val="0"/>
          <w:numId w:val="50"/>
        </w:numPr>
      </w:pPr>
      <w:r>
        <w:rPr>
          <w:rFonts w:ascii="Calibri" w:hAnsi="Calibri"/>
          <w:color w:val="17324D"/>
          <w:sz w:val="22"/>
        </w:rPr>
        <w:t xml:space="preserve">AWS, “AgentCore supported regions”: </w:t>
      </w:r>
      <w:hyperlink r:id="rId27">
        <w:r>
          <w:rPr>
            <w:rFonts w:ascii="Calibri" w:hAnsi="Calibri"/>
            <w:color w:val="2E74B5"/>
            <w:u w:val="single"/>
          </w:rPr>
          <w:t>https://docs.aws.amazon.com/bedrock-agentcore/latest/devguide/agentcore-regions.html</w:t>
        </w:r>
      </w:hyperlink>
    </w:p>
    <w:p>
      <w:pPr>
        <w:spacing w:after="80" w:line="300" w:lineRule="auto"/>
        <w:numPr>
          <w:ilvl w:val="0"/>
          <w:numId w:val="50"/>
        </w:numPr>
      </w:pPr>
      <w:r>
        <w:rPr>
          <w:rFonts w:ascii="Calibri" w:hAnsi="Calibri"/>
          <w:color w:val="17324D"/>
          <w:sz w:val="22"/>
        </w:rPr>
        <w:t xml:space="preserve">AWS, “AgentCore service endpoints”: </w:t>
      </w:r>
      <w:hyperlink r:id="rId28">
        <w:r>
          <w:rPr>
            <w:rFonts w:ascii="Calibri" w:hAnsi="Calibri"/>
            <w:color w:val="2E74B5"/>
            <w:u w:val="single"/>
          </w:rPr>
          <w:t>https://docs.aws.amazon.com/general/latest/gr/bedrock_agentcore.html</w:t>
        </w:r>
      </w:hyperlink>
    </w:p>
    <w:p>
      <w:pPr>
        <w:spacing w:after="80" w:line="300" w:lineRule="auto"/>
        <w:numPr>
          <w:ilvl w:val="0"/>
          <w:numId w:val="50"/>
        </w:numPr>
      </w:pPr>
      <w:r>
        <w:rPr>
          <w:rFonts w:ascii="Calibri" w:hAnsi="Calibri"/>
          <w:color w:val="17324D"/>
          <w:sz w:val="22"/>
        </w:rPr>
        <w:t xml:space="preserve">AWS, “AgentCore VPC supported Availability Zones”: </w:t>
      </w:r>
      <w:hyperlink r:id="rId29">
        <w:r>
          <w:rPr>
            <w:rFonts w:ascii="Calibri" w:hAnsi="Calibri"/>
            <w:color w:val="2E74B5"/>
            <w:u w:val="single"/>
          </w:rPr>
          <w:t>https://docs.aws.amazon.com/bedrock-agentcore/latest/devguide/agentcore-vpc.html</w:t>
        </w:r>
      </w:hyperlink>
    </w:p>
    <w:p>
      <w:pPr>
        <w:spacing w:after="80" w:line="300" w:lineRule="auto"/>
        <w:numPr>
          <w:ilvl w:val="0"/>
          <w:numId w:val="50"/>
        </w:numPr>
      </w:pPr>
      <w:r>
        <w:rPr>
          <w:rFonts w:ascii="Calibri" w:hAnsi="Calibri"/>
          <w:color w:val="17324D"/>
          <w:sz w:val="22"/>
        </w:rPr>
        <w:t xml:space="preserve">Microsoft, “Microsoft Graph permissions reference”: </w:t>
      </w:r>
      <w:hyperlink r:id="rId30">
        <w:r>
          <w:rPr>
            <w:rFonts w:ascii="Calibri" w:hAnsi="Calibri"/>
            <w:color w:val="2E74B5"/>
            <w:u w:val="single"/>
          </w:rPr>
          <w:t>https://learn.microsoft.com/en-us/graph/permissions-reference</w:t>
        </w:r>
      </w:hyperlink>
    </w:p>
    <w:p>
      <w:pPr>
        <w:spacing w:after="80" w:line="300" w:lineRule="auto"/>
        <w:numPr>
          <w:ilvl w:val="0"/>
          <w:numId w:val="50"/>
        </w:numPr>
      </w:pPr>
      <w:r>
        <w:rPr>
          <w:rFonts w:ascii="Calibri" w:hAnsi="Calibri"/>
          <w:color w:val="17324D"/>
          <w:sz w:val="22"/>
        </w:rPr>
        <w:t xml:space="preserve">Microsoft, “Overview of Microsoft Graph permissions”: </w:t>
      </w:r>
      <w:hyperlink r:id="rId31">
        <w:r>
          <w:rPr>
            <w:rFonts w:ascii="Calibri" w:hAnsi="Calibri"/>
            <w:color w:val="2E74B5"/>
            <w:u w:val="single"/>
          </w:rPr>
          <w:t>https://learn.microsoft.com/en-us/graph/permissions-overview</w:t>
        </w:r>
      </w:hyperlink>
    </w:p>
    <w:p>
      <w:pPr>
        <w:spacing w:after="80" w:line="300" w:lineRule="auto"/>
        <w:numPr>
          <w:ilvl w:val="0"/>
          <w:numId w:val="50"/>
        </w:numPr>
      </w:pPr>
      <w:r>
        <w:rPr>
          <w:rFonts w:ascii="Calibri" w:hAnsi="Calibri"/>
          <w:color w:val="17324D"/>
          <w:sz w:val="22"/>
        </w:rPr>
        <w:t xml:space="preserve">Microsoft, “Get started with Learn MCP Server”: </w:t>
      </w:r>
      <w:hyperlink r:id="rId32">
        <w:r>
          <w:rPr>
            <w:rFonts w:ascii="Calibri" w:hAnsi="Calibri"/>
            <w:color w:val="2E74B5"/>
            <w:u w:val="single"/>
          </w:rPr>
          <w:t>https://learn.microsoft.com/en-us/training/support/mcp-get-started-foundry</w:t>
        </w:r>
      </w:hyperlink>
    </w:p>
    <w:p>
      <w:pPr>
        <w:spacing w:after="80" w:line="300" w:lineRule="auto"/>
        <w:numPr>
          <w:ilvl w:val="0"/>
          <w:numId w:val="50"/>
        </w:numPr>
      </w:pPr>
      <w:r>
        <w:rPr>
          <w:rFonts w:ascii="Calibri" w:hAnsi="Calibri"/>
          <w:color w:val="17324D"/>
          <w:sz w:val="22"/>
        </w:rPr>
        <w:t xml:space="preserve">Microsoft, “OAuth 2.0 on-behalf-of flow”: </w:t>
      </w:r>
      <w:hyperlink r:id="rId33">
        <w:r>
          <w:rPr>
            <w:rFonts w:ascii="Calibri" w:hAnsi="Calibri"/>
            <w:color w:val="2E74B5"/>
            <w:u w:val="single"/>
          </w:rPr>
          <w:t>https://learn.microsoft.com/en-us/entra/identity-platform/v2-oauth2-on-behalf-of-flow</w:t>
        </w:r>
      </w:hyperlink>
    </w:p>
    <w:p>
      <w:pPr>
        <w:spacing w:after="80" w:line="300" w:lineRule="auto"/>
        <w:numPr>
          <w:ilvl w:val="0"/>
          <w:numId w:val="50"/>
        </w:numPr>
      </w:pPr>
      <w:r>
        <w:rPr>
          <w:rFonts w:ascii="Calibri" w:hAnsi="Calibri"/>
          <w:color w:val="17324D"/>
          <w:sz w:val="22"/>
        </w:rPr>
        <w:t xml:space="preserve">Microsoft, “Avoid getting throttled or blocked in SharePoint Online”: </w:t>
      </w:r>
      <w:hyperlink r:id="rId34">
        <w:r>
          <w:rPr>
            <w:rFonts w:ascii="Calibri" w:hAnsi="Calibri"/>
            <w:color w:val="2E74B5"/>
            <w:u w:val="single"/>
          </w:rPr>
          <w:t>https://learn.microsoft.com/en-us/sharepoint/dev/general-development/how-to-avoid-getting-throttled-or-blocked-in-sharepoint-online</w:t>
        </w:r>
      </w:hyperlink>
    </w:p>
    <w:p>
      <w:pPr>
        <w:spacing w:after="80" w:line="300" w:lineRule="auto"/>
        <w:numPr>
          <w:ilvl w:val="0"/>
          <w:numId w:val="50"/>
        </w:numPr>
      </w:pPr>
      <w:r>
        <w:rPr>
          <w:rFonts w:ascii="Calibri" w:hAnsi="Calibri"/>
          <w:color w:val="17324D"/>
          <w:sz w:val="22"/>
        </w:rPr>
        <w:t xml:space="preserve">HashiCorp, “Terraform MCP server reference”: </w:t>
      </w:r>
      <w:hyperlink r:id="rId35">
        <w:r>
          <w:rPr>
            <w:rFonts w:ascii="Calibri" w:hAnsi="Calibri"/>
            <w:color w:val="2E74B5"/>
            <w:u w:val="single"/>
          </w:rPr>
          <w:t>https://developer.hashicorp.com/terraform/mcp-server/reference</w:t>
        </w:r>
      </w:hyperlink>
    </w:p>
    <w:p>
      <w:r>
        <w:rPr>
          <w:rFonts w:ascii="Calibri" w:hAnsi="Calibri"/>
          <w:color w:val="17324D"/>
          <w:sz w:val="22"/>
        </w:rPr>
        <w:t>External service capabilities must be rechecked in the selected AWS region and enterprise Microsoft tenant during implementation. This document reflects official documentation reviewed on 31 July 2026.</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6579"/>
        <w:sz w:val="17"/>
      </w:rPr>
      <w:t xml:space="preserve">Developer Architecture Guide  |  </w:t>
    </w:r>
    <w:r>
      <w:fldChar w:fldCharType="begin"/>
      <w:instrText xml:space="preserve">PAGE</w:instrText>
      <w:fldChar w:fldCharType="separate"/>
      <w:fldChar w:fldCharType="end"/>
    </w:r>
    <w:r>
      <w:rPr>
        <w:rFonts w:ascii="Calibri" w:hAnsi="Calibri"/>
        <w:color w:val="526579"/>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Bdr>
        <w:bottom w:val="single" w:sz="4" w:space="5" w:color="C7D0D9"/>
      </w:pBdr>
    </w:pPr>
    <w:r>
      <w:rPr>
        <w:rFonts w:ascii="Calibri" w:hAnsi="Calibri"/>
        <w:b/>
        <w:color w:val="526579"/>
        <w:sz w:val="17"/>
      </w:rPr>
      <w:t>ENTERPRISE MCP PLATFORM</w:t>
    </w:r>
    <w:r>
      <w:rPr>
        <w:rFonts w:ascii="Calibri" w:hAnsi="Calibri"/>
        <w:b/>
        <w:color w:val="526579"/>
        <w:sz w:val="17"/>
      </w:rPr>
      <w:tab/>
      <w:t>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10">
    <w:multiLevelType w:val="singleLevel"/>
    <w:lvl w:ilvl="0">
      <w:start w:val="1"/>
      <w:numFmt w:val="bullet"/>
      <w:lvlText w:val="•"/>
      <w:lvlJc w:val="left"/>
      <w:pPr>
        <w:tabs>
          <w:tab w:val="num" w:pos="540"/>
        </w:tabs>
        <w:ind w:left="540" w:hanging="270"/>
      </w:pPr>
      <w:rPr>
        <w:rFonts w:ascii="Calibri" w:hAnsi="Calibri"/>
        <w:sz w:val="22"/>
      </w:rPr>
    </w:lvl>
  </w:abstractNum>
  <w:abstractNum w:abstractNumId="11">
    <w:multiLevelType w:val="singleLevel"/>
    <w:lvl w:ilvl="0">
      <w:start w:val="1"/>
      <w:numFmt w:val="bullet"/>
      <w:lvlText w:val="•"/>
      <w:lvlJc w:val="left"/>
      <w:pPr>
        <w:tabs>
          <w:tab w:val="num" w:pos="540"/>
        </w:tabs>
        <w:ind w:left="540" w:hanging="270"/>
      </w:pPr>
      <w:rPr>
        <w:rFonts w:ascii="Calibri" w:hAnsi="Calibri"/>
        <w:sz w:val="22"/>
      </w:rPr>
    </w:lvl>
  </w:abstractNum>
  <w:abstractNum w:abstractNumId="12">
    <w:multiLevelType w:val="singleLevel"/>
    <w:lvl w:ilvl="0">
      <w:start w:val="1"/>
      <w:numFmt w:val="bullet"/>
      <w:lvlText w:val="•"/>
      <w:lvlJc w:val="left"/>
      <w:pPr>
        <w:tabs>
          <w:tab w:val="num" w:pos="540"/>
        </w:tabs>
        <w:ind w:left="540" w:hanging="270"/>
      </w:pPr>
      <w:rPr>
        <w:rFonts w:ascii="Calibri" w:hAnsi="Calibri"/>
        <w:sz w:val="22"/>
      </w:rPr>
    </w:lvl>
  </w:abstractNum>
  <w:abstractNum w:abstractNumId="13">
    <w:multiLevelType w:val="singleLevel"/>
    <w:lvl w:ilvl="0">
      <w:start w:val="1"/>
      <w:numFmt w:val="bullet"/>
      <w:lvlText w:val="•"/>
      <w:lvlJc w:val="left"/>
      <w:pPr>
        <w:tabs>
          <w:tab w:val="num" w:pos="540"/>
        </w:tabs>
        <w:ind w:left="540" w:hanging="270"/>
      </w:pPr>
      <w:rPr>
        <w:rFonts w:ascii="Calibri" w:hAnsi="Calibri"/>
        <w:sz w:val="22"/>
      </w:rPr>
    </w:lvl>
  </w:abstractNum>
  <w:abstractNum w:abstractNumId="14">
    <w:multiLevelType w:val="singleLevel"/>
    <w:lvl w:ilvl="0">
      <w:start w:val="1"/>
      <w:numFmt w:val="bullet"/>
      <w:lvlText w:val="•"/>
      <w:lvlJc w:val="left"/>
      <w:pPr>
        <w:tabs>
          <w:tab w:val="num" w:pos="540"/>
        </w:tabs>
        <w:ind w:left="540" w:hanging="270"/>
      </w:pPr>
      <w:rPr>
        <w:rFonts w:ascii="Calibri" w:hAnsi="Calibri"/>
        <w:sz w:val="22"/>
      </w:rPr>
    </w:lvl>
  </w:abstractNum>
  <w:abstractNum w:abstractNumId="15">
    <w:multiLevelType w:val="singleLevel"/>
    <w:lvl w:ilvl="0">
      <w:start w:val="1"/>
      <w:numFmt w:val="bullet"/>
      <w:lvlText w:val="•"/>
      <w:lvlJc w:val="left"/>
      <w:pPr>
        <w:tabs>
          <w:tab w:val="num" w:pos="540"/>
        </w:tabs>
        <w:ind w:left="540" w:hanging="270"/>
      </w:pPr>
      <w:rPr>
        <w:rFonts w:ascii="Calibri" w:hAnsi="Calibri"/>
        <w:sz w:val="22"/>
      </w:rPr>
    </w:lvl>
  </w:abstractNum>
  <w:abstractNum w:abstractNumId="16">
    <w:multiLevelType w:val="singleLevel"/>
    <w:lvl w:ilvl="0">
      <w:start w:val="1"/>
      <w:numFmt w:val="bullet"/>
      <w:lvlText w:val="•"/>
      <w:lvlJc w:val="left"/>
      <w:pPr>
        <w:tabs>
          <w:tab w:val="num" w:pos="540"/>
        </w:tabs>
        <w:ind w:left="540" w:hanging="270"/>
      </w:pPr>
      <w:rPr>
        <w:rFonts w:ascii="Calibri" w:hAnsi="Calibri"/>
        <w:sz w:val="22"/>
      </w:rPr>
    </w:lvl>
  </w:abstractNum>
  <w:abstractNum w:abstractNumId="17">
    <w:multiLevelType w:val="singleLevel"/>
    <w:lvl w:ilvl="0">
      <w:start w:val="1"/>
      <w:numFmt w:val="bullet"/>
      <w:lvlText w:val="•"/>
      <w:lvlJc w:val="left"/>
      <w:pPr>
        <w:tabs>
          <w:tab w:val="num" w:pos="540"/>
        </w:tabs>
        <w:ind w:left="540" w:hanging="270"/>
      </w:pPr>
      <w:rPr>
        <w:rFonts w:ascii="Calibri" w:hAnsi="Calibri"/>
        <w:sz w:val="22"/>
      </w:rPr>
    </w:lvl>
  </w:abstractNum>
  <w:abstractNum w:abstractNumId="18">
    <w:multiLevelType w:val="singleLevel"/>
    <w:lvl w:ilvl="0">
      <w:start w:val="1"/>
      <w:numFmt w:val="bullet"/>
      <w:lvlText w:val="•"/>
      <w:lvlJc w:val="left"/>
      <w:pPr>
        <w:tabs>
          <w:tab w:val="num" w:pos="540"/>
        </w:tabs>
        <w:ind w:left="540" w:hanging="270"/>
      </w:pPr>
      <w:rPr>
        <w:rFonts w:ascii="Calibri" w:hAnsi="Calibri"/>
        <w:sz w:val="22"/>
      </w:rPr>
    </w:lvl>
  </w:abstractNum>
  <w:abstractNum w:abstractNumId="19">
    <w:multiLevelType w:val="singleLevel"/>
    <w:lvl w:ilvl="0">
      <w:start w:val="1"/>
      <w:numFmt w:val="bullet"/>
      <w:lvlText w:val="•"/>
      <w:lvlJc w:val="left"/>
      <w:pPr>
        <w:tabs>
          <w:tab w:val="num" w:pos="540"/>
        </w:tabs>
        <w:ind w:left="540" w:hanging="270"/>
      </w:pPr>
      <w:rPr>
        <w:rFonts w:ascii="Calibri" w:hAnsi="Calibri"/>
        <w:sz w:val="22"/>
      </w:rPr>
    </w:lvl>
  </w:abstractNum>
  <w:abstractNum w:abstractNumId="20">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21">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22">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23">
    <w:multiLevelType w:val="singleLevel"/>
    <w:lvl w:ilvl="0">
      <w:start w:val="1"/>
      <w:numFmt w:val="bullet"/>
      <w:lvlText w:val="•"/>
      <w:lvlJc w:val="left"/>
      <w:pPr>
        <w:tabs>
          <w:tab w:val="num" w:pos="540"/>
        </w:tabs>
        <w:ind w:left="540" w:hanging="270"/>
      </w:pPr>
      <w:rPr>
        <w:rFonts w:ascii="Calibri" w:hAnsi="Calibri"/>
        <w:sz w:val="22"/>
      </w:rPr>
    </w:lvl>
  </w:abstractNum>
  <w:abstractNum w:abstractNumId="24">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25">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26">
    <w:multiLevelType w:val="singleLevel"/>
    <w:lvl w:ilvl="0">
      <w:start w:val="1"/>
      <w:numFmt w:val="bullet"/>
      <w:lvlText w:val="•"/>
      <w:lvlJc w:val="left"/>
      <w:pPr>
        <w:tabs>
          <w:tab w:val="num" w:pos="540"/>
        </w:tabs>
        <w:ind w:left="540" w:hanging="270"/>
      </w:pPr>
      <w:rPr>
        <w:rFonts w:ascii="Calibri" w:hAnsi="Calibri"/>
        <w:sz w:val="22"/>
      </w:rPr>
    </w:lvl>
  </w:abstractNum>
  <w:abstractNum w:abstractNumId="27">
    <w:multiLevelType w:val="singleLevel"/>
    <w:lvl w:ilvl="0">
      <w:start w:val="1"/>
      <w:numFmt w:val="bullet"/>
      <w:lvlText w:val="•"/>
      <w:lvlJc w:val="left"/>
      <w:pPr>
        <w:tabs>
          <w:tab w:val="num" w:pos="540"/>
        </w:tabs>
        <w:ind w:left="540" w:hanging="270"/>
      </w:pPr>
      <w:rPr>
        <w:rFonts w:ascii="Calibri" w:hAnsi="Calibri"/>
        <w:sz w:val="22"/>
      </w:rPr>
    </w:lvl>
  </w:abstractNum>
  <w:abstractNum w:abstractNumId="28">
    <w:multiLevelType w:val="singleLevel"/>
    <w:lvl w:ilvl="0">
      <w:start w:val="1"/>
      <w:numFmt w:val="bullet"/>
      <w:lvlText w:val="•"/>
      <w:lvlJc w:val="left"/>
      <w:pPr>
        <w:tabs>
          <w:tab w:val="num" w:pos="540"/>
        </w:tabs>
        <w:ind w:left="540" w:hanging="270"/>
      </w:pPr>
      <w:rPr>
        <w:rFonts w:ascii="Calibri" w:hAnsi="Calibri"/>
        <w:sz w:val="22"/>
      </w:rPr>
    </w:lvl>
  </w:abstractNum>
  <w:abstractNum w:abstractNumId="29">
    <w:multiLevelType w:val="singleLevel"/>
    <w:lvl w:ilvl="0">
      <w:start w:val="1"/>
      <w:numFmt w:val="bullet"/>
      <w:lvlText w:val="•"/>
      <w:lvlJc w:val="left"/>
      <w:pPr>
        <w:tabs>
          <w:tab w:val="num" w:pos="540"/>
        </w:tabs>
        <w:ind w:left="540" w:hanging="270"/>
      </w:pPr>
      <w:rPr>
        <w:rFonts w:ascii="Calibri" w:hAnsi="Calibri"/>
        <w:sz w:val="22"/>
      </w:rPr>
    </w:lvl>
  </w:abstractNum>
  <w:abstractNum w:abstractNumId="30">
    <w:multiLevelType w:val="singleLevel"/>
    <w:lvl w:ilvl="0">
      <w:start w:val="1"/>
      <w:numFmt w:val="bullet"/>
      <w:lvlText w:val="•"/>
      <w:lvlJc w:val="left"/>
      <w:pPr>
        <w:tabs>
          <w:tab w:val="num" w:pos="540"/>
        </w:tabs>
        <w:ind w:left="540" w:hanging="270"/>
      </w:pPr>
      <w:rPr>
        <w:rFonts w:ascii="Calibri" w:hAnsi="Calibri"/>
        <w:sz w:val="22"/>
      </w:rPr>
    </w:lvl>
  </w:abstractNum>
  <w:abstractNum w:abstractNumId="31">
    <w:multiLevelType w:val="singleLevel"/>
    <w:lvl w:ilvl="0">
      <w:start w:val="1"/>
      <w:numFmt w:val="bullet"/>
      <w:lvlText w:val="•"/>
      <w:lvlJc w:val="left"/>
      <w:pPr>
        <w:tabs>
          <w:tab w:val="num" w:pos="540"/>
        </w:tabs>
        <w:ind w:left="540" w:hanging="270"/>
      </w:pPr>
      <w:rPr>
        <w:rFonts w:ascii="Calibri" w:hAnsi="Calibri"/>
        <w:sz w:val="22"/>
      </w:rPr>
    </w:lvl>
  </w:abstractNum>
  <w:abstractNum w:abstractNumId="32">
    <w:multiLevelType w:val="singleLevel"/>
    <w:lvl w:ilvl="0">
      <w:start w:val="1"/>
      <w:numFmt w:val="bullet"/>
      <w:lvlText w:val="•"/>
      <w:lvlJc w:val="left"/>
      <w:pPr>
        <w:tabs>
          <w:tab w:val="num" w:pos="540"/>
        </w:tabs>
        <w:ind w:left="540" w:hanging="270"/>
      </w:pPr>
      <w:rPr>
        <w:rFonts w:ascii="Calibri" w:hAnsi="Calibri"/>
        <w:sz w:val="22"/>
      </w:rPr>
    </w:lvl>
  </w:abstractNum>
  <w:abstractNum w:abstractNumId="33">
    <w:multiLevelType w:val="singleLevel"/>
    <w:lvl w:ilvl="0">
      <w:start w:val="1"/>
      <w:numFmt w:val="bullet"/>
      <w:lvlText w:val="•"/>
      <w:lvlJc w:val="left"/>
      <w:pPr>
        <w:tabs>
          <w:tab w:val="num" w:pos="540"/>
        </w:tabs>
        <w:ind w:left="540" w:hanging="270"/>
      </w:pPr>
      <w:rPr>
        <w:rFonts w:ascii="Calibri" w:hAnsi="Calibri"/>
        <w:sz w:val="22"/>
      </w:rPr>
    </w:lvl>
  </w:abstractNum>
  <w:abstractNum w:abstractNumId="34">
    <w:multiLevelType w:val="singleLevel"/>
    <w:lvl w:ilvl="0">
      <w:start w:val="1"/>
      <w:numFmt w:val="bullet"/>
      <w:lvlText w:val="•"/>
      <w:lvlJc w:val="left"/>
      <w:pPr>
        <w:tabs>
          <w:tab w:val="num" w:pos="540"/>
        </w:tabs>
        <w:ind w:left="540" w:hanging="270"/>
      </w:pPr>
      <w:rPr>
        <w:rFonts w:ascii="Calibri" w:hAnsi="Calibri"/>
        <w:sz w:val="22"/>
      </w:rPr>
    </w:lvl>
  </w:abstractNum>
  <w:abstractNum w:abstractNumId="35">
    <w:multiLevelType w:val="singleLevel"/>
    <w:lvl w:ilvl="0">
      <w:start w:val="1"/>
      <w:numFmt w:val="bullet"/>
      <w:lvlText w:val="•"/>
      <w:lvlJc w:val="left"/>
      <w:pPr>
        <w:tabs>
          <w:tab w:val="num" w:pos="540"/>
        </w:tabs>
        <w:ind w:left="540" w:hanging="270"/>
      </w:pPr>
      <w:rPr>
        <w:rFonts w:ascii="Calibri" w:hAnsi="Calibri"/>
        <w:sz w:val="22"/>
      </w:rPr>
    </w:lvl>
  </w:abstractNum>
  <w:abstractNum w:abstractNumId="36">
    <w:multiLevelType w:val="singleLevel"/>
    <w:lvl w:ilvl="0">
      <w:start w:val="1"/>
      <w:numFmt w:val="bullet"/>
      <w:lvlText w:val="•"/>
      <w:lvlJc w:val="left"/>
      <w:pPr>
        <w:tabs>
          <w:tab w:val="num" w:pos="540"/>
        </w:tabs>
        <w:ind w:left="540" w:hanging="270"/>
      </w:pPr>
      <w:rPr>
        <w:rFonts w:ascii="Calibri" w:hAnsi="Calibri"/>
        <w:sz w:val="22"/>
      </w:rPr>
    </w:lvl>
  </w:abstractNum>
  <w:abstractNum w:abstractNumId="37">
    <w:multiLevelType w:val="singleLevel"/>
    <w:lvl w:ilvl="0">
      <w:start w:val="1"/>
      <w:numFmt w:val="bullet"/>
      <w:lvlText w:val="•"/>
      <w:lvlJc w:val="left"/>
      <w:pPr>
        <w:tabs>
          <w:tab w:val="num" w:pos="540"/>
        </w:tabs>
        <w:ind w:left="540" w:hanging="270"/>
      </w:pPr>
      <w:rPr>
        <w:rFonts w:ascii="Calibri" w:hAnsi="Calibri"/>
        <w:sz w:val="22"/>
      </w:rPr>
    </w:lvl>
  </w:abstractNum>
  <w:abstractNum w:abstractNumId="38">
    <w:multiLevelType w:val="singleLevel"/>
    <w:lvl w:ilvl="0">
      <w:start w:val="1"/>
      <w:numFmt w:val="bullet"/>
      <w:lvlText w:val="•"/>
      <w:lvlJc w:val="left"/>
      <w:pPr>
        <w:tabs>
          <w:tab w:val="num" w:pos="540"/>
        </w:tabs>
        <w:ind w:left="540" w:hanging="270"/>
      </w:pPr>
      <w:rPr>
        <w:rFonts w:ascii="Calibri" w:hAnsi="Calibri"/>
        <w:sz w:val="22"/>
      </w:rPr>
    </w:lvl>
  </w:abstractNum>
  <w:abstractNum w:abstractNumId="39">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40">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41">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42">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43">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44">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45">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46">
    <w:multiLevelType w:val="singleLevel"/>
    <w:lvl w:ilvl="0">
      <w:start w:val="1"/>
      <w:numFmt w:val="decimal"/>
      <w:lvlText w:val="%1."/>
      <w:lvlJc w:val="left"/>
      <w:pPr>
        <w:tabs>
          <w:tab w:val="num" w:pos="540"/>
        </w:tabs>
        <w:ind w:left="540" w:hanging="270"/>
      </w:pPr>
      <w:rPr>
        <w:rFonts w:ascii="Calibri" w:hAnsi="Calibri"/>
        <w:sz w:val="22"/>
      </w:rPr>
    </w:lvl>
  </w:abstractNum>
  <w:abstractNum w:abstractNumId="47">
    <w:multiLevelType w:val="singleLevel"/>
    <w:lvl w:ilvl="0">
      <w:start w:val="1"/>
      <w:numFmt w:val="bullet"/>
      <w:lvlText w:val="•"/>
      <w:lvlJc w:val="left"/>
      <w:pPr>
        <w:tabs>
          <w:tab w:val="num" w:pos="540"/>
        </w:tabs>
        <w:ind w:left="540" w:hanging="270"/>
      </w:pPr>
      <w:rPr>
        <w:rFonts w:ascii="Calibri" w:hAnsi="Calibri"/>
        <w:sz w:val="22"/>
      </w:rPr>
    </w:lvl>
  </w:abstractNum>
  <w:abstractNum w:abstractNumId="48">
    <w:multiLevelType w:val="singleLevel"/>
    <w:lvl w:ilvl="0">
      <w:start w:val="1"/>
      <w:numFmt w:val="bullet"/>
      <w:lvlText w:val="•"/>
      <w:lvlJc w:val="left"/>
      <w:pPr>
        <w:tabs>
          <w:tab w:val="num" w:pos="540"/>
        </w:tabs>
        <w:ind w:left="540" w:hanging="270"/>
      </w:pPr>
      <w:rPr>
        <w:rFonts w:ascii="Calibri" w:hAnsi="Calibri"/>
        <w:sz w:val="22"/>
      </w:rPr>
    </w:lvl>
  </w:abstractNum>
  <w:abstractNum w:abstractNumId="49">
    <w:multiLevelType w:val="singleLevel"/>
    <w:lvl w:ilvl="0">
      <w:start w:val="1"/>
      <w:numFmt w:val="bullet"/>
      <w:lvlText w:val="•"/>
      <w:lvlJc w:val="left"/>
      <w:pPr>
        <w:tabs>
          <w:tab w:val="num" w:pos="540"/>
        </w:tabs>
        <w:ind w:left="540" w:hanging="270"/>
      </w:pPr>
      <w:rPr>
        <w:rFonts w:ascii="Calibri" w:hAnsi="Calibri"/>
        <w:sz w:val="22"/>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7324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160"/>
    </w:pPr>
    <w:rPr>
      <w:rFonts w:ascii="Calibri" w:hAnsi="Calibri"/>
      <w:b/>
      <w:bCs/>
      <w:i/>
      <w:color w:val="5265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docs.aws.amazon.com/bedrock-agentcore/latest/devguide/runtime-mcp.html" TargetMode="External"/><Relationship Id="rId16" Type="http://schemas.openxmlformats.org/officeDocument/2006/relationships/hyperlink" Target="https://docs.aws.amazon.com/bedrock-agentcore/latest/devguide/gateway-target-MCPservers.html" TargetMode="External"/><Relationship Id="rId17" Type="http://schemas.openxmlformats.org/officeDocument/2006/relationships/hyperlink" Target="https://awslabs.github.io/mcp/servers/aws-knowledge-mcp-server" TargetMode="External"/><Relationship Id="rId18" Type="http://schemas.openxmlformats.org/officeDocument/2006/relationships/hyperlink" Target="https://docs.aws.amazon.com/bedrock-agentcore/latest/devguide/inbound-jwt-authorizer.html" TargetMode="External"/><Relationship Id="rId19" Type="http://schemas.openxmlformats.org/officeDocument/2006/relationships/hyperlink" Target="https://docs.aws.amazon.com/bedrock-agentcore/latest/devguide/policy.html" TargetMode="External"/><Relationship Id="rId20" Type="http://schemas.openxmlformats.org/officeDocument/2006/relationships/hyperlink" Target="https://docs.aws.amazon.com/bedrock-agentcore/latest/devguide/gateway-tool-naming.html" TargetMode="External"/><Relationship Id="rId21" Type="http://schemas.openxmlformats.org/officeDocument/2006/relationships/hyperlink" Target="https://docs.aws.amazon.com/bedrock-agentcore/latest/devguide/policy-scope.html" TargetMode="External"/><Relationship Id="rId22" Type="http://schemas.openxmlformats.org/officeDocument/2006/relationships/hyperlink" Target="https://docs.aws.amazon.com/bedrock-agentcore/latest/devguide/resource-based-policies.html" TargetMode="External"/><Relationship Id="rId23" Type="http://schemas.openxmlformats.org/officeDocument/2006/relationships/hyperlink" Target="https://docs.aws.amazon.com/bedrock-agentcore/latest/devguide/vpc-interface-endpoints.html" TargetMode="External"/><Relationship Id="rId24" Type="http://schemas.openxmlformats.org/officeDocument/2006/relationships/hyperlink" Target="https://docs.aws.amazon.com/bedrock-agentcore/latest/devguide/gateway-headers.html" TargetMode="External"/><Relationship Id="rId25" Type="http://schemas.openxmlformats.org/officeDocument/2006/relationships/hyperlink" Target="https://docs.aws.amazon.com/bedrock-agentcore/latest/devguide/identity-outbound-credential-provider.html" TargetMode="External"/><Relationship Id="rId26" Type="http://schemas.openxmlformats.org/officeDocument/2006/relationships/hyperlink" Target="https://docs.aws.amazon.com/bedrock-agentcore/latest/devguide/observability-configure.html" TargetMode="External"/><Relationship Id="rId27" Type="http://schemas.openxmlformats.org/officeDocument/2006/relationships/hyperlink" Target="https://docs.aws.amazon.com/bedrock-agentcore/latest/devguide/agentcore-regions.html" TargetMode="External"/><Relationship Id="rId28" Type="http://schemas.openxmlformats.org/officeDocument/2006/relationships/hyperlink" Target="https://docs.aws.amazon.com/general/latest/gr/bedrock_agentcore.html" TargetMode="External"/><Relationship Id="rId29" Type="http://schemas.openxmlformats.org/officeDocument/2006/relationships/hyperlink" Target="https://docs.aws.amazon.com/bedrock-agentcore/latest/devguide/agentcore-vpc.html" TargetMode="External"/><Relationship Id="rId30" Type="http://schemas.openxmlformats.org/officeDocument/2006/relationships/hyperlink" Target="https://learn.microsoft.com/en-us/graph/permissions-reference" TargetMode="External"/><Relationship Id="rId31" Type="http://schemas.openxmlformats.org/officeDocument/2006/relationships/hyperlink" Target="https://learn.microsoft.com/en-us/graph/permissions-overview" TargetMode="External"/><Relationship Id="rId32" Type="http://schemas.openxmlformats.org/officeDocument/2006/relationships/hyperlink" Target="https://learn.microsoft.com/en-us/training/support/mcp-get-started-foundry" TargetMode="External"/><Relationship Id="rId33" Type="http://schemas.openxmlformats.org/officeDocument/2006/relationships/hyperlink" Target="https://learn.microsoft.com/en-us/entra/identity-platform/v2-oauth2-on-behalf-of-flow" TargetMode="External"/><Relationship Id="rId34" Type="http://schemas.openxmlformats.org/officeDocument/2006/relationships/hyperlink" Target="https://learn.microsoft.com/en-us/sharepoint/dev/general-development/how-to-avoid-getting-throttled-or-blocked-in-sharepoint-online" TargetMode="External"/><Relationship Id="rId35" Type="http://schemas.openxmlformats.org/officeDocument/2006/relationships/hyperlink" Target="https://developer.hashicorp.com/terraform/mcp-server/refer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MCP Platform on AWS - Developer Architecture Guide</dc:title>
  <dc:subject>Developer reference for architecture, identity, policy, deployment and operations</dc:subject>
  <dc:creator>Cloud Platform Team</dc:creator>
  <cp:keywords>MCP, AgentCore, Gateway, Runtime, Entra, SharePoint, developer guide, architecture</cp:keywords>
  <dc:description>Generated from the repository developer-guide source.</dc:description>
  <cp:lastModifiedBy/>
  <cp:revision>1</cp:revision>
  <dcterms:created xsi:type="dcterms:W3CDTF">2013-12-23T23:15:00Z</dcterms:created>
  <dcterms:modified xsi:type="dcterms:W3CDTF">2013-12-23T23:15:00Z</dcterms:modified>
  <cp:category/>
</cp:coreProperties>
</file>