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pPr>
      <w:r>
        <w:rPr>
          <w:rFonts w:ascii="Calibri" w:hAnsi="Calibri"/>
          <w:b/>
          <w:color w:val="2E74B5"/>
          <w:sz w:val="21"/>
        </w:rPr>
        <w:t>ARCHITECTURE REVIEW PACK</w:t>
      </w:r>
    </w:p>
    <w:p>
      <w:pPr>
        <w:spacing w:after="80"/>
      </w:pPr>
      <w:r>
        <w:rPr>
          <w:rFonts w:ascii="Calibri" w:hAnsi="Calibri"/>
          <w:b/>
          <w:color w:val="17324D"/>
          <w:sz w:val="50"/>
        </w:rPr>
        <w:t>Enterprise MCP Platform on AWS</w:t>
      </w:r>
    </w:p>
    <w:p>
      <w:pPr>
        <w:spacing w:after="360"/>
      </w:pPr>
      <w:r>
        <w:rPr>
          <w:rFonts w:ascii="Calibri" w:hAnsi="Calibri"/>
          <w:color w:val="526579"/>
          <w:sz w:val="28"/>
        </w:rPr>
        <w:t>Architecture, Security and Migration Review</w:t>
      </w:r>
    </w:p>
    <w:p>
      <w:pPr>
        <w:spacing w:after="60"/>
      </w:pPr>
      <w:r>
        <w:rPr>
          <w:rFonts w:ascii="Calibri" w:hAnsi="Calibri"/>
          <w:b/>
          <w:color w:val="17324D"/>
          <w:sz w:val="21"/>
        </w:rPr>
        <w:t xml:space="preserve">Classification: </w:t>
      </w:r>
      <w:r>
        <w:rPr>
          <w:rFonts w:ascii="Calibri" w:hAnsi="Calibri"/>
          <w:color w:val="17324D"/>
          <w:sz w:val="21"/>
        </w:rPr>
        <w:t>Internal - Draft for review</w:t>
      </w:r>
    </w:p>
    <w:p>
      <w:pPr>
        <w:spacing w:after="60"/>
      </w:pPr>
      <w:r>
        <w:rPr>
          <w:rFonts w:ascii="Calibri" w:hAnsi="Calibri"/>
          <w:b/>
          <w:color w:val="17324D"/>
          <w:sz w:val="21"/>
        </w:rPr>
        <w:t xml:space="preserve">Status: </w:t>
      </w:r>
      <w:r>
        <w:rPr>
          <w:rFonts w:ascii="Calibri" w:hAnsi="Calibri"/>
          <w:color w:val="17324D"/>
          <w:sz w:val="21"/>
        </w:rPr>
        <w:t>Draft for conditional approval</w:t>
      </w:r>
    </w:p>
    <w:p>
      <w:pPr>
        <w:spacing w:after="60"/>
      </w:pPr>
      <w:r>
        <w:rPr>
          <w:rFonts w:ascii="Calibri" w:hAnsi="Calibri"/>
          <w:b/>
          <w:color w:val="17324D"/>
          <w:sz w:val="21"/>
        </w:rPr>
        <w:t xml:space="preserve">Version: </w:t>
      </w:r>
      <w:r>
        <w:rPr>
          <w:rFonts w:ascii="Calibri" w:hAnsi="Calibri"/>
          <w:color w:val="17324D"/>
          <w:sz w:val="21"/>
        </w:rPr>
        <w:t>0.1</w:t>
      </w:r>
    </w:p>
    <w:p>
      <w:pPr>
        <w:spacing w:after="60"/>
      </w:pPr>
      <w:r>
        <w:rPr>
          <w:rFonts w:ascii="Calibri" w:hAnsi="Calibri"/>
          <w:b/>
          <w:color w:val="17324D"/>
          <w:sz w:val="21"/>
        </w:rPr>
        <w:t xml:space="preserve">Date: </w:t>
      </w:r>
      <w:r>
        <w:rPr>
          <w:rFonts w:ascii="Calibri" w:hAnsi="Calibri"/>
          <w:color w:val="17324D"/>
          <w:sz w:val="21"/>
        </w:rPr>
        <w:t>10 July 2026</w:t>
      </w:r>
    </w:p>
    <w:p>
      <w:pPr>
        <w:spacing w:after="60"/>
      </w:pPr>
      <w:r>
        <w:rPr>
          <w:rFonts w:ascii="Calibri" w:hAnsi="Calibri"/>
          <w:b/>
          <w:color w:val="17324D"/>
          <w:sz w:val="21"/>
        </w:rPr>
        <w:t xml:space="preserve">Owner: </w:t>
      </w:r>
      <w:r>
        <w:rPr>
          <w:rFonts w:ascii="Calibri" w:hAnsi="Calibri"/>
          <w:color w:val="17324D"/>
          <w:sz w:val="21"/>
        </w:rPr>
        <w:t>Cloud Platform Team</w:t>
      </w:r>
    </w:p>
    <w:p>
      <w:pPr>
        <w:spacing w:after="60"/>
      </w:pPr>
      <w:r>
        <w:rPr>
          <w:rFonts w:ascii="Calibri" w:hAnsi="Calibri"/>
          <w:b/>
          <w:color w:val="17324D"/>
          <w:sz w:val="21"/>
        </w:rPr>
        <w:t xml:space="preserve">Audience: </w:t>
      </w:r>
      <w:r>
        <w:rPr>
          <w:rFonts w:ascii="Calibri" w:hAnsi="Calibri"/>
          <w:color w:val="17324D"/>
          <w:sz w:val="21"/>
        </w:rPr>
        <w:t>Architecture, Cyber Security, Identity, Microsoft 365, DevOps, Operations and product owners</w:t>
      </w:r>
    </w:p>
    <w:p>
      <w:pPr>
        <w:spacing w:before="240" w:after="280"/>
        <w:pBdr>
          <w:bottom w:val="single" w:sz="12" w:space="5" w:color="2E74B5"/>
        </w:pBdr>
      </w:pPr>
    </w:p>
    <w:tbl>
      <w:tblPr>
        <w:tblW w:type="dxa" w:w="9360"/>
        <w:tblLayout w:type="fixed"/>
        <w:tblLook w:firstColumn="1" w:firstRow="1" w:lastColumn="0" w:lastRow="0" w:noHBand="0" w:noVBand="1" w:val="04A0"/>
        <w:tblInd w:w="120" w:type="dxa"/>
        <w:tblLayout w:type="fixed"/>
      </w:tblPr>
      <w:tblGrid>
        <w:gridCol w:w="9360"/>
      </w:tblGrid>
      <w:tr>
        <w:trPr>
          <w:cantSplit/>
        </w:trPr>
        <w:tc>
          <w:tcPr>
            <w:tcW w:type="dxa" w:w="9360"/>
            <w:vAlign w:val="center"/>
            <w:tcMar>
              <w:top w:w="80" w:type="dxa"/>
              <w:start w:w="120" w:type="dxa"/>
              <w:bottom w:w="80" w:type="dxa"/>
              <w:end w:w="120" w:type="dxa"/>
            </w:tcMar>
            <w:shd w:fill="EAF6EC"/>
          </w:tcPr>
          <w:p>
            <w:pPr>
              <w:spacing w:after="40" w:line="264" w:lineRule="auto"/>
            </w:pPr>
            <w:r>
              <w:rPr>
                <w:rFonts w:ascii="Calibri" w:hAnsi="Calibri"/>
                <w:b/>
                <w:color w:val="2E7D32"/>
                <w:sz w:val="21"/>
              </w:rPr>
              <w:t xml:space="preserve">Decision requested: </w:t>
            </w:r>
            <w:r>
              <w:rPr>
                <w:rFonts w:ascii="Calibri" w:hAnsi="Calibri"/>
                <w:color w:val="17324D"/>
                <w:sz w:val="21"/>
              </w:rPr>
              <w:t>Approve the target architecture and authorize controlled non-production validation, subject to the approval conditions. Production rollout is not authorized by this document alone.</w:t>
            </w:r>
          </w:p>
        </w:tc>
      </w:tr>
    </w:tbl>
    <w:p>
      <w:pPr>
        <w:spacing w:after="40"/>
      </w:pPr>
    </w:p>
    <w:tbl>
      <w:tblPr>
        <w:tblW w:type="dxa" w:w="9360"/>
        <w:tblLayout w:type="fixed"/>
        <w:tblLook w:firstColumn="1" w:firstRow="1" w:lastColumn="0" w:lastRow="0" w:noHBand="0" w:noVBand="1" w:val="04A0"/>
        <w:tblInd w:w="120" w:type="dxa"/>
        <w:tblLayout w:type="fixed"/>
      </w:tblPr>
      <w:tblGrid>
        <w:gridCol w:w="9360"/>
      </w:tblGrid>
      <w:tr>
        <w:trPr>
          <w:cantSplit/>
        </w:trPr>
        <w:tc>
          <w:tcPr>
            <w:tcW w:type="dxa" w:w="9360"/>
            <w:vAlign w:val="center"/>
            <w:tcMar>
              <w:top w:w="80" w:type="dxa"/>
              <w:start w:w="120" w:type="dxa"/>
              <w:bottom w:w="80" w:type="dxa"/>
              <w:end w:w="120" w:type="dxa"/>
            </w:tcMar>
            <w:shd w:fill="FDEDEC"/>
          </w:tcPr>
          <w:p>
            <w:pPr>
              <w:spacing w:after="40" w:line="264" w:lineRule="auto"/>
            </w:pPr>
            <w:r>
              <w:rPr>
                <w:rFonts w:ascii="Calibri" w:hAnsi="Calibri"/>
                <w:b/>
                <w:color w:val="B42318"/>
                <w:sz w:val="21"/>
              </w:rPr>
              <w:t xml:space="preserve">Current maturity: </w:t>
            </w:r>
            <w:r>
              <w:rPr>
                <w:rFonts w:ascii="Calibri" w:hAnsi="Calibri"/>
                <w:color w:val="17324D"/>
                <w:sz w:val="21"/>
              </w:rPr>
              <w:t>The repository contains representative code, policy and Terraform. Critical integration, identity, Graph, write-safety, network and operational controls still require real-environment evidence.</w:t>
            </w:r>
          </w:p>
        </w:tc>
      </w:tr>
    </w:tbl>
    <w:p>
      <w:pPr>
        <w:spacing w:after="40"/>
      </w:pPr>
    </w:p>
    <w:p>
      <w:pPr>
        <w:spacing w:before="360" w:after="0"/>
      </w:pPr>
      <w:r>
        <w:rPr>
          <w:rFonts w:ascii="Calibri" w:hAnsi="Calibri"/>
          <w:i/>
          <w:color w:val="526579"/>
          <w:sz w:val="19"/>
        </w:rPr>
        <w:t>Editable diagrams are supplied in the accompanying multi-page draw.io file.</w:t>
      </w:r>
    </w:p>
    <w:p>
      <w:r>
        <w:br w:type="page"/>
      </w:r>
    </w:p>
    <w:p>
      <w:pPr>
        <w:pStyle w:val="Heading1"/>
      </w:pPr>
      <w:r>
        <w:t>Contents</w:t>
      </w:r>
    </w:p>
    <w:p>
      <w:pPr>
        <w:spacing w:after="200"/>
      </w:pPr>
      <w:r>
        <w:rPr>
          <w:rFonts w:ascii="Calibri" w:hAnsi="Calibri"/>
          <w:i/>
          <w:color w:val="526579"/>
          <w:sz w:val="19"/>
        </w:rPr>
        <w:t>Top-level review sections</w:t>
      </w:r>
    </w:p>
    <w:p>
      <w:pPr>
        <w:spacing w:after="40" w:line="240" w:lineRule="auto"/>
        <w:ind w:left="216"/>
      </w:pPr>
      <w:r>
        <w:rPr>
          <w:rFonts w:ascii="Calibri" w:hAnsi="Calibri"/>
          <w:color w:val="17324D"/>
          <w:sz w:val="20"/>
        </w:rPr>
        <w:t>1. Executive summary</w:t>
      </w:r>
    </w:p>
    <w:p>
      <w:pPr>
        <w:spacing w:after="40" w:line="240" w:lineRule="auto"/>
        <w:ind w:left="216"/>
      </w:pPr>
      <w:r>
        <w:rPr>
          <w:rFonts w:ascii="Calibri" w:hAnsi="Calibri"/>
          <w:color w:val="17324D"/>
          <w:sz w:val="20"/>
        </w:rPr>
        <w:t>2. Purpose and audience</w:t>
      </w:r>
    </w:p>
    <w:p>
      <w:pPr>
        <w:spacing w:after="40" w:line="240" w:lineRule="auto"/>
        <w:ind w:left="216"/>
      </w:pPr>
      <w:r>
        <w:rPr>
          <w:rFonts w:ascii="Calibri" w:hAnsi="Calibri"/>
          <w:color w:val="17324D"/>
          <w:sz w:val="20"/>
        </w:rPr>
        <w:t>3. Scope</w:t>
      </w:r>
    </w:p>
    <w:p>
      <w:pPr>
        <w:spacing w:after="40" w:line="240" w:lineRule="auto"/>
        <w:ind w:left="216"/>
      </w:pPr>
      <w:r>
        <w:rPr>
          <w:rFonts w:ascii="Calibri" w:hAnsi="Calibri"/>
          <w:color w:val="17324D"/>
          <w:sz w:val="20"/>
        </w:rPr>
        <w:t>4. Architecture principles and constraints</w:t>
      </w:r>
    </w:p>
    <w:p>
      <w:pPr>
        <w:spacing w:after="40" w:line="240" w:lineRule="auto"/>
        <w:ind w:left="216"/>
      </w:pPr>
      <w:r>
        <w:rPr>
          <w:rFonts w:ascii="Calibri" w:hAnsi="Calibri"/>
          <w:color w:val="17324D"/>
          <w:sz w:val="20"/>
        </w:rPr>
        <w:t>5. Current state and maturity</w:t>
      </w:r>
    </w:p>
    <w:p>
      <w:pPr>
        <w:spacing w:after="40" w:line="240" w:lineRule="auto"/>
        <w:ind w:left="216"/>
      </w:pPr>
      <w:r>
        <w:rPr>
          <w:rFonts w:ascii="Calibri" w:hAnsi="Calibri"/>
          <w:color w:val="17324D"/>
          <w:sz w:val="20"/>
        </w:rPr>
        <w:t>6. Target architecture</w:t>
      </w:r>
    </w:p>
    <w:p>
      <w:pPr>
        <w:spacing w:after="40" w:line="240" w:lineRule="auto"/>
        <w:ind w:left="216"/>
      </w:pPr>
      <w:r>
        <w:rPr>
          <w:rFonts w:ascii="Calibri" w:hAnsi="Calibri"/>
          <w:color w:val="17324D"/>
          <w:sz w:val="20"/>
        </w:rPr>
        <w:t>7. Identity and authorization model</w:t>
      </w:r>
    </w:p>
    <w:p>
      <w:pPr>
        <w:spacing w:after="40" w:line="240" w:lineRule="auto"/>
        <w:ind w:left="216"/>
      </w:pPr>
      <w:r>
        <w:rPr>
          <w:rFonts w:ascii="Calibri" w:hAnsi="Calibri"/>
          <w:color w:val="17324D"/>
          <w:sz w:val="20"/>
        </w:rPr>
        <w:t>8. Network and trust boundaries</w:t>
      </w:r>
    </w:p>
    <w:p>
      <w:pPr>
        <w:spacing w:after="40" w:line="240" w:lineRule="auto"/>
        <w:ind w:left="216"/>
      </w:pPr>
      <w:r>
        <w:rPr>
          <w:rFonts w:ascii="Calibri" w:hAnsi="Calibri"/>
          <w:color w:val="17324D"/>
          <w:sz w:val="20"/>
        </w:rPr>
        <w:t>9. Tool and data design</w:t>
      </w:r>
    </w:p>
    <w:p>
      <w:pPr>
        <w:spacing w:after="40" w:line="240" w:lineRule="auto"/>
        <w:ind w:left="216"/>
      </w:pPr>
      <w:r>
        <w:rPr>
          <w:rFonts w:ascii="Calibri" w:hAnsi="Calibri"/>
          <w:color w:val="17324D"/>
          <w:sz w:val="20"/>
        </w:rPr>
        <w:t>10. Policy, software supply chain and deployment</w:t>
      </w:r>
    </w:p>
    <w:p>
      <w:pPr>
        <w:spacing w:after="40" w:line="240" w:lineRule="auto"/>
        <w:ind w:left="216"/>
      </w:pPr>
      <w:r>
        <w:rPr>
          <w:rFonts w:ascii="Calibri" w:hAnsi="Calibri"/>
          <w:color w:val="17324D"/>
          <w:sz w:val="20"/>
        </w:rPr>
        <w:t>11. Observability and audit</w:t>
      </w:r>
    </w:p>
    <w:p>
      <w:pPr>
        <w:spacing w:after="40" w:line="240" w:lineRule="auto"/>
        <w:ind w:left="216"/>
      </w:pPr>
      <w:r>
        <w:rPr>
          <w:rFonts w:ascii="Calibri" w:hAnsi="Calibri"/>
          <w:color w:val="17324D"/>
          <w:sz w:val="20"/>
        </w:rPr>
        <w:t>12. Availability, resilience and performance</w:t>
      </w:r>
    </w:p>
    <w:p>
      <w:pPr>
        <w:spacing w:after="40" w:line="240" w:lineRule="auto"/>
        <w:ind w:left="216"/>
      </w:pPr>
      <w:r>
        <w:rPr>
          <w:rFonts w:ascii="Calibri" w:hAnsi="Calibri"/>
          <w:color w:val="17324D"/>
          <w:sz w:val="20"/>
        </w:rPr>
        <w:t>13. Threat model</w:t>
      </w:r>
    </w:p>
    <w:p>
      <w:pPr>
        <w:spacing w:after="40" w:line="240" w:lineRule="auto"/>
        <w:ind w:left="216"/>
      </w:pPr>
      <w:r>
        <w:rPr>
          <w:rFonts w:ascii="Calibri" w:hAnsi="Calibri"/>
          <w:color w:val="17324D"/>
          <w:sz w:val="20"/>
        </w:rPr>
        <w:t>14. Security control requirements</w:t>
      </w:r>
    </w:p>
    <w:p>
      <w:pPr>
        <w:spacing w:after="40" w:line="240" w:lineRule="auto"/>
        <w:ind w:left="216"/>
      </w:pPr>
      <w:r>
        <w:rPr>
          <w:rFonts w:ascii="Calibri" w:hAnsi="Calibri"/>
          <w:color w:val="17324D"/>
          <w:sz w:val="20"/>
        </w:rPr>
        <w:t>15. Migration strategy</w:t>
      </w:r>
    </w:p>
    <w:p>
      <w:pPr>
        <w:spacing w:after="40" w:line="240" w:lineRule="auto"/>
        <w:ind w:left="216"/>
      </w:pPr>
      <w:r>
        <w:rPr>
          <w:rFonts w:ascii="Calibri" w:hAnsi="Calibri"/>
          <w:color w:val="17324D"/>
          <w:sz w:val="20"/>
        </w:rPr>
        <w:t>16. Cutover, rollback and kill switches</w:t>
      </w:r>
    </w:p>
    <w:p>
      <w:pPr>
        <w:spacing w:after="40" w:line="240" w:lineRule="auto"/>
        <w:ind w:left="216"/>
      </w:pPr>
      <w:r>
        <w:rPr>
          <w:rFonts w:ascii="Calibri" w:hAnsi="Calibri"/>
          <w:color w:val="17324D"/>
          <w:sz w:val="20"/>
        </w:rPr>
        <w:t>17. Verification and acceptance evidence</w:t>
      </w:r>
    </w:p>
    <w:p>
      <w:pPr>
        <w:spacing w:after="40" w:line="240" w:lineRule="auto"/>
        <w:ind w:left="216"/>
      </w:pPr>
      <w:r>
        <w:rPr>
          <w:rFonts w:ascii="Calibri" w:hAnsi="Calibri"/>
          <w:color w:val="17324D"/>
          <w:sz w:val="20"/>
        </w:rPr>
        <w:t>18. Approval conditions and open decisions</w:t>
      </w:r>
    </w:p>
    <w:p>
      <w:pPr>
        <w:spacing w:after="40" w:line="240" w:lineRule="auto"/>
        <w:ind w:left="216"/>
      </w:pPr>
      <w:r>
        <w:rPr>
          <w:rFonts w:ascii="Calibri" w:hAnsi="Calibri"/>
          <w:color w:val="17324D"/>
          <w:sz w:val="20"/>
        </w:rPr>
        <w:t>19. Ownership model</w:t>
      </w:r>
    </w:p>
    <w:p>
      <w:pPr>
        <w:spacing w:after="40" w:line="240" w:lineRule="auto"/>
        <w:ind w:left="216"/>
      </w:pPr>
      <w:r>
        <w:rPr>
          <w:rFonts w:ascii="Calibri" w:hAnsi="Calibri"/>
          <w:color w:val="17324D"/>
          <w:sz w:val="20"/>
        </w:rPr>
        <w:t>20. References</w:t>
      </w:r>
    </w:p>
    <w:p>
      <w:r>
        <w:br w:type="page"/>
      </w:r>
    </w:p>
    <w:p>
      <w:pPr>
        <w:pStyle w:val="Heading1"/>
      </w:pPr>
      <w:r>
        <w:t>1. Executive summary</w:t>
      </w:r>
    </w:p>
    <w:p>
      <w:r>
        <w:rPr>
          <w:rFonts w:ascii="Calibri" w:hAnsi="Calibri"/>
          <w:color w:val="17324D"/>
          <w:sz w:val="22"/>
        </w:rPr>
        <w:t>The proposed platform provides one governed internal Model Context Protocol (MCP) entry point on AWS. Amazon Bedrock AgentCore Gateway is the shared MCP front door. Each downstream system is isolated behind the Gateway as its own MCP server, container image, AgentCore Runtime, policy boundary, deployment unit and operational owner. SharePoint is the first enabled system. CRM and internal-software servers remain disabled until their tool contracts and owners are separately approved.</w:t>
      </w:r>
    </w:p>
    <w:p>
      <w:r>
        <w:rPr>
          <w:rFonts w:ascii="Calibri" w:hAnsi="Calibri"/>
          <w:color w:val="17324D"/>
          <w:sz w:val="22"/>
        </w:rPr>
        <w:t xml:space="preserve">Microsoft Entra ID remains the authoritative identity provider for human and service callers. Callers obtain an environment-specific Enterprise MCP API token and send it to Gateway. Gateway uses its </w:t>
      </w:r>
      <w:r>
        <w:rPr>
          <w:rFonts w:ascii="Courier New" w:hAnsi="Courier New"/>
          <w:color w:val="1F4D78"/>
          <w:sz w:val="20"/>
          <w:shd w:fill="EAF2F8"/>
        </w:rPr>
        <w:t>CUSTOM_JWT</w:t>
      </w:r>
      <w:r>
        <w:rPr>
          <w:rFonts w:ascii="Calibri" w:hAnsi="Calibri"/>
          <w:color w:val="17324D"/>
          <w:sz w:val="22"/>
        </w:rPr>
        <w:t xml:space="preserve"> authorizer, which AWS documents as an AgentCore Identity inbound-authorizer capability, to validate the token. Gateway policy then determines whether the caller may discover or invoke a tool. Gateway invokes the selected Runtime with its AWS IAM role and Signature Version 4. Runtime uses a separate downstream Microsoft Entra application credential to access Microsoft Graph; the inbound MCP token is not reused as a Graph token.</w:t>
      </w:r>
    </w:p>
    <w:p>
      <w:r>
        <w:rPr>
          <w:rFonts w:ascii="Calibri" w:hAnsi="Calibri"/>
          <w:color w:val="17324D"/>
          <w:sz w:val="22"/>
        </w:rPr>
        <w:t xml:space="preserve">The recommended approval is </w:t>
      </w:r>
      <w:r>
        <w:rPr>
          <w:rFonts w:ascii="Calibri" w:hAnsi="Calibri"/>
          <w:b/>
          <w:color w:val="17324D"/>
          <w:sz w:val="22"/>
        </w:rPr>
        <w:t>conditional approval for non-production validation</w:t>
      </w:r>
      <w:r>
        <w:rPr>
          <w:rFonts w:ascii="Calibri" w:hAnsi="Calibri"/>
          <w:color w:val="17324D"/>
          <w:sz w:val="22"/>
        </w:rPr>
        <w:t>. The architecture is coherent and applies appropriate separation of duties, least privilege and defence in depth. It is not yet production-ready. The current repository contains representative Terraform, policy and MCP server code, but several critical paths remain unvalidated or incomplete, including real Gateway-to-Runtime invocation, caller-claim propagation, Claude Code token refresh, real Microsoft Graph operations, idempotency persistence, Cedar enforcement, PrivateLink behaviour and production CI/CD controls.</w:t>
      </w:r>
    </w:p>
    <w:p>
      <w:pPr>
        <w:pStyle w:val="Heading2"/>
      </w:pPr>
      <w:r>
        <w:t>1.1 Decision summary</w:t>
      </w:r>
    </w:p>
    <w:p>
      <w:pPr>
        <w:spacing w:after="160" w:line="280" w:lineRule="auto"/>
        <w:numPr>
          <w:ilvl w:val="0"/>
          <w:numId w:val="10"/>
        </w:numPr>
      </w:pPr>
      <w:r>
        <w:rPr>
          <w:rFonts w:ascii="Calibri" w:hAnsi="Calibri"/>
          <w:color w:val="17324D"/>
          <w:sz w:val="22"/>
        </w:rPr>
        <w:t>Approve one shared AgentCore Gateway configured for MCP.</w:t>
      </w:r>
    </w:p>
    <w:p>
      <w:pPr>
        <w:spacing w:after="160" w:line="280" w:lineRule="auto"/>
        <w:numPr>
          <w:ilvl w:val="0"/>
          <w:numId w:val="10"/>
        </w:numPr>
      </w:pPr>
      <w:r>
        <w:rPr>
          <w:rFonts w:ascii="Calibri" w:hAnsi="Calibri"/>
          <w:color w:val="17324D"/>
          <w:sz w:val="22"/>
        </w:rPr>
        <w:t>Approve one AgentCore Runtime per enabled MCP server.</w:t>
      </w:r>
    </w:p>
    <w:p>
      <w:pPr>
        <w:spacing w:after="160" w:line="280" w:lineRule="auto"/>
        <w:numPr>
          <w:ilvl w:val="0"/>
          <w:numId w:val="10"/>
        </w:numPr>
      </w:pPr>
      <w:r>
        <w:rPr>
          <w:rFonts w:ascii="Calibri" w:hAnsi="Calibri"/>
          <w:color w:val="17324D"/>
          <w:sz w:val="22"/>
        </w:rPr>
        <w:t>Approve Microsoft Entra ID tokens for inbound human and service identity.</w:t>
      </w:r>
    </w:p>
    <w:p>
      <w:pPr>
        <w:spacing w:after="160" w:line="280" w:lineRule="auto"/>
        <w:numPr>
          <w:ilvl w:val="0"/>
          <w:numId w:val="10"/>
        </w:numPr>
      </w:pPr>
      <w:r>
        <w:rPr>
          <w:rFonts w:ascii="Calibri" w:hAnsi="Calibri"/>
          <w:color w:val="17324D"/>
          <w:sz w:val="22"/>
        </w:rPr>
        <w:t xml:space="preserve">Recognize the Gateway </w:t>
      </w:r>
      <w:r>
        <w:rPr>
          <w:rFonts w:ascii="Courier New" w:hAnsi="Courier New"/>
          <w:color w:val="1F4D78"/>
          <w:sz w:val="20"/>
          <w:shd w:fill="EAF2F8"/>
        </w:rPr>
        <w:t>CUSTOM_JWT</w:t>
      </w:r>
      <w:r>
        <w:rPr>
          <w:rFonts w:ascii="Calibri" w:hAnsi="Calibri"/>
          <w:color w:val="17324D"/>
          <w:sz w:val="22"/>
        </w:rPr>
        <w:t xml:space="preserve"> validator as the managed AgentCore Identity inbound capability; do not introduce AgentCore Identity outbound credential providers in the first production slice.</w:t>
      </w:r>
    </w:p>
    <w:p>
      <w:pPr>
        <w:spacing w:after="160" w:line="280" w:lineRule="auto"/>
        <w:numPr>
          <w:ilvl w:val="0"/>
          <w:numId w:val="10"/>
        </w:numPr>
      </w:pPr>
      <w:r>
        <w:rPr>
          <w:rFonts w:ascii="Calibri" w:hAnsi="Calibri"/>
          <w:color w:val="17324D"/>
          <w:sz w:val="22"/>
        </w:rPr>
        <w:t>Approve AWS IAM only for AWS-side service authorization, including Gateway-to-Runtime invocation and Runtime access to approved AWS resources.</w:t>
      </w:r>
    </w:p>
    <w:p>
      <w:pPr>
        <w:spacing w:after="160" w:line="280" w:lineRule="auto"/>
        <w:numPr>
          <w:ilvl w:val="0"/>
          <w:numId w:val="10"/>
        </w:numPr>
      </w:pPr>
      <w:r>
        <w:rPr>
          <w:rFonts w:ascii="Calibri" w:hAnsi="Calibri"/>
          <w:color w:val="17324D"/>
          <w:sz w:val="22"/>
        </w:rPr>
        <w:t>Approve a separate application identity with selected SharePoint permissions for Microsoft Graph.</w:t>
      </w:r>
    </w:p>
    <w:p>
      <w:pPr>
        <w:spacing w:after="160" w:line="280" w:lineRule="auto"/>
        <w:numPr>
          <w:ilvl w:val="0"/>
          <w:numId w:val="10"/>
        </w:numPr>
      </w:pPr>
      <w:r>
        <w:rPr>
          <w:rFonts w:ascii="Calibri" w:hAnsi="Calibri"/>
          <w:color w:val="17324D"/>
          <w:sz w:val="22"/>
        </w:rPr>
        <w:t>Approve narrow, domain-specific tools and policy as code; reject generic HTTP, shell, SQL or tenant-wide content tools.</w:t>
      </w:r>
    </w:p>
    <w:p>
      <w:pPr>
        <w:spacing w:after="160" w:line="280" w:lineRule="auto"/>
        <w:numPr>
          <w:ilvl w:val="0"/>
          <w:numId w:val="10"/>
        </w:numPr>
      </w:pPr>
      <w:r>
        <w:rPr>
          <w:rFonts w:ascii="Calibri" w:hAnsi="Calibri"/>
          <w:color w:val="17324D"/>
          <w:sz w:val="22"/>
        </w:rPr>
        <w:t>Approve private access through the AWS-managed Gateway URL and AgentCore Gateway interface VPC endpoint where the caller network supports it.</w:t>
      </w:r>
    </w:p>
    <w:p>
      <w:pPr>
        <w:spacing w:after="160" w:line="280" w:lineRule="auto"/>
        <w:numPr>
          <w:ilvl w:val="0"/>
          <w:numId w:val="10"/>
        </w:numPr>
      </w:pPr>
      <w:r>
        <w:rPr>
          <w:rFonts w:ascii="Calibri" w:hAnsi="Calibri"/>
          <w:color w:val="17324D"/>
          <w:sz w:val="22"/>
        </w:rPr>
        <w:t>Reject CloudFront or another CDN-backed custom domain for this MCP path.</w:t>
      </w:r>
    </w:p>
    <w:p>
      <w:pPr>
        <w:spacing w:after="160" w:line="280" w:lineRule="auto"/>
        <w:numPr>
          <w:ilvl w:val="0"/>
          <w:numId w:val="10"/>
        </w:numPr>
      </w:pPr>
      <w:r>
        <w:rPr>
          <w:rFonts w:ascii="Calibri" w:hAnsi="Calibri"/>
          <w:color w:val="17324D"/>
          <w:sz w:val="22"/>
        </w:rPr>
        <w:t>Require all production approval conditions and migration exit gates to be satisfied before enabling production callers or write tools.</w:t>
      </w:r>
    </w:p>
    <w:p>
      <w:pPr>
        <w:pStyle w:val="Heading1"/>
      </w:pPr>
      <w:r>
        <w:t>2. Purpose and audience</w:t>
      </w:r>
    </w:p>
    <w:p>
      <w:r>
        <w:rPr>
          <w:rFonts w:ascii="Calibri" w:hAnsi="Calibri"/>
          <w:color w:val="17324D"/>
          <w:sz w:val="22"/>
        </w:rPr>
        <w:t>This document consolidates the current repository decisions into one reviewable architecture package. It is intended to let architecture, security, identity, data-owner and operations teams assess the target design, understand the current implementation maturity, review the threat model, agree ownership and approve a staged migration.</w:t>
      </w:r>
    </w:p>
    <w:p>
      <w:r>
        <w:rPr>
          <w:rFonts w:ascii="Calibri" w:hAnsi="Calibri"/>
          <w:color w:val="17324D"/>
          <w:sz w:val="22"/>
        </w:rPr>
        <w:t>This document is normative for the proposed first production slice. The README remains the working technical overview; Architecture Decision Records (ADRs) remain the decision history; this document packages those decisions and the remaining conditions for governance review.</w:t>
      </w:r>
    </w:p>
    <w:p>
      <w:pPr>
        <w:pStyle w:val="Heading1"/>
      </w:pPr>
      <w:r>
        <w:t>3. Scope</w:t>
      </w:r>
    </w:p>
    <w:p>
      <w:pPr>
        <w:pStyle w:val="Heading2"/>
      </w:pPr>
      <w:r>
        <w:t>3.1 In scope</w:t>
      </w:r>
    </w:p>
    <w:p>
      <w:pPr>
        <w:spacing w:after="160" w:line="280" w:lineRule="auto"/>
        <w:numPr>
          <w:ilvl w:val="0"/>
          <w:numId w:val="11"/>
        </w:numPr>
      </w:pPr>
      <w:r>
        <w:rPr>
          <w:rFonts w:ascii="Calibri" w:hAnsi="Calibri"/>
          <w:color w:val="17324D"/>
          <w:sz w:val="22"/>
        </w:rPr>
        <w:t>The shared Enterprise MCP Gateway and its MCP endpoint.</w:t>
      </w:r>
    </w:p>
    <w:p>
      <w:pPr>
        <w:spacing w:after="160" w:line="280" w:lineRule="auto"/>
        <w:numPr>
          <w:ilvl w:val="0"/>
          <w:numId w:val="11"/>
        </w:numPr>
      </w:pPr>
      <w:r>
        <w:rPr>
          <w:rFonts w:ascii="Calibri" w:hAnsi="Calibri"/>
          <w:color w:val="17324D"/>
          <w:sz w:val="22"/>
        </w:rPr>
        <w:t>SharePoint as the first enabled MCP server.</w:t>
      </w:r>
    </w:p>
    <w:p>
      <w:pPr>
        <w:spacing w:after="160" w:line="280" w:lineRule="auto"/>
        <w:numPr>
          <w:ilvl w:val="0"/>
          <w:numId w:val="11"/>
        </w:numPr>
      </w:pPr>
      <w:r>
        <w:rPr>
          <w:rFonts w:ascii="Calibri" w:hAnsi="Calibri"/>
          <w:color w:val="17324D"/>
          <w:sz w:val="22"/>
        </w:rPr>
        <w:t>Claude Code/developer access using delegated Entra tokens.</w:t>
      </w:r>
    </w:p>
    <w:p>
      <w:pPr>
        <w:spacing w:after="160" w:line="280" w:lineRule="auto"/>
        <w:numPr>
          <w:ilvl w:val="0"/>
          <w:numId w:val="11"/>
        </w:numPr>
      </w:pPr>
      <w:r>
        <w:rPr>
          <w:rFonts w:ascii="Calibri" w:hAnsi="Calibri"/>
          <w:color w:val="17324D"/>
          <w:sz w:val="22"/>
        </w:rPr>
        <w:t>Optional access for an approved AI agent or AI application running in AWS using an app-only Entra token.</w:t>
      </w:r>
    </w:p>
    <w:p>
      <w:pPr>
        <w:spacing w:after="160" w:line="280" w:lineRule="auto"/>
        <w:numPr>
          <w:ilvl w:val="0"/>
          <w:numId w:val="11"/>
        </w:numPr>
      </w:pPr>
      <w:r>
        <w:rPr>
          <w:rFonts w:ascii="Calibri" w:hAnsi="Calibri"/>
          <w:color w:val="17324D"/>
          <w:sz w:val="22"/>
        </w:rPr>
        <w:t>AgentCore Gateway, Policy, Identity inbound JWT validation and Runtime.</w:t>
      </w:r>
    </w:p>
    <w:p>
      <w:pPr>
        <w:spacing w:after="160" w:line="280" w:lineRule="auto"/>
        <w:numPr>
          <w:ilvl w:val="0"/>
          <w:numId w:val="11"/>
        </w:numPr>
      </w:pPr>
      <w:r>
        <w:rPr>
          <w:rFonts w:ascii="Calibri" w:hAnsi="Calibri"/>
          <w:color w:val="17324D"/>
          <w:sz w:val="22"/>
        </w:rPr>
        <w:t>AWS IAM, VPC connectivity, PrivateLink, logging and observability.</w:t>
      </w:r>
    </w:p>
    <w:p>
      <w:pPr>
        <w:spacing w:after="160" w:line="280" w:lineRule="auto"/>
        <w:numPr>
          <w:ilvl w:val="0"/>
          <w:numId w:val="11"/>
        </w:numPr>
      </w:pPr>
      <w:r>
        <w:rPr>
          <w:rFonts w:ascii="Calibri" w:hAnsi="Calibri"/>
          <w:color w:val="17324D"/>
          <w:sz w:val="22"/>
        </w:rPr>
        <w:t>Microsoft Graph access to explicitly approved SharePoint sites and paths.</w:t>
      </w:r>
    </w:p>
    <w:p>
      <w:pPr>
        <w:spacing w:after="160" w:line="280" w:lineRule="auto"/>
        <w:numPr>
          <w:ilvl w:val="0"/>
          <w:numId w:val="11"/>
        </w:numPr>
      </w:pPr>
      <w:r>
        <w:rPr>
          <w:rFonts w:ascii="Calibri" w:hAnsi="Calibri"/>
          <w:color w:val="17324D"/>
          <w:sz w:val="22"/>
        </w:rPr>
        <w:t>Read and controlled write tool contracts.</w:t>
      </w:r>
    </w:p>
    <w:p>
      <w:pPr>
        <w:spacing w:after="160" w:line="280" w:lineRule="auto"/>
        <w:numPr>
          <w:ilvl w:val="0"/>
          <w:numId w:val="11"/>
        </w:numPr>
      </w:pPr>
      <w:r>
        <w:rPr>
          <w:rFonts w:ascii="Calibri" w:hAnsi="Calibri"/>
          <w:color w:val="17324D"/>
          <w:sz w:val="22"/>
        </w:rPr>
        <w:t>Policy-as-code, Azure DevOps validation and Terraform Enterprise deployment ownership.</w:t>
      </w:r>
    </w:p>
    <w:p>
      <w:pPr>
        <w:spacing w:after="160" w:line="280" w:lineRule="auto"/>
        <w:numPr>
          <w:ilvl w:val="0"/>
          <w:numId w:val="11"/>
        </w:numPr>
      </w:pPr>
      <w:r>
        <w:rPr>
          <w:rFonts w:ascii="Calibri" w:hAnsi="Calibri"/>
          <w:color w:val="17324D"/>
          <w:sz w:val="22"/>
        </w:rPr>
        <w:t>Threats, controls, residual risks, migration, rollback and approval gates.</w:t>
      </w:r>
    </w:p>
    <w:p>
      <w:pPr>
        <w:pStyle w:val="Heading2"/>
      </w:pPr>
      <w:r>
        <w:t>3.2 Out of scope</w:t>
      </w:r>
    </w:p>
    <w:p>
      <w:pPr>
        <w:spacing w:after="160" w:line="280" w:lineRule="auto"/>
        <w:numPr>
          <w:ilvl w:val="0"/>
          <w:numId w:val="12"/>
        </w:numPr>
      </w:pPr>
      <w:r>
        <w:rPr>
          <w:rFonts w:ascii="Calibri" w:hAnsi="Calibri"/>
          <w:color w:val="17324D"/>
          <w:sz w:val="22"/>
        </w:rPr>
        <w:t>Enabling CRM or internal-software tools.</w:t>
      </w:r>
    </w:p>
    <w:p>
      <w:pPr>
        <w:spacing w:after="160" w:line="280" w:lineRule="auto"/>
        <w:numPr>
          <w:ilvl w:val="0"/>
          <w:numId w:val="12"/>
        </w:numPr>
      </w:pPr>
      <w:r>
        <w:rPr>
          <w:rFonts w:ascii="Calibri" w:hAnsi="Calibri"/>
          <w:color w:val="17324D"/>
          <w:sz w:val="22"/>
        </w:rPr>
        <w:t>Tenant-wide SharePoint search or unrestricted file access.</w:t>
      </w:r>
    </w:p>
    <w:p>
      <w:pPr>
        <w:spacing w:after="160" w:line="280" w:lineRule="auto"/>
        <w:numPr>
          <w:ilvl w:val="0"/>
          <w:numId w:val="12"/>
        </w:numPr>
      </w:pPr>
      <w:r>
        <w:rPr>
          <w:rFonts w:ascii="Calibri" w:hAnsi="Calibri"/>
          <w:color w:val="17324D"/>
          <w:sz w:val="22"/>
        </w:rPr>
        <w:t>A custom MCP router, AWS API Gateway, CloudFront or a CDN-backed vanity domain.</w:t>
      </w:r>
    </w:p>
    <w:p>
      <w:pPr>
        <w:spacing w:after="160" w:line="280" w:lineRule="auto"/>
        <w:numPr>
          <w:ilvl w:val="0"/>
          <w:numId w:val="12"/>
        </w:numPr>
      </w:pPr>
      <w:r>
        <w:rPr>
          <w:rFonts w:ascii="Calibri" w:hAnsi="Calibri"/>
          <w:color w:val="17324D"/>
          <w:sz w:val="22"/>
        </w:rPr>
        <w:t>AgentCore Memory, Browser, Code Interpreter or other AgentCore capabilities not required by the first slice.</w:t>
      </w:r>
    </w:p>
    <w:p>
      <w:pPr>
        <w:spacing w:after="160" w:line="280" w:lineRule="auto"/>
        <w:numPr>
          <w:ilvl w:val="0"/>
          <w:numId w:val="12"/>
        </w:numPr>
      </w:pPr>
      <w:r>
        <w:rPr>
          <w:rFonts w:ascii="Calibri" w:hAnsi="Calibri"/>
          <w:color w:val="17324D"/>
          <w:sz w:val="22"/>
        </w:rPr>
        <w:t>User-delegated Microsoft Graph access and on-behalf-of token exchange. These require a separate design and privacy review.</w:t>
      </w:r>
    </w:p>
    <w:p>
      <w:pPr>
        <w:spacing w:after="160" w:line="280" w:lineRule="auto"/>
        <w:numPr>
          <w:ilvl w:val="0"/>
          <w:numId w:val="12"/>
        </w:numPr>
      </w:pPr>
      <w:r>
        <w:rPr>
          <w:rFonts w:ascii="Calibri" w:hAnsi="Calibri"/>
          <w:color w:val="17324D"/>
          <w:sz w:val="22"/>
        </w:rPr>
        <w:t>A centrally owned MCP base image. It remains an optional later hardening measure.</w:t>
      </w:r>
    </w:p>
    <w:p>
      <w:pPr>
        <w:spacing w:after="160" w:line="280" w:lineRule="auto"/>
        <w:numPr>
          <w:ilvl w:val="0"/>
          <w:numId w:val="12"/>
        </w:numPr>
      </w:pPr>
      <w:r>
        <w:rPr>
          <w:rFonts w:ascii="Calibri" w:hAnsi="Calibri"/>
          <w:color w:val="17324D"/>
          <w:sz w:val="22"/>
        </w:rPr>
        <w:t>The central ECR platform and central Terraform Enterprise administration implementation.</w:t>
      </w:r>
    </w:p>
    <w:p>
      <w:pPr>
        <w:pStyle w:val="Heading1"/>
      </w:pPr>
      <w:r>
        <w:t>4. Architecture principles and constraints</w:t>
      </w:r>
    </w:p>
    <w:p>
      <w:pPr>
        <w:spacing w:after="160" w:line="280" w:lineRule="auto"/>
        <w:numPr>
          <w:ilvl w:val="0"/>
          <w:numId w:val="13"/>
        </w:numPr>
      </w:pPr>
      <w:r>
        <w:rPr>
          <w:rFonts w:ascii="Calibri" w:hAnsi="Calibri"/>
          <w:b/>
          <w:color w:val="17324D"/>
          <w:sz w:val="22"/>
        </w:rPr>
        <w:t>One governed entry point.</w:t>
      </w:r>
      <w:r>
        <w:rPr>
          <w:rFonts w:ascii="Calibri" w:hAnsi="Calibri"/>
          <w:color w:val="17324D"/>
          <w:sz w:val="22"/>
        </w:rPr>
        <w:t xml:space="preserve"> Clients connect to one AgentCore Gateway URL rather than directly to individual MCP servers.</w:t>
      </w:r>
    </w:p>
    <w:p>
      <w:pPr>
        <w:spacing w:after="160" w:line="280" w:lineRule="auto"/>
        <w:numPr>
          <w:ilvl w:val="0"/>
          <w:numId w:val="13"/>
        </w:numPr>
      </w:pPr>
      <w:r>
        <w:rPr>
          <w:rFonts w:ascii="Calibri" w:hAnsi="Calibri"/>
          <w:b/>
          <w:color w:val="17324D"/>
          <w:sz w:val="22"/>
        </w:rPr>
        <w:t>Separate server boundaries.</w:t>
      </w:r>
      <w:r>
        <w:rPr>
          <w:rFonts w:ascii="Calibri" w:hAnsi="Calibri"/>
          <w:color w:val="17324D"/>
          <w:sz w:val="22"/>
        </w:rPr>
        <w:t xml:space="preserve"> Each downstream system has a separate Runtime, image, target, policy and owner.</w:t>
      </w:r>
    </w:p>
    <w:p>
      <w:pPr>
        <w:spacing w:after="160" w:line="280" w:lineRule="auto"/>
        <w:numPr>
          <w:ilvl w:val="0"/>
          <w:numId w:val="13"/>
        </w:numPr>
      </w:pPr>
      <w:r>
        <w:rPr>
          <w:rFonts w:ascii="Calibri" w:hAnsi="Calibri"/>
          <w:b/>
          <w:color w:val="17324D"/>
          <w:sz w:val="22"/>
        </w:rPr>
        <w:t>Identity separation.</w:t>
      </w:r>
      <w:r>
        <w:rPr>
          <w:rFonts w:ascii="Calibri" w:hAnsi="Calibri"/>
          <w:color w:val="17324D"/>
          <w:sz w:val="22"/>
        </w:rPr>
        <w:t xml:space="preserve"> Entra identifies the MCP caller; AWS IAM authorizes AWS service actions; a separate downstream credential authorizes Microsoft Graph.</w:t>
      </w:r>
    </w:p>
    <w:p>
      <w:pPr>
        <w:spacing w:after="160" w:line="280" w:lineRule="auto"/>
        <w:numPr>
          <w:ilvl w:val="0"/>
          <w:numId w:val="13"/>
        </w:numPr>
      </w:pPr>
      <w:r>
        <w:rPr>
          <w:rFonts w:ascii="Calibri" w:hAnsi="Calibri"/>
          <w:b/>
          <w:color w:val="17324D"/>
          <w:sz w:val="22"/>
        </w:rPr>
        <w:t>Deny by default.</w:t>
      </w:r>
      <w:r>
        <w:rPr>
          <w:rFonts w:ascii="Calibri" w:hAnsi="Calibri"/>
          <w:color w:val="17324D"/>
          <w:sz w:val="22"/>
        </w:rPr>
        <w:t xml:space="preserve"> Callers, clients, tools, sites, paths and write operations require explicit allow rules.</w:t>
      </w:r>
    </w:p>
    <w:p>
      <w:pPr>
        <w:spacing w:after="160" w:line="280" w:lineRule="auto"/>
        <w:numPr>
          <w:ilvl w:val="0"/>
          <w:numId w:val="13"/>
        </w:numPr>
      </w:pPr>
      <w:r>
        <w:rPr>
          <w:rFonts w:ascii="Calibri" w:hAnsi="Calibri"/>
          <w:b/>
          <w:color w:val="17324D"/>
          <w:sz w:val="22"/>
        </w:rPr>
        <w:t>Narrow tools.</w:t>
      </w:r>
      <w:r>
        <w:rPr>
          <w:rFonts w:ascii="Calibri" w:hAnsi="Calibri"/>
          <w:color w:val="17324D"/>
          <w:sz w:val="22"/>
        </w:rPr>
        <w:t xml:space="preserve"> Tools express approved business operations, not generic transport or code execution.</w:t>
      </w:r>
    </w:p>
    <w:p>
      <w:pPr>
        <w:spacing w:after="160" w:line="280" w:lineRule="auto"/>
        <w:numPr>
          <w:ilvl w:val="0"/>
          <w:numId w:val="13"/>
        </w:numPr>
      </w:pPr>
      <w:r>
        <w:rPr>
          <w:rFonts w:ascii="Calibri" w:hAnsi="Calibri"/>
          <w:b/>
          <w:color w:val="17324D"/>
          <w:sz w:val="22"/>
        </w:rPr>
        <w:t>Controls outside the model.</w:t>
      </w:r>
      <w:r>
        <w:rPr>
          <w:rFonts w:ascii="Calibri" w:hAnsi="Calibri"/>
          <w:color w:val="17324D"/>
          <w:sz w:val="22"/>
        </w:rPr>
        <w:t xml:space="preserve"> Deterministic policy and runtime validation, not model instructions, enforce access.</w:t>
      </w:r>
    </w:p>
    <w:p>
      <w:pPr>
        <w:spacing w:after="160" w:line="280" w:lineRule="auto"/>
        <w:numPr>
          <w:ilvl w:val="0"/>
          <w:numId w:val="13"/>
        </w:numPr>
      </w:pPr>
      <w:r>
        <w:rPr>
          <w:rFonts w:ascii="Calibri" w:hAnsi="Calibri"/>
          <w:b/>
          <w:color w:val="17324D"/>
          <w:sz w:val="22"/>
        </w:rPr>
        <w:t>No direct Runtime bypass.</w:t>
      </w:r>
      <w:r>
        <w:rPr>
          <w:rFonts w:ascii="Calibri" w:hAnsi="Calibri"/>
          <w:color w:val="17324D"/>
          <w:sz w:val="22"/>
        </w:rPr>
        <w:t xml:space="preserve"> Runtime resource policy permits invocation only by the Gateway role.</w:t>
      </w:r>
    </w:p>
    <w:p>
      <w:pPr>
        <w:spacing w:after="160" w:line="280" w:lineRule="auto"/>
        <w:numPr>
          <w:ilvl w:val="0"/>
          <w:numId w:val="13"/>
        </w:numPr>
      </w:pPr>
      <w:r>
        <w:rPr>
          <w:rFonts w:ascii="Calibri" w:hAnsi="Calibri"/>
          <w:b/>
          <w:color w:val="17324D"/>
          <w:sz w:val="22"/>
        </w:rPr>
        <w:t>Private where supported.</w:t>
      </w:r>
      <w:r>
        <w:rPr>
          <w:rFonts w:ascii="Calibri" w:hAnsi="Calibri"/>
          <w:color w:val="17324D"/>
          <w:sz w:val="22"/>
        </w:rPr>
        <w:t xml:space="preserve"> VPC callers use the AgentCore Gateway interface endpoint and private DNS; network location supplements but does not replace identity.</w:t>
      </w:r>
    </w:p>
    <w:p>
      <w:pPr>
        <w:spacing w:after="160" w:line="280" w:lineRule="auto"/>
        <w:numPr>
          <w:ilvl w:val="0"/>
          <w:numId w:val="13"/>
        </w:numPr>
      </w:pPr>
      <w:r>
        <w:rPr>
          <w:rFonts w:ascii="Calibri" w:hAnsi="Calibri"/>
          <w:b/>
          <w:color w:val="17324D"/>
          <w:sz w:val="22"/>
        </w:rPr>
        <w:t>No secrets or sensitive content in logs.</w:t>
      </w:r>
      <w:r>
        <w:rPr>
          <w:rFonts w:ascii="Calibri" w:hAnsi="Calibri"/>
          <w:color w:val="17324D"/>
          <w:sz w:val="22"/>
        </w:rPr>
        <w:t xml:space="preserve"> Audit metadata is recorded without bearer tokens, credentials or full documents.</w:t>
      </w:r>
    </w:p>
    <w:p>
      <w:pPr>
        <w:spacing w:after="160" w:line="280" w:lineRule="auto"/>
        <w:numPr>
          <w:ilvl w:val="0"/>
          <w:numId w:val="13"/>
        </w:numPr>
      </w:pPr>
      <w:r>
        <w:rPr>
          <w:rFonts w:ascii="Calibri" w:hAnsi="Calibri"/>
          <w:b/>
          <w:color w:val="17324D"/>
          <w:sz w:val="22"/>
        </w:rPr>
        <w:t>Promotion by evidence.</w:t>
      </w:r>
      <w:r>
        <w:rPr>
          <w:rFonts w:ascii="Calibri" w:hAnsi="Calibri"/>
          <w:color w:val="17324D"/>
          <w:sz w:val="22"/>
        </w:rPr>
        <w:t xml:space="preserve"> Non-production validation evidence is required before production approval.</w:t>
      </w:r>
    </w:p>
    <w:p>
      <w:pPr>
        <w:pStyle w:val="Heading1"/>
      </w:pPr>
      <w:r>
        <w:t>5. Current state and maturity</w:t>
      </w:r>
    </w:p>
    <w:p>
      <w:r>
        <w:rPr>
          <w:rFonts w:ascii="Calibri" w:hAnsi="Calibri"/>
          <w:color w:val="17324D"/>
          <w:sz w:val="22"/>
        </w:rPr>
        <w:t>The repository is a planning and proof-of-concept workspace. The following maturity terms are used throughout this document:</w:t>
      </w:r>
    </w:p>
    <w:p>
      <w:pPr>
        <w:spacing w:after="160" w:line="280" w:lineRule="auto"/>
        <w:numPr>
          <w:ilvl w:val="0"/>
          <w:numId w:val="14"/>
        </w:numPr>
      </w:pPr>
      <w:r>
        <w:rPr>
          <w:rFonts w:ascii="Calibri" w:hAnsi="Calibri"/>
          <w:b/>
          <w:color w:val="17324D"/>
          <w:sz w:val="22"/>
        </w:rPr>
        <w:t>Decided:</w:t>
      </w:r>
      <w:r>
        <w:rPr>
          <w:rFonts w:ascii="Calibri" w:hAnsi="Calibri"/>
          <w:color w:val="17324D"/>
          <w:sz w:val="22"/>
        </w:rPr>
        <w:t xml:space="preserve"> captured in an accepted or PoC-validation ADR.</w:t>
      </w:r>
    </w:p>
    <w:p>
      <w:pPr>
        <w:spacing w:after="160" w:line="280" w:lineRule="auto"/>
        <w:numPr>
          <w:ilvl w:val="0"/>
          <w:numId w:val="14"/>
        </w:numPr>
      </w:pPr>
      <w:r>
        <w:rPr>
          <w:rFonts w:ascii="Calibri" w:hAnsi="Calibri"/>
          <w:b/>
          <w:color w:val="17324D"/>
          <w:sz w:val="22"/>
        </w:rPr>
        <w:t>Example implemented:</w:t>
      </w:r>
      <w:r>
        <w:rPr>
          <w:rFonts w:ascii="Calibri" w:hAnsi="Calibri"/>
          <w:color w:val="17324D"/>
          <w:sz w:val="22"/>
        </w:rPr>
        <w:t xml:space="preserve"> representative code or Terraform exists but has not necessarily run in the target environment.</w:t>
      </w:r>
    </w:p>
    <w:p>
      <w:pPr>
        <w:spacing w:after="160" w:line="280" w:lineRule="auto"/>
        <w:numPr>
          <w:ilvl w:val="0"/>
          <w:numId w:val="14"/>
        </w:numPr>
      </w:pPr>
      <w:r>
        <w:rPr>
          <w:rFonts w:ascii="Calibri" w:hAnsi="Calibri"/>
          <w:b/>
          <w:color w:val="17324D"/>
          <w:sz w:val="22"/>
        </w:rPr>
        <w:t>Validation required:</w:t>
      </w:r>
      <w:r>
        <w:rPr>
          <w:rFonts w:ascii="Calibri" w:hAnsi="Calibri"/>
          <w:color w:val="17324D"/>
          <w:sz w:val="22"/>
        </w:rPr>
        <w:t xml:space="preserve"> behaviour must be demonstrated with evidence before production.</w:t>
      </w:r>
    </w:p>
    <w:p>
      <w:pPr>
        <w:spacing w:after="160" w:line="280" w:lineRule="auto"/>
        <w:numPr>
          <w:ilvl w:val="0"/>
          <w:numId w:val="14"/>
        </w:numPr>
      </w:pPr>
      <w:r>
        <w:rPr>
          <w:rFonts w:ascii="Calibri" w:hAnsi="Calibri"/>
          <w:b/>
          <w:color w:val="17324D"/>
          <w:sz w:val="22"/>
        </w:rPr>
        <w:t>Future:</w:t>
      </w:r>
      <w:r>
        <w:rPr>
          <w:rFonts w:ascii="Calibri" w:hAnsi="Calibri"/>
          <w:color w:val="17324D"/>
          <w:sz w:val="22"/>
        </w:rPr>
        <w:t xml:space="preserve"> not approved or enabled in the first slice.</w:t>
      </w:r>
    </w:p>
    <w:p>
      <w:pPr>
        <w:pStyle w:val="Heading2"/>
      </w:pPr>
      <w:r>
        <w:t>5.1 Current maturity assessment</w:t>
      </w:r>
    </w:p>
    <w:tbl>
      <w:tblPr>
        <w:tblStyle w:val="TableGrid"/>
        <w:tblW w:type="dxa" w:w="9360"/>
        <w:tblLayout w:type="fixed"/>
        <w:tblLook w:firstColumn="1" w:firstRow="1" w:lastColumn="0" w:lastRow="0" w:noHBand="0" w:noVBand="1" w:val="04A0"/>
        <w:tblInd w:w="120" w:type="dxa"/>
        <w:tblLayout w:type="fixed"/>
        <w:tblInd w:w="120" w:type="dxa"/>
        <w:tblLayout w:type="fixed"/>
      </w:tblPr>
      <w:tblGrid>
        <w:gridCol w:w="2200"/>
        <w:gridCol w:w="3300"/>
        <w:gridCol w:w="3860"/>
      </w:tblGrid>
      <w:tr>
        <w:trPr>
          <w:cantSplit/>
          <w:tblHeader w:val="true"/>
        </w:trPr>
        <w:tc>
          <w:tcPr>
            <w:tcW w:type="dxa" w:w="2200"/>
            <w:vAlign w:val="center"/>
            <w:tcMar>
              <w:top w:w="80" w:type="dxa"/>
              <w:start w:w="120" w:type="dxa"/>
              <w:bottom w:w="80" w:type="dxa"/>
              <w:end w:w="120" w:type="dxa"/>
            </w:tcMar>
            <w:shd w:fill="F2F4F7"/>
          </w:tcPr>
          <w:p>
            <w:pPr>
              <w:spacing w:after="0"/>
              <w:jc w:val="center"/>
            </w:pPr>
            <w:r>
              <w:rPr>
                <w:rFonts w:ascii="Calibri" w:hAnsi="Calibri"/>
                <w:b/>
                <w:color w:val="17324D"/>
                <w:sz w:val="19"/>
              </w:rPr>
              <w:t>Area</w:t>
            </w:r>
          </w:p>
        </w:tc>
        <w:tc>
          <w:tcPr>
            <w:tcW w:type="dxa" w:w="3300"/>
            <w:vAlign w:val="center"/>
            <w:tcMar>
              <w:top w:w="80" w:type="dxa"/>
              <w:start w:w="120" w:type="dxa"/>
              <w:bottom w:w="80" w:type="dxa"/>
              <w:end w:w="120" w:type="dxa"/>
            </w:tcMar>
            <w:shd w:fill="F2F4F7"/>
          </w:tcPr>
          <w:p>
            <w:pPr>
              <w:spacing w:after="0"/>
              <w:jc w:val="center"/>
            </w:pPr>
            <w:r>
              <w:rPr>
                <w:rFonts w:ascii="Calibri" w:hAnsi="Calibri"/>
                <w:b/>
                <w:color w:val="17324D"/>
                <w:sz w:val="19"/>
              </w:rPr>
              <w:t>State</w:t>
            </w:r>
          </w:p>
        </w:tc>
        <w:tc>
          <w:tcPr>
            <w:tcW w:type="dxa" w:w="3860"/>
            <w:vAlign w:val="center"/>
            <w:tcMar>
              <w:top w:w="80" w:type="dxa"/>
              <w:start w:w="120" w:type="dxa"/>
              <w:bottom w:w="80" w:type="dxa"/>
              <w:end w:w="120" w:type="dxa"/>
            </w:tcMar>
            <w:shd w:fill="F2F4F7"/>
          </w:tcPr>
          <w:p>
            <w:pPr>
              <w:spacing w:after="0"/>
              <w:jc w:val="left"/>
            </w:pPr>
            <w:r>
              <w:rPr>
                <w:rFonts w:ascii="Calibri" w:hAnsi="Calibri"/>
                <w:b/>
                <w:color w:val="17324D"/>
                <w:sz w:val="19"/>
              </w:rPr>
              <w:t>Evidence or gap</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Shared Gateway and separate Runtime architecture</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Decided; example implemented</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Terraform creates one Gateway, one Runtime per enabled server and one target per Runtime. Real target behaviour is not yet validated.</w:t>
            </w:r>
          </w:p>
        </w:tc>
      </w:tr>
      <w:tr>
        <w:trPr>
          <w:cantSplit/>
        </w:trPr>
        <w:tc>
          <w:tcPr>
            <w:tcW w:type="dxa" w:w="2200"/>
            <w:vAlign w:val="center"/>
            <w:tcMar>
              <w:top w:w="80" w:type="dxa"/>
              <w:start w:w="120" w:type="dxa"/>
              <w:bottom w:w="80" w:type="dxa"/>
              <w:end w:w="120" w:type="dxa"/>
            </w:tcMar>
          </w:tcPr>
          <w:p>
            <w:pPr>
              <w:spacing w:after="0" w:line="252" w:lineRule="auto"/>
              <w:jc w:val="center"/>
            </w:pPr>
            <w:r>
              <w:rPr>
                <w:rFonts w:ascii="Calibri" w:hAnsi="Calibri"/>
                <w:color w:val="17324D"/>
                <w:sz w:val="18"/>
              </w:rPr>
              <w:t>Inbound Entra JWT</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Decided; example implemented</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 xml:space="preserve">Gateway </w:t>
            </w:r>
            <w:r>
              <w:rPr>
                <w:rFonts w:ascii="Courier New" w:hAnsi="Courier New"/>
                <w:color w:val="1F4D78"/>
                <w:sz w:val="17"/>
                <w:shd w:fill="EAF2F8"/>
              </w:rPr>
              <w:t>CUSTOM_JWT</w:t>
            </w:r>
            <w:r>
              <w:rPr>
                <w:rFonts w:ascii="Calibri" w:hAnsi="Calibri"/>
                <w:color w:val="17324D"/>
                <w:sz w:val="18"/>
              </w:rPr>
              <w:t xml:space="preserve"> configuration and Entra Terraform exist. Enterprise-tenant deployment and token flows remain unvalidated.</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AgentCore Identity</w:t>
            </w:r>
          </w:p>
        </w:tc>
        <w:tc>
          <w:tcPr>
            <w:tcW w:type="dxa" w:w="3300"/>
            <w:vAlign w:val="center"/>
            <w:tcMar>
              <w:top w:w="80" w:type="dxa"/>
              <w:start w:w="120" w:type="dxa"/>
              <w:bottom w:w="80" w:type="dxa"/>
              <w:end w:w="120" w:type="dxa"/>
            </w:tcMar>
          </w:tcPr>
          <w:p>
            <w:pPr>
              <w:spacing w:after="0" w:line="252" w:lineRule="auto"/>
              <w:jc w:val="center"/>
            </w:pPr>
            <w:r>
              <w:rPr>
                <w:rFonts w:ascii="Calibri" w:hAnsi="Calibri"/>
                <w:color w:val="17324D"/>
                <w:sz w:val="18"/>
              </w:rPr>
              <w:t>Clarified</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Managed inbound JWT validation is used through Gateway. No outbound credential provider or token-vault workflow is proposed. Service-managed workload identities may be created automatically but are not granted credential-vending permissions.</w:t>
            </w:r>
          </w:p>
        </w:tc>
      </w:tr>
      <w:tr>
        <w:trPr>
          <w:cantSplit/>
        </w:trPr>
        <w:tc>
          <w:tcPr>
            <w:tcW w:type="dxa" w:w="2200"/>
            <w:vAlign w:val="center"/>
            <w:tcMar>
              <w:top w:w="80" w:type="dxa"/>
              <w:start w:w="120" w:type="dxa"/>
              <w:bottom w:w="80" w:type="dxa"/>
              <w:end w:w="120" w:type="dxa"/>
            </w:tcMar>
          </w:tcPr>
          <w:p>
            <w:pPr>
              <w:spacing w:after="0" w:line="252" w:lineRule="auto"/>
              <w:jc w:val="center"/>
            </w:pPr>
            <w:r>
              <w:rPr>
                <w:rFonts w:ascii="Calibri" w:hAnsi="Calibri"/>
                <w:color w:val="17324D"/>
                <w:sz w:val="18"/>
              </w:rPr>
              <w:t>Gateway policy</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Example implemented</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 xml:space="preserve">Policy engine exists and defaults to </w:t>
            </w:r>
            <w:r>
              <w:rPr>
                <w:rFonts w:ascii="Courier New" w:hAnsi="Courier New"/>
                <w:color w:val="1F4D78"/>
                <w:sz w:val="17"/>
                <w:shd w:fill="EAF2F8"/>
              </w:rPr>
              <w:t>LOG_ONLY</w:t>
            </w:r>
            <w:r>
              <w:rPr>
                <w:rFonts w:ascii="Calibri" w:hAnsi="Calibri"/>
                <w:color w:val="17324D"/>
                <w:sz w:val="18"/>
              </w:rPr>
              <w:t xml:space="preserve">. Cedar generation and </w:t>
            </w:r>
            <w:r>
              <w:rPr>
                <w:rFonts w:ascii="Courier New" w:hAnsi="Courier New"/>
                <w:color w:val="1F4D78"/>
                <w:sz w:val="17"/>
                <w:shd w:fill="EAF2F8"/>
              </w:rPr>
              <w:t>ENFORCE</w:t>
            </w:r>
            <w:r>
              <w:rPr>
                <w:rFonts w:ascii="Calibri" w:hAnsi="Calibri"/>
                <w:color w:val="17324D"/>
                <w:sz w:val="18"/>
              </w:rPr>
              <w:t xml:space="preserve"> behaviour remain open.</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Runtime authorization</w:t>
            </w:r>
          </w:p>
        </w:tc>
        <w:tc>
          <w:tcPr>
            <w:tcW w:type="dxa" w:w="3300"/>
            <w:vAlign w:val="center"/>
            <w:tcMar>
              <w:top w:w="80" w:type="dxa"/>
              <w:start w:w="120" w:type="dxa"/>
              <w:bottom w:w="80" w:type="dxa"/>
              <w:end w:w="120" w:type="dxa"/>
            </w:tcMar>
          </w:tcPr>
          <w:p>
            <w:pPr>
              <w:spacing w:after="0" w:line="252" w:lineRule="auto"/>
              <w:jc w:val="center"/>
            </w:pPr>
            <w:r>
              <w:rPr>
                <w:rFonts w:ascii="Calibri" w:hAnsi="Calibri"/>
                <w:color w:val="17324D"/>
                <w:sz w:val="18"/>
              </w:rPr>
              <w:t>Partial example</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Policy code supports client, role, group, scope, site and path rules. Per-request trusted claims are not yet wired from Gateway headers into FastMCP request context.</w:t>
            </w:r>
          </w:p>
        </w:tc>
      </w:tr>
      <w:tr>
        <w:trPr>
          <w:cantSplit/>
        </w:trPr>
        <w:tc>
          <w:tcPr>
            <w:tcW w:type="dxa" w:w="2200"/>
            <w:vAlign w:val="center"/>
            <w:tcMar>
              <w:top w:w="80" w:type="dxa"/>
              <w:start w:w="120" w:type="dxa"/>
              <w:bottom w:w="80" w:type="dxa"/>
              <w:end w:w="120" w:type="dxa"/>
            </w:tcMar>
          </w:tcPr>
          <w:p>
            <w:pPr>
              <w:spacing w:after="0" w:line="252" w:lineRule="auto"/>
              <w:jc w:val="center"/>
            </w:pPr>
            <w:r>
              <w:rPr>
                <w:rFonts w:ascii="Calibri" w:hAnsi="Calibri"/>
                <w:color w:val="17324D"/>
                <w:sz w:val="18"/>
              </w:rPr>
              <w:t>SharePoint tools</w:t>
            </w:r>
          </w:p>
        </w:tc>
        <w:tc>
          <w:tcPr>
            <w:tcW w:type="dxa" w:w="3300"/>
            <w:vAlign w:val="center"/>
            <w:tcMar>
              <w:top w:w="80" w:type="dxa"/>
              <w:start w:w="120" w:type="dxa"/>
              <w:bottom w:w="80" w:type="dxa"/>
              <w:end w:w="120" w:type="dxa"/>
            </w:tcMar>
          </w:tcPr>
          <w:p>
            <w:pPr>
              <w:spacing w:after="0" w:line="252" w:lineRule="auto"/>
              <w:jc w:val="center"/>
            </w:pPr>
            <w:r>
              <w:rPr>
                <w:rFonts w:ascii="Calibri" w:hAnsi="Calibri"/>
                <w:color w:val="17324D"/>
                <w:sz w:val="18"/>
              </w:rPr>
              <w:t>Dry-run example</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Four narrow tools exist. Real Graph calls, text extraction, selected permissions, throttling and error handling are not implemented.</w:t>
            </w:r>
          </w:p>
        </w:tc>
      </w:tr>
      <w:tr>
        <w:trPr>
          <w:cantSplit/>
        </w:trPr>
        <w:tc>
          <w:tcPr>
            <w:tcW w:type="dxa" w:w="2200"/>
            <w:vAlign w:val="center"/>
            <w:tcMar>
              <w:top w:w="80" w:type="dxa"/>
              <w:start w:w="120" w:type="dxa"/>
              <w:bottom w:w="80" w:type="dxa"/>
              <w:end w:w="120" w:type="dxa"/>
            </w:tcMar>
          </w:tcPr>
          <w:p>
            <w:pPr>
              <w:spacing w:after="0" w:line="252" w:lineRule="auto"/>
              <w:jc w:val="center"/>
            </w:pPr>
            <w:r>
              <w:rPr>
                <w:rFonts w:ascii="Calibri" w:hAnsi="Calibri"/>
                <w:color w:val="17324D"/>
                <w:sz w:val="18"/>
              </w:rPr>
              <w:t>Write safety</w:t>
            </w:r>
          </w:p>
        </w:tc>
        <w:tc>
          <w:tcPr>
            <w:tcW w:type="dxa" w:w="3300"/>
            <w:vAlign w:val="center"/>
            <w:tcMar>
              <w:top w:w="80" w:type="dxa"/>
              <w:start w:w="120" w:type="dxa"/>
              <w:bottom w:w="80" w:type="dxa"/>
              <w:end w:w="120" w:type="dxa"/>
            </w:tcMar>
          </w:tcPr>
          <w:p>
            <w:pPr>
              <w:spacing w:after="0" w:line="252" w:lineRule="auto"/>
              <w:jc w:val="center"/>
            </w:pPr>
            <w:r>
              <w:rPr>
                <w:rFonts w:ascii="Calibri" w:hAnsi="Calibri"/>
                <w:color w:val="17324D"/>
                <w:sz w:val="18"/>
              </w:rPr>
              <w:t>Contract only</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Change ticket, idempotency key and ETag inputs exist. Persistent idempotency and real conditional writes are not implemented.</w:t>
            </w:r>
          </w:p>
        </w:tc>
      </w:tr>
      <w:tr>
        <w:trPr>
          <w:cantSplit/>
        </w:trPr>
        <w:tc>
          <w:tcPr>
            <w:tcW w:type="dxa" w:w="2200"/>
            <w:vAlign w:val="center"/>
            <w:tcMar>
              <w:top w:w="80" w:type="dxa"/>
              <w:start w:w="120" w:type="dxa"/>
              <w:bottom w:w="80" w:type="dxa"/>
              <w:end w:w="120" w:type="dxa"/>
            </w:tcMar>
          </w:tcPr>
          <w:p>
            <w:pPr>
              <w:spacing w:after="0" w:line="252" w:lineRule="auto"/>
              <w:jc w:val="center"/>
            </w:pPr>
            <w:r>
              <w:rPr>
                <w:rFonts w:ascii="Calibri" w:hAnsi="Calibri"/>
                <w:color w:val="17324D"/>
                <w:sz w:val="18"/>
              </w:rPr>
              <w:t>Private access</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Example implemented</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Interface endpoint Terraform exists. DNS, endpoint policy and developer/AWS workload routing require target-account testing.</w:t>
            </w:r>
          </w:p>
        </w:tc>
      </w:tr>
      <w:tr>
        <w:trPr>
          <w:cantSplit/>
        </w:trPr>
        <w:tc>
          <w:tcPr>
            <w:tcW w:type="dxa" w:w="2200"/>
            <w:vAlign w:val="center"/>
            <w:tcMar>
              <w:top w:w="80" w:type="dxa"/>
              <w:start w:w="120" w:type="dxa"/>
              <w:bottom w:w="80" w:type="dxa"/>
              <w:end w:w="120" w:type="dxa"/>
            </w:tcMar>
          </w:tcPr>
          <w:p>
            <w:pPr>
              <w:spacing w:after="0" w:line="252" w:lineRule="auto"/>
              <w:jc w:val="center"/>
            </w:pPr>
            <w:r>
              <w:rPr>
                <w:rFonts w:ascii="Calibri" w:hAnsi="Calibri"/>
                <w:color w:val="17324D"/>
                <w:sz w:val="18"/>
              </w:rPr>
              <w:t>Observability</w:t>
            </w:r>
          </w:p>
        </w:tc>
        <w:tc>
          <w:tcPr>
            <w:tcW w:type="dxa" w:w="3300"/>
            <w:vAlign w:val="center"/>
            <w:tcMar>
              <w:top w:w="80" w:type="dxa"/>
              <w:start w:w="120" w:type="dxa"/>
              <w:bottom w:w="80" w:type="dxa"/>
              <w:end w:w="120" w:type="dxa"/>
            </w:tcMar>
          </w:tcPr>
          <w:p>
            <w:pPr>
              <w:spacing w:after="0" w:line="252" w:lineRule="auto"/>
              <w:jc w:val="center"/>
            </w:pPr>
            <w:r>
              <w:rPr>
                <w:rFonts w:ascii="Calibri" w:hAnsi="Calibri"/>
                <w:color w:val="17324D"/>
                <w:sz w:val="18"/>
              </w:rPr>
              <w:t>Partial example</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Runtime permissions and structured audit events exist. Gateway log destinations, retention, SIEM integration, alarms and sensitive-data verification remain open.</w:t>
            </w:r>
          </w:p>
        </w:tc>
      </w:tr>
      <w:tr>
        <w:trPr>
          <w:cantSplit/>
        </w:trPr>
        <w:tc>
          <w:tcPr>
            <w:tcW w:type="dxa" w:w="2200"/>
            <w:vAlign w:val="center"/>
            <w:tcMar>
              <w:top w:w="80" w:type="dxa"/>
              <w:start w:w="120" w:type="dxa"/>
              <w:bottom w:w="80" w:type="dxa"/>
              <w:end w:w="120" w:type="dxa"/>
            </w:tcMar>
          </w:tcPr>
          <w:p>
            <w:pPr>
              <w:spacing w:after="0" w:line="252" w:lineRule="auto"/>
              <w:jc w:val="center"/>
            </w:pPr>
            <w:r>
              <w:rPr>
                <w:rFonts w:ascii="Calibri" w:hAnsi="Calibri"/>
                <w:color w:val="17324D"/>
                <w:sz w:val="18"/>
              </w:rPr>
              <w:t>CI/CD</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Example implemented</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Azure DevOps pipeline examples and policy branch-gate design exist. Real agents, variable groups, signing, SBOM, environments and approvals are not configured.</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Production configuration</w:t>
            </w:r>
          </w:p>
        </w:tc>
        <w:tc>
          <w:tcPr>
            <w:tcW w:type="dxa" w:w="3300"/>
            <w:vAlign w:val="center"/>
            <w:tcMar>
              <w:top w:w="80" w:type="dxa"/>
              <w:start w:w="120" w:type="dxa"/>
              <w:bottom w:w="80" w:type="dxa"/>
              <w:end w:w="120" w:type="dxa"/>
            </w:tcMar>
          </w:tcPr>
          <w:p>
            <w:pPr>
              <w:spacing w:after="0" w:line="252" w:lineRule="auto"/>
              <w:jc w:val="center"/>
            </w:pPr>
            <w:r>
              <w:rPr>
                <w:rFonts w:ascii="Calibri" w:hAnsi="Calibri"/>
                <w:color w:val="17324D"/>
                <w:sz w:val="18"/>
              </w:rPr>
              <w:t>Placeholder</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Non-production and production tfvars contain placeholder IDs, subnets, security groups and image URIs. Provider versions are not yet pinned.</w:t>
            </w:r>
          </w:p>
        </w:tc>
      </w:tr>
    </w:tbl>
    <w:p>
      <w:pPr>
        <w:spacing w:after="40"/>
      </w:pPr>
    </w:p>
    <w:p>
      <w:pPr>
        <w:pStyle w:val="Heading1"/>
      </w:pPr>
      <w:r>
        <w:t>6. Target architecture</w:t>
      </w:r>
    </w:p>
    <w:p>
      <w:pPr>
        <w:spacing w:after="40"/>
        <w:jc w:val="center"/>
      </w:pPr>
      <w:r>
        <w:drawing>
          <wp:inline xmlns:a="http://schemas.openxmlformats.org/drawingml/2006/main" xmlns:pic="http://schemas.openxmlformats.org/drawingml/2006/picture">
            <wp:extent cx="5257800" cy="6940296"/>
            <wp:docPr id="1" name="Picture 1" title="Target architecture and trust boundaries" descr="Target architecture and trust boundaries"/>
            <wp:cNvGraphicFramePr>
              <a:graphicFrameLocks noChangeAspect="1"/>
            </wp:cNvGraphicFramePr>
            <a:graphic>
              <a:graphicData uri="http://schemas.openxmlformats.org/drawingml/2006/picture">
                <pic:pic>
                  <pic:nvPicPr>
                    <pic:cNvPr id="0" name="enterprise-mcp-platform-target-architecture.png"/>
                    <pic:cNvPicPr/>
                  </pic:nvPicPr>
                  <pic:blipFill>
                    <a:blip r:embed="rId11"/>
                    <a:stretch>
                      <a:fillRect/>
                    </a:stretch>
                  </pic:blipFill>
                  <pic:spPr>
                    <a:xfrm>
                      <a:off x="0" y="0"/>
                      <a:ext cx="5257800" cy="6940296"/>
                    </a:xfrm>
                    <a:prstGeom prst="rect"/>
                  </pic:spPr>
                </pic:pic>
              </a:graphicData>
            </a:graphic>
          </wp:inline>
        </w:drawing>
      </w:r>
    </w:p>
    <w:p>
      <w:r>
        <w:rPr>
          <w:rFonts w:ascii="Calibri" w:hAnsi="Calibri"/>
          <w:b/>
          <w:color w:val="17324D"/>
          <w:sz w:val="22"/>
        </w:rPr>
        <w:t>Figure 1 - Target architecture and trust boundaries.</w:t>
      </w:r>
      <w:r>
        <w:rPr>
          <w:rFonts w:ascii="Calibri" w:hAnsi="Calibri"/>
          <w:color w:val="17324D"/>
          <w:sz w:val="22"/>
        </w:rPr>
        <w:t xml:space="preserve"> Editable source: </w:t>
      </w:r>
      <w:r>
        <w:rPr>
          <w:rFonts w:ascii="Courier New" w:hAnsi="Courier New"/>
          <w:color w:val="1F4D78"/>
          <w:sz w:val="20"/>
          <w:shd w:fill="EAF2F8"/>
        </w:rPr>
        <w:t>enterprise-mcp-platform-review.drawio</w:t>
      </w:r>
      <w:r>
        <w:rPr>
          <w:rFonts w:ascii="Calibri" w:hAnsi="Calibri"/>
          <w:color w:val="17324D"/>
          <w:sz w:val="22"/>
        </w:rPr>
        <w:t>, page “Target Architecture”.</w:t>
      </w:r>
    </w:p>
    <w:p>
      <w:pPr>
        <w:pStyle w:val="Heading2"/>
      </w:pPr>
      <w:r>
        <w:t>6.1 Logical components</w:t>
      </w:r>
    </w:p>
    <w:tbl>
      <w:tblPr>
        <w:tblStyle w:val="TableGrid"/>
        <w:tblW w:type="dxa" w:w="9360"/>
        <w:tblLayout w:type="fixed"/>
        <w:tblLook w:firstColumn="1" w:firstRow="1" w:lastColumn="0" w:lastRow="0" w:noHBand="0" w:noVBand="1" w:val="04A0"/>
        <w:tblInd w:w="120" w:type="dxa"/>
        <w:tblLayout w:type="fixed"/>
        <w:tblInd w:w="120" w:type="dxa"/>
        <w:tblLayout w:type="fixed"/>
      </w:tblPr>
      <w:tblGrid>
        <w:gridCol w:w="2200"/>
        <w:gridCol w:w="3300"/>
        <w:gridCol w:w="3860"/>
      </w:tblGrid>
      <w:tr>
        <w:trPr>
          <w:cantSplit/>
          <w:tblHeader w:val="true"/>
        </w:trPr>
        <w:tc>
          <w:tcPr>
            <w:tcW w:type="dxa" w:w="2200"/>
            <w:vAlign w:val="center"/>
            <w:tcMar>
              <w:top w:w="80" w:type="dxa"/>
              <w:start w:w="120" w:type="dxa"/>
              <w:bottom w:w="80" w:type="dxa"/>
              <w:end w:w="120" w:type="dxa"/>
            </w:tcMar>
            <w:shd w:fill="F2F4F7"/>
          </w:tcPr>
          <w:p>
            <w:pPr>
              <w:spacing w:after="0"/>
              <w:jc w:val="center"/>
            </w:pPr>
            <w:r>
              <w:rPr>
                <w:rFonts w:ascii="Calibri" w:hAnsi="Calibri"/>
                <w:b/>
                <w:color w:val="17324D"/>
                <w:sz w:val="19"/>
              </w:rPr>
              <w:t>Component</w:t>
            </w:r>
          </w:p>
        </w:tc>
        <w:tc>
          <w:tcPr>
            <w:tcW w:type="dxa" w:w="3300"/>
            <w:vAlign w:val="center"/>
            <w:tcMar>
              <w:top w:w="80" w:type="dxa"/>
              <w:start w:w="120" w:type="dxa"/>
              <w:bottom w:w="80" w:type="dxa"/>
              <w:end w:w="120" w:type="dxa"/>
            </w:tcMar>
            <w:shd w:fill="F2F4F7"/>
          </w:tcPr>
          <w:p>
            <w:pPr>
              <w:spacing w:after="0"/>
              <w:jc w:val="left"/>
            </w:pPr>
            <w:r>
              <w:rPr>
                <w:rFonts w:ascii="Calibri" w:hAnsi="Calibri"/>
                <w:b/>
                <w:color w:val="17324D"/>
                <w:sz w:val="19"/>
              </w:rPr>
              <w:t>Responsibility</w:t>
            </w:r>
          </w:p>
        </w:tc>
        <w:tc>
          <w:tcPr>
            <w:tcW w:type="dxa" w:w="3860"/>
            <w:vAlign w:val="center"/>
            <w:tcMar>
              <w:top w:w="80" w:type="dxa"/>
              <w:start w:w="120" w:type="dxa"/>
              <w:bottom w:w="80" w:type="dxa"/>
              <w:end w:w="120" w:type="dxa"/>
            </w:tcMar>
            <w:shd w:fill="F2F4F7"/>
          </w:tcPr>
          <w:p>
            <w:pPr>
              <w:spacing w:after="0"/>
              <w:jc w:val="left"/>
            </w:pPr>
            <w:r>
              <w:rPr>
                <w:rFonts w:ascii="Calibri" w:hAnsi="Calibri"/>
                <w:b/>
                <w:color w:val="17324D"/>
                <w:sz w:val="19"/>
              </w:rPr>
              <w:t>Security boundary</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Claude Code / approved developer client</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Obtains a delegated Entra token and invokes approved MCP operations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User, managed device and approved token-helper controls</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AI agent or AI application running in AWS</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Optionally obtains an app-only Entra token for governed SharePoint reads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AWS workload IAM role plus separate Entra service principal</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Microsoft Entra ID</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Issues environment-specific Enterprise MCP API tokens and manages client, scope, role and group assignments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Enterprise identity control plane</w:t>
            </w:r>
          </w:p>
        </w:tc>
      </w:tr>
      <w:tr>
        <w:trPr>
          <w:cantSplit/>
        </w:trPr>
        <w:tc>
          <w:tcPr>
            <w:tcW w:type="dxa" w:w="2200"/>
            <w:vAlign w:val="center"/>
            <w:tcMar>
              <w:top w:w="80" w:type="dxa"/>
              <w:start w:w="120" w:type="dxa"/>
              <w:bottom w:w="80" w:type="dxa"/>
              <w:end w:w="120" w:type="dxa"/>
            </w:tcMar>
          </w:tcPr>
          <w:p>
            <w:pPr>
              <w:spacing w:after="0" w:line="252" w:lineRule="auto"/>
              <w:jc w:val="center"/>
            </w:pPr>
            <w:r>
              <w:rPr>
                <w:rFonts w:ascii="Calibri" w:hAnsi="Calibri"/>
                <w:color w:val="17324D"/>
                <w:sz w:val="18"/>
              </w:rPr>
              <w:t>AgentCore Gateway</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Terminates MCP, validates JWTs, applies policy, supports semantic tool discovery and routes to targets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Primary external authorization boundary</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AgentCore Identity inbound authorizer</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Uses OIDC discovery metadata and configured claims to validate bearer tokens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Managed token-validation capability used by Gateway</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Gateway Policy Engine</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Deterministically allows or denies tool actions using caller context and inputs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Tool authorization boundary outside model/runtime code</w:t>
            </w:r>
          </w:p>
        </w:tc>
      </w:tr>
      <w:tr>
        <w:trPr>
          <w:cantSplit/>
        </w:trPr>
        <w:tc>
          <w:tcPr>
            <w:tcW w:type="dxa" w:w="2200"/>
            <w:vAlign w:val="center"/>
            <w:tcMar>
              <w:top w:w="80" w:type="dxa"/>
              <w:start w:w="120" w:type="dxa"/>
              <w:bottom w:w="80" w:type="dxa"/>
              <w:end w:w="120" w:type="dxa"/>
            </w:tcMar>
          </w:tcPr>
          <w:p>
            <w:pPr>
              <w:spacing w:after="0" w:line="252" w:lineRule="auto"/>
              <w:jc w:val="center"/>
            </w:pPr>
            <w:r>
              <w:rPr>
                <w:rFonts w:ascii="Calibri" w:hAnsi="Calibri"/>
                <w:color w:val="17324D"/>
                <w:sz w:val="18"/>
              </w:rPr>
              <w:t>Gateway IAM role</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Signs calls to enabled Runtime targets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AWS service-to-service authorization</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SharePoint Runtime</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Hosts only SharePoint MCP tools and validates tool/resource inputs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Downstream-system service boundary</w:t>
            </w:r>
          </w:p>
        </w:tc>
      </w:tr>
      <w:tr>
        <w:trPr>
          <w:cantSplit/>
        </w:trPr>
        <w:tc>
          <w:tcPr>
            <w:tcW w:type="dxa" w:w="2200"/>
            <w:vAlign w:val="center"/>
            <w:tcMar>
              <w:top w:w="80" w:type="dxa"/>
              <w:start w:w="120" w:type="dxa"/>
              <w:bottom w:w="80" w:type="dxa"/>
              <w:end w:w="120" w:type="dxa"/>
            </w:tcMar>
          </w:tcPr>
          <w:p>
            <w:pPr>
              <w:spacing w:after="0" w:line="252" w:lineRule="auto"/>
              <w:jc w:val="center"/>
            </w:pPr>
            <w:r>
              <w:rPr>
                <w:rFonts w:ascii="Calibri" w:hAnsi="Calibri"/>
                <w:color w:val="17324D"/>
                <w:sz w:val="18"/>
              </w:rPr>
              <w:t>Runtime IAM role</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Pulls the approved image, emits telemetry and accesses approved AWS-side secrets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Least-privilege AWS workload role</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Microsoft Graph credential</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Obtains a Graph token independently from the inbound caller token</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Downstream application identity</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Microsoft Graph / SharePoint</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Enforces selected site permissions and SharePoint resource controls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Microsoft 365 data boundary</w:t>
            </w:r>
          </w:p>
        </w:tc>
      </w:tr>
      <w:tr>
        <w:trPr>
          <w:cantSplit/>
        </w:trPr>
        <w:tc>
          <w:tcPr>
            <w:tcW w:type="dxa" w:w="2200"/>
            <w:vAlign w:val="center"/>
            <w:tcMar>
              <w:top w:w="80" w:type="dxa"/>
              <w:start w:w="120" w:type="dxa"/>
              <w:bottom w:w="80" w:type="dxa"/>
              <w:end w:w="120" w:type="dxa"/>
            </w:tcMar>
          </w:tcPr>
          <w:p>
            <w:pPr>
              <w:spacing w:after="0" w:line="252" w:lineRule="auto"/>
              <w:jc w:val="center"/>
            </w:pPr>
            <w:r>
              <w:rPr>
                <w:rFonts w:ascii="Calibri" w:hAnsi="Calibri"/>
                <w:color w:val="17324D"/>
                <w:sz w:val="18"/>
              </w:rPr>
              <w:t>Central ECR</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Stores final immutable service images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Software supply-chain boundary</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Azure DevOps and TFE</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Validate source/policy/images and apply identity/infrastructure changes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Change-control and deployment boundary</w:t>
            </w:r>
          </w:p>
        </w:tc>
      </w:tr>
    </w:tbl>
    <w:p>
      <w:pPr>
        <w:spacing w:after="40"/>
      </w:pPr>
    </w:p>
    <w:p>
      <w:pPr>
        <w:pStyle w:val="Heading2"/>
      </w:pPr>
      <w:r>
        <w:t>6.2 Deployment shape</w:t>
      </w:r>
    </w:p>
    <w:p>
      <w:pPr>
        <w:spacing w:after="160" w:line="280" w:lineRule="auto"/>
        <w:numPr>
          <w:ilvl w:val="0"/>
          <w:numId w:val="15"/>
        </w:numPr>
      </w:pPr>
      <w:r>
        <w:rPr>
          <w:rFonts w:ascii="Calibri" w:hAnsi="Calibri"/>
          <w:color w:val="17324D"/>
          <w:sz w:val="22"/>
        </w:rPr>
        <w:t>One Gateway per environment.</w:t>
      </w:r>
    </w:p>
    <w:p>
      <w:pPr>
        <w:spacing w:after="160" w:line="280" w:lineRule="auto"/>
        <w:numPr>
          <w:ilvl w:val="0"/>
          <w:numId w:val="15"/>
        </w:numPr>
      </w:pPr>
      <w:r>
        <w:rPr>
          <w:rFonts w:ascii="Calibri" w:hAnsi="Calibri"/>
          <w:color w:val="17324D"/>
          <w:sz w:val="22"/>
        </w:rPr>
        <w:t>One environment-specific Entra Enterprise MCP API audience.</w:t>
      </w:r>
    </w:p>
    <w:p>
      <w:pPr>
        <w:spacing w:after="160" w:line="280" w:lineRule="auto"/>
        <w:numPr>
          <w:ilvl w:val="0"/>
          <w:numId w:val="15"/>
        </w:numPr>
      </w:pPr>
      <w:r>
        <w:rPr>
          <w:rFonts w:ascii="Calibri" w:hAnsi="Calibri"/>
          <w:color w:val="17324D"/>
          <w:sz w:val="22"/>
        </w:rPr>
        <w:t>Separate allowed client lists for non-production and production.</w:t>
      </w:r>
    </w:p>
    <w:p>
      <w:pPr>
        <w:spacing w:after="160" w:line="280" w:lineRule="auto"/>
        <w:numPr>
          <w:ilvl w:val="0"/>
          <w:numId w:val="15"/>
        </w:numPr>
      </w:pPr>
      <w:r>
        <w:rPr>
          <w:rFonts w:ascii="Calibri" w:hAnsi="Calibri"/>
          <w:color w:val="17324D"/>
          <w:sz w:val="22"/>
        </w:rPr>
        <w:t>One Runtime and Gateway target per enabled MCP server.</w:t>
      </w:r>
    </w:p>
    <w:p>
      <w:pPr>
        <w:spacing w:after="160" w:line="280" w:lineRule="auto"/>
        <w:numPr>
          <w:ilvl w:val="0"/>
          <w:numId w:val="15"/>
        </w:numPr>
      </w:pPr>
      <w:r>
        <w:rPr>
          <w:rFonts w:ascii="Calibri" w:hAnsi="Calibri"/>
          <w:color w:val="17324D"/>
          <w:sz w:val="22"/>
        </w:rPr>
        <w:t>SharePoint enabled first; CRM and internal software disabled.</w:t>
      </w:r>
    </w:p>
    <w:p>
      <w:pPr>
        <w:spacing w:after="160" w:line="280" w:lineRule="auto"/>
        <w:numPr>
          <w:ilvl w:val="0"/>
          <w:numId w:val="15"/>
        </w:numPr>
      </w:pPr>
      <w:r>
        <w:rPr>
          <w:rFonts w:ascii="Calibri" w:hAnsi="Calibri"/>
          <w:color w:val="17324D"/>
          <w:sz w:val="22"/>
        </w:rPr>
        <w:t>One shared Terraform root instantiated through separate non-production and production state.</w:t>
      </w:r>
    </w:p>
    <w:p>
      <w:pPr>
        <w:spacing w:after="160" w:line="280" w:lineRule="auto"/>
        <w:numPr>
          <w:ilvl w:val="0"/>
          <w:numId w:val="15"/>
        </w:numPr>
      </w:pPr>
      <w:r>
        <w:rPr>
          <w:rFonts w:ascii="Calibri" w:hAnsi="Calibri"/>
          <w:color w:val="17324D"/>
          <w:sz w:val="22"/>
        </w:rPr>
        <w:t>Final service image URI passed to Runtime; no Runtime deploys a base-image URI.</w:t>
      </w:r>
    </w:p>
    <w:p>
      <w:pPr>
        <w:spacing w:after="160" w:line="280" w:lineRule="auto"/>
        <w:numPr>
          <w:ilvl w:val="0"/>
          <w:numId w:val="15"/>
        </w:numPr>
      </w:pPr>
      <w:r>
        <w:rPr>
          <w:rFonts w:ascii="Calibri" w:hAnsi="Calibri"/>
          <w:color w:val="17324D"/>
          <w:sz w:val="22"/>
        </w:rPr>
        <w:t xml:space="preserve">Gateway policy remains </w:t>
      </w:r>
      <w:r>
        <w:rPr>
          <w:rFonts w:ascii="Courier New" w:hAnsi="Courier New"/>
          <w:color w:val="1F4D78"/>
          <w:sz w:val="20"/>
          <w:shd w:fill="EAF2F8"/>
        </w:rPr>
        <w:t>LOG_ONLY</w:t>
      </w:r>
      <w:r>
        <w:rPr>
          <w:rFonts w:ascii="Calibri" w:hAnsi="Calibri"/>
          <w:color w:val="17324D"/>
          <w:sz w:val="22"/>
        </w:rPr>
        <w:t xml:space="preserve"> only during controlled validation and must be </w:t>
      </w:r>
      <w:r>
        <w:rPr>
          <w:rFonts w:ascii="Courier New" w:hAnsi="Courier New"/>
          <w:color w:val="1F4D78"/>
          <w:sz w:val="20"/>
          <w:shd w:fill="EAF2F8"/>
        </w:rPr>
        <w:t>ENFORCE</w:t>
      </w:r>
      <w:r>
        <w:rPr>
          <w:rFonts w:ascii="Calibri" w:hAnsi="Calibri"/>
          <w:color w:val="17324D"/>
          <w:sz w:val="22"/>
        </w:rPr>
        <w:t xml:space="preserve"> before production use.</w:t>
      </w:r>
    </w:p>
    <w:p>
      <w:pPr>
        <w:pStyle w:val="Heading1"/>
      </w:pPr>
      <w:r>
        <w:t>7. Identity and authorization model</w:t>
      </w:r>
    </w:p>
    <w:p>
      <w:pPr>
        <w:spacing w:after="40"/>
        <w:jc w:val="center"/>
      </w:pPr>
      <w:r>
        <w:drawing>
          <wp:inline xmlns:a="http://schemas.openxmlformats.org/drawingml/2006/main" xmlns:pic="http://schemas.openxmlformats.org/drawingml/2006/picture">
            <wp:extent cx="5394960" cy="7121347"/>
            <wp:docPr id="2" name="Picture 2" title="Identity and data flow" descr="Identity and data flow"/>
            <wp:cNvGraphicFramePr>
              <a:graphicFrameLocks noChangeAspect="1"/>
            </wp:cNvGraphicFramePr>
            <a:graphic>
              <a:graphicData uri="http://schemas.openxmlformats.org/drawingml/2006/picture">
                <pic:pic>
                  <pic:nvPicPr>
                    <pic:cNvPr id="0" name="enterprise-mcp-platform-identity-flow.png"/>
                    <pic:cNvPicPr/>
                  </pic:nvPicPr>
                  <pic:blipFill>
                    <a:blip r:embed="rId12"/>
                    <a:stretch>
                      <a:fillRect/>
                    </a:stretch>
                  </pic:blipFill>
                  <pic:spPr>
                    <a:xfrm>
                      <a:off x="0" y="0"/>
                      <a:ext cx="5394960" cy="7121347"/>
                    </a:xfrm>
                    <a:prstGeom prst="rect"/>
                  </pic:spPr>
                </pic:pic>
              </a:graphicData>
            </a:graphic>
          </wp:inline>
        </w:drawing>
      </w:r>
    </w:p>
    <w:p>
      <w:r>
        <w:rPr>
          <w:rFonts w:ascii="Calibri" w:hAnsi="Calibri"/>
          <w:b/>
          <w:color w:val="17324D"/>
          <w:sz w:val="22"/>
        </w:rPr>
        <w:t>Figure 2 - Identity, authorization and data flow.</w:t>
      </w:r>
      <w:r>
        <w:rPr>
          <w:rFonts w:ascii="Calibri" w:hAnsi="Calibri"/>
          <w:color w:val="17324D"/>
          <w:sz w:val="22"/>
        </w:rPr>
        <w:t xml:space="preserve"> Editable source: </w:t>
      </w:r>
      <w:r>
        <w:rPr>
          <w:rFonts w:ascii="Courier New" w:hAnsi="Courier New"/>
          <w:color w:val="1F4D78"/>
          <w:sz w:val="20"/>
          <w:shd w:fill="EAF2F8"/>
        </w:rPr>
        <w:t>enterprise-mcp-platform-review.drawio</w:t>
      </w:r>
      <w:r>
        <w:rPr>
          <w:rFonts w:ascii="Calibri" w:hAnsi="Calibri"/>
          <w:color w:val="17324D"/>
          <w:sz w:val="22"/>
        </w:rPr>
        <w:t>, page “Identity and Data Flow”.</w:t>
      </w:r>
    </w:p>
    <w:p>
      <w:pPr>
        <w:pStyle w:val="Heading2"/>
      </w:pPr>
      <w:r>
        <w:t>7.1 Human caller flow</w:t>
      </w:r>
    </w:p>
    <w:p>
      <w:pPr>
        <w:spacing w:after="160" w:line="280" w:lineRule="auto"/>
        <w:numPr>
          <w:ilvl w:val="0"/>
          <w:numId w:val="16"/>
        </w:numPr>
      </w:pPr>
      <w:r>
        <w:rPr>
          <w:rFonts w:ascii="Calibri" w:hAnsi="Calibri"/>
          <w:color w:val="17324D"/>
          <w:sz w:val="22"/>
        </w:rPr>
        <w:t>An approved developer uses an approved token helper on a managed device.</w:t>
      </w:r>
    </w:p>
    <w:p>
      <w:pPr>
        <w:spacing w:after="160" w:line="280" w:lineRule="auto"/>
        <w:numPr>
          <w:ilvl w:val="0"/>
          <w:numId w:val="16"/>
        </w:numPr>
      </w:pPr>
      <w:r>
        <w:rPr>
          <w:rFonts w:ascii="Calibri" w:hAnsi="Calibri"/>
          <w:color w:val="17324D"/>
          <w:sz w:val="22"/>
        </w:rPr>
        <w:t xml:space="preserve">The helper requests a delegated token for the environment-specific Enterprise MCP API and </w:t>
      </w:r>
      <w:r>
        <w:rPr>
          <w:rFonts w:ascii="Courier New" w:hAnsi="Courier New"/>
          <w:color w:val="1F4D78"/>
          <w:sz w:val="20"/>
          <w:shd w:fill="EAF2F8"/>
        </w:rPr>
        <w:t>mcp.invoke</w:t>
      </w:r>
      <w:r>
        <w:rPr>
          <w:rFonts w:ascii="Calibri" w:hAnsi="Calibri"/>
          <w:color w:val="17324D"/>
          <w:sz w:val="22"/>
        </w:rPr>
        <w:t xml:space="preserve"> scope.</w:t>
      </w:r>
    </w:p>
    <w:p>
      <w:pPr>
        <w:spacing w:after="160" w:line="280" w:lineRule="auto"/>
        <w:numPr>
          <w:ilvl w:val="0"/>
          <w:numId w:val="16"/>
        </w:numPr>
      </w:pPr>
      <w:r>
        <w:rPr>
          <w:rFonts w:ascii="Calibri" w:hAnsi="Calibri"/>
          <w:color w:val="17324D"/>
          <w:sz w:val="22"/>
        </w:rPr>
        <w:t>Entra applies its normal authentication, assignment and Conditional Access controls.</w:t>
      </w:r>
    </w:p>
    <w:p>
      <w:pPr>
        <w:spacing w:after="160" w:line="280" w:lineRule="auto"/>
        <w:numPr>
          <w:ilvl w:val="0"/>
          <w:numId w:val="16"/>
        </w:numPr>
      </w:pPr>
      <w:r>
        <w:rPr>
          <w:rFonts w:ascii="Calibri" w:hAnsi="Calibri"/>
          <w:color w:val="17324D"/>
          <w:sz w:val="22"/>
        </w:rPr>
        <w:t>Claude Code sends the bearer token to the AWS-managed Gateway MCP URL.</w:t>
      </w:r>
    </w:p>
    <w:p>
      <w:pPr>
        <w:spacing w:after="160" w:line="280" w:lineRule="auto"/>
        <w:numPr>
          <w:ilvl w:val="0"/>
          <w:numId w:val="16"/>
        </w:numPr>
      </w:pPr>
      <w:r>
        <w:rPr>
          <w:rFonts w:ascii="Calibri" w:hAnsi="Calibri"/>
          <w:color w:val="17324D"/>
          <w:sz w:val="22"/>
        </w:rPr>
        <w:t xml:space="preserve">Gateway </w:t>
      </w:r>
      <w:r>
        <w:rPr>
          <w:rFonts w:ascii="Courier New" w:hAnsi="Courier New"/>
          <w:color w:val="1F4D78"/>
          <w:sz w:val="20"/>
          <w:shd w:fill="EAF2F8"/>
        </w:rPr>
        <w:t>CUSTOM_JWT</w:t>
      </w:r>
      <w:r>
        <w:rPr>
          <w:rFonts w:ascii="Calibri" w:hAnsi="Calibri"/>
          <w:color w:val="17324D"/>
          <w:sz w:val="22"/>
        </w:rPr>
        <w:t xml:space="preserve"> validation checks signature, issuer/discovery metadata, audience, allowed client and configured scope or custom claims.</w:t>
      </w:r>
    </w:p>
    <w:p>
      <w:pPr>
        <w:spacing w:after="160" w:line="280" w:lineRule="auto"/>
        <w:numPr>
          <w:ilvl w:val="0"/>
          <w:numId w:val="16"/>
        </w:numPr>
      </w:pPr>
      <w:r>
        <w:rPr>
          <w:rFonts w:ascii="Calibri" w:hAnsi="Calibri"/>
          <w:color w:val="17324D"/>
          <w:sz w:val="22"/>
        </w:rPr>
        <w:t>Gateway policy evaluates the requested MCP action and relevant inputs.</w:t>
      </w:r>
    </w:p>
    <w:p>
      <w:pPr>
        <w:spacing w:after="160" w:line="280" w:lineRule="auto"/>
        <w:numPr>
          <w:ilvl w:val="0"/>
          <w:numId w:val="16"/>
        </w:numPr>
      </w:pPr>
      <w:r>
        <w:rPr>
          <w:rFonts w:ascii="Calibri" w:hAnsi="Calibri"/>
          <w:color w:val="17324D"/>
          <w:sz w:val="22"/>
        </w:rPr>
        <w:t>Gateway uses its IAM role to sign the Runtime invocation.</w:t>
      </w:r>
    </w:p>
    <w:p>
      <w:pPr>
        <w:spacing w:after="160" w:line="280" w:lineRule="auto"/>
        <w:numPr>
          <w:ilvl w:val="0"/>
          <w:numId w:val="16"/>
        </w:numPr>
      </w:pPr>
      <w:r>
        <w:rPr>
          <w:rFonts w:ascii="Calibri" w:hAnsi="Calibri"/>
          <w:color w:val="17324D"/>
          <w:sz w:val="22"/>
        </w:rPr>
        <w:t>Runtime validates the tool schema, site/path constraints and write controls.</w:t>
      </w:r>
    </w:p>
    <w:p>
      <w:pPr>
        <w:spacing w:after="160" w:line="280" w:lineRule="auto"/>
        <w:numPr>
          <w:ilvl w:val="0"/>
          <w:numId w:val="16"/>
        </w:numPr>
      </w:pPr>
      <w:r>
        <w:rPr>
          <w:rFonts w:ascii="Calibri" w:hAnsi="Calibri"/>
          <w:color w:val="17324D"/>
          <w:sz w:val="22"/>
        </w:rPr>
        <w:t>Runtime obtains a separate downstream Graph token and calls only approved SharePoint resources.</w:t>
      </w:r>
    </w:p>
    <w:p>
      <w:pPr>
        <w:spacing w:after="160" w:line="280" w:lineRule="auto"/>
        <w:numPr>
          <w:ilvl w:val="0"/>
          <w:numId w:val="16"/>
        </w:numPr>
      </w:pPr>
      <w:r>
        <w:rPr>
          <w:rFonts w:ascii="Calibri" w:hAnsi="Calibri"/>
          <w:color w:val="17324D"/>
          <w:sz w:val="22"/>
        </w:rPr>
        <w:t>The response returns through Runtime and Gateway. Audit records use correlation identifiers and exclude tokens and full document bodies.</w:t>
      </w:r>
    </w:p>
    <w:p>
      <w:pPr>
        <w:pStyle w:val="Heading2"/>
      </w:pPr>
      <w:r>
        <w:t>7.2 Service caller flow</w:t>
      </w:r>
    </w:p>
    <w:p>
      <w:r>
        <w:rPr>
          <w:rFonts w:ascii="Calibri" w:hAnsi="Calibri"/>
          <w:color w:val="17324D"/>
          <w:sz w:val="22"/>
        </w:rPr>
        <w:t>An approved AI agent or AI application running in AWS uses the same Gateway authorization model but obtains an app-only token through the client-credentials grant and is assigned a read-only application role. Its AWS workload role remains separate and is used for workload execution, logs and approved credential retrieval. The service caller does not obtain write access in the first slice unless separately approved.</w:t>
      </w:r>
    </w:p>
    <w:p>
      <w:pPr>
        <w:pStyle w:val="Heading2"/>
      </w:pPr>
      <w:r>
        <w:t>7.3 AgentCore Identity decision</w:t>
      </w:r>
    </w:p>
    <w:p>
      <w:r>
        <w:rPr>
          <w:rFonts w:ascii="Calibri" w:hAnsi="Calibri"/>
          <w:color w:val="17324D"/>
          <w:sz w:val="22"/>
        </w:rPr>
        <w:t>AgentCore Identity is involved in the current architecture in two limited ways:</w:t>
      </w:r>
    </w:p>
    <w:p>
      <w:pPr>
        <w:spacing w:after="160" w:line="280" w:lineRule="auto"/>
        <w:numPr>
          <w:ilvl w:val="0"/>
          <w:numId w:val="17"/>
        </w:numPr>
      </w:pPr>
      <w:r>
        <w:rPr>
          <w:rFonts w:ascii="Calibri" w:hAnsi="Calibri"/>
          <w:color w:val="17324D"/>
          <w:sz w:val="22"/>
        </w:rPr>
        <w:t xml:space="preserve">AWS documents the Runtime/Gateway inbound </w:t>
      </w:r>
      <w:r>
        <w:rPr>
          <w:rFonts w:ascii="Courier New" w:hAnsi="Courier New"/>
          <w:color w:val="1F4D78"/>
          <w:sz w:val="20"/>
          <w:shd w:fill="EAF2F8"/>
        </w:rPr>
        <w:t>CUSTOM_JWT</w:t>
      </w:r>
      <w:r>
        <w:rPr>
          <w:rFonts w:ascii="Calibri" w:hAnsi="Calibri"/>
          <w:color w:val="17324D"/>
          <w:sz w:val="22"/>
        </w:rPr>
        <w:t xml:space="preserve"> authorizer as an AgentCore Identity capability. It validates externally issued tokens; it does not replace Microsoft Entra ID.</w:t>
      </w:r>
    </w:p>
    <w:p>
      <w:pPr>
        <w:spacing w:after="160" w:line="280" w:lineRule="auto"/>
        <w:numPr>
          <w:ilvl w:val="0"/>
          <w:numId w:val="17"/>
        </w:numPr>
      </w:pPr>
      <w:r>
        <w:rPr>
          <w:rFonts w:ascii="Calibri" w:hAnsi="Calibri"/>
          <w:color w:val="17324D"/>
          <w:sz w:val="22"/>
        </w:rPr>
        <w:t>Runtime and Gateway may create service-managed workload identities automatically. These identities are not a reason to grant outbound credential access.</w:t>
      </w:r>
    </w:p>
    <w:p>
      <w:r>
        <w:rPr>
          <w:rFonts w:ascii="Calibri" w:hAnsi="Calibri"/>
          <w:color w:val="17324D"/>
          <w:sz w:val="22"/>
        </w:rPr>
        <w:t xml:space="preserve">The first slice does </w:t>
      </w:r>
      <w:r>
        <w:rPr>
          <w:rFonts w:ascii="Calibri" w:hAnsi="Calibri"/>
          <w:b/>
          <w:color w:val="17324D"/>
          <w:sz w:val="22"/>
        </w:rPr>
        <w:t>not</w:t>
      </w:r>
      <w:r>
        <w:rPr>
          <w:rFonts w:ascii="Calibri" w:hAnsi="Calibri"/>
          <w:color w:val="17324D"/>
          <w:sz w:val="22"/>
        </w:rPr>
        <w:t xml:space="preserve"> create AgentCore Identity OAuth/API-key credential providers, use its token vault, or grant Runtime workload-token permissions. A later proposal may evaluate outbound brokering if the platform needs user-delegated SaaS access, OAuth refresh-token custody, on-behalf-of exchange or consistent credential vending across multiple third-party systems.</w:t>
      </w:r>
    </w:p>
    <w:p>
      <w:pPr>
        <w:pStyle w:val="Heading2"/>
      </w:pPr>
      <w:r>
        <w:t>7.4 Authorization layers</w:t>
      </w:r>
    </w:p>
    <w:p>
      <w:r>
        <w:rPr>
          <w:rFonts w:ascii="Calibri" w:hAnsi="Calibri"/>
          <w:color w:val="17324D"/>
          <w:sz w:val="22"/>
        </w:rPr>
        <w:t>Authorization is deliberately layered:</w:t>
      </w:r>
    </w:p>
    <w:p>
      <w:pPr>
        <w:spacing w:after="160" w:line="280" w:lineRule="auto"/>
        <w:numPr>
          <w:ilvl w:val="0"/>
          <w:numId w:val="18"/>
        </w:numPr>
      </w:pPr>
      <w:r>
        <w:rPr>
          <w:rFonts w:ascii="Calibri" w:hAnsi="Calibri"/>
          <w:b/>
          <w:color w:val="17324D"/>
          <w:sz w:val="22"/>
        </w:rPr>
        <w:t>Entra assignment:</w:t>
      </w:r>
      <w:r>
        <w:rPr>
          <w:rFonts w:ascii="Calibri" w:hAnsi="Calibri"/>
          <w:color w:val="17324D"/>
          <w:sz w:val="22"/>
        </w:rPr>
        <w:t xml:space="preserve"> who may obtain a token and which scope/app role is present.</w:t>
      </w:r>
    </w:p>
    <w:p>
      <w:pPr>
        <w:spacing w:after="160" w:line="280" w:lineRule="auto"/>
        <w:numPr>
          <w:ilvl w:val="0"/>
          <w:numId w:val="18"/>
        </w:numPr>
      </w:pPr>
      <w:r>
        <w:rPr>
          <w:rFonts w:ascii="Calibri" w:hAnsi="Calibri"/>
          <w:b/>
          <w:color w:val="17324D"/>
          <w:sz w:val="22"/>
        </w:rPr>
        <w:t>Gateway JWT validation:</w:t>
      </w:r>
      <w:r>
        <w:rPr>
          <w:rFonts w:ascii="Calibri" w:hAnsi="Calibri"/>
          <w:color w:val="17324D"/>
          <w:sz w:val="22"/>
        </w:rPr>
        <w:t xml:space="preserve"> whether the token is valid for this environment and client.</w:t>
      </w:r>
    </w:p>
    <w:p>
      <w:pPr>
        <w:spacing w:after="160" w:line="280" w:lineRule="auto"/>
        <w:numPr>
          <w:ilvl w:val="0"/>
          <w:numId w:val="18"/>
        </w:numPr>
      </w:pPr>
      <w:r>
        <w:rPr>
          <w:rFonts w:ascii="Calibri" w:hAnsi="Calibri"/>
          <w:b/>
          <w:color w:val="17324D"/>
          <w:sz w:val="22"/>
        </w:rPr>
        <w:t>Gateway policy:</w:t>
      </w:r>
      <w:r>
        <w:rPr>
          <w:rFonts w:ascii="Calibri" w:hAnsi="Calibri"/>
          <w:color w:val="17324D"/>
          <w:sz w:val="22"/>
        </w:rPr>
        <w:t xml:space="preserve"> whether the caller may discover or invoke the requested tool with the supplied parameters.</w:t>
      </w:r>
    </w:p>
    <w:p>
      <w:pPr>
        <w:spacing w:after="160" w:line="280" w:lineRule="auto"/>
        <w:numPr>
          <w:ilvl w:val="0"/>
          <w:numId w:val="18"/>
        </w:numPr>
      </w:pPr>
      <w:r>
        <w:rPr>
          <w:rFonts w:ascii="Calibri" w:hAnsi="Calibri"/>
          <w:b/>
          <w:color w:val="17324D"/>
          <w:sz w:val="22"/>
        </w:rPr>
        <w:t>Runtime validation:</w:t>
      </w:r>
      <w:r>
        <w:rPr>
          <w:rFonts w:ascii="Calibri" w:hAnsi="Calibri"/>
          <w:color w:val="17324D"/>
          <w:sz w:val="22"/>
        </w:rPr>
        <w:t xml:space="preserve"> whether identifiers, paths, sizes, tickets, idempotency keys and concurrency values are valid.</w:t>
      </w:r>
    </w:p>
    <w:p>
      <w:pPr>
        <w:spacing w:after="160" w:line="280" w:lineRule="auto"/>
        <w:numPr>
          <w:ilvl w:val="0"/>
          <w:numId w:val="18"/>
        </w:numPr>
      </w:pPr>
      <w:r>
        <w:rPr>
          <w:rFonts w:ascii="Calibri" w:hAnsi="Calibri"/>
          <w:b/>
          <w:color w:val="17324D"/>
          <w:sz w:val="22"/>
        </w:rPr>
        <w:t>Graph selected permissions:</w:t>
      </w:r>
      <w:r>
        <w:rPr>
          <w:rFonts w:ascii="Calibri" w:hAnsi="Calibri"/>
          <w:color w:val="17324D"/>
          <w:sz w:val="22"/>
        </w:rPr>
        <w:t xml:space="preserve"> whether the downstream application may access the selected site.</w:t>
      </w:r>
    </w:p>
    <w:p>
      <w:pPr>
        <w:spacing w:after="160" w:line="280" w:lineRule="auto"/>
        <w:numPr>
          <w:ilvl w:val="0"/>
          <w:numId w:val="18"/>
        </w:numPr>
      </w:pPr>
      <w:r>
        <w:rPr>
          <w:rFonts w:ascii="Calibri" w:hAnsi="Calibri"/>
          <w:b/>
          <w:color w:val="17324D"/>
          <w:sz w:val="22"/>
        </w:rPr>
        <w:t>SharePoint controls:</w:t>
      </w:r>
      <w:r>
        <w:rPr>
          <w:rFonts w:ascii="Calibri" w:hAnsi="Calibri"/>
          <w:color w:val="17324D"/>
          <w:sz w:val="22"/>
        </w:rPr>
        <w:t xml:space="preserve"> native permissions, versioning, retention and audit controls.</w:t>
      </w:r>
    </w:p>
    <w:p>
      <w:r>
        <w:rPr>
          <w:rFonts w:ascii="Calibri" w:hAnsi="Calibri"/>
          <w:color w:val="17324D"/>
          <w:sz w:val="22"/>
        </w:rPr>
        <w:t>No single layer is treated as sufficient by itself.</w:t>
      </w:r>
    </w:p>
    <w:p>
      <w:pPr>
        <w:pStyle w:val="Heading2"/>
      </w:pPr>
      <w:r>
        <w:t>7.5 Trusted caller context</w:t>
      </w:r>
    </w:p>
    <w:p>
      <w:r>
        <w:rPr>
          <w:rFonts w:ascii="Calibri" w:hAnsi="Calibri"/>
          <w:color w:val="17324D"/>
          <w:sz w:val="22"/>
        </w:rPr>
        <w:t>If Runtime requires caller-specific policy, it must consume claims derived from the validated Gateway identity context. Client-supplied identity headers and MCP tool arguments are untrusted. A request interceptor may inject sanitized headers, but the production implementation must prove:</w:t>
      </w:r>
    </w:p>
    <w:p>
      <w:pPr>
        <w:spacing w:after="160" w:line="280" w:lineRule="auto"/>
        <w:numPr>
          <w:ilvl w:val="0"/>
          <w:numId w:val="19"/>
        </w:numPr>
      </w:pPr>
      <w:r>
        <w:rPr>
          <w:rFonts w:ascii="Calibri" w:hAnsi="Calibri"/>
          <w:color w:val="17324D"/>
          <w:sz w:val="22"/>
        </w:rPr>
        <w:t>the values originate only from validated claims;</w:t>
      </w:r>
    </w:p>
    <w:p>
      <w:pPr>
        <w:spacing w:after="160" w:line="280" w:lineRule="auto"/>
        <w:numPr>
          <w:ilvl w:val="0"/>
          <w:numId w:val="19"/>
        </w:numPr>
      </w:pPr>
      <w:r>
        <w:rPr>
          <w:rFonts w:ascii="Calibri" w:hAnsi="Calibri"/>
          <w:color w:val="17324D"/>
          <w:sz w:val="22"/>
        </w:rPr>
        <w:t>client-provided values cannot override them;</w:t>
      </w:r>
    </w:p>
    <w:p>
      <w:pPr>
        <w:spacing w:after="160" w:line="280" w:lineRule="auto"/>
        <w:numPr>
          <w:ilvl w:val="0"/>
          <w:numId w:val="19"/>
        </w:numPr>
      </w:pPr>
      <w:r>
        <w:rPr>
          <w:rFonts w:ascii="Calibri" w:hAnsi="Calibri"/>
          <w:color w:val="17324D"/>
          <w:sz w:val="22"/>
        </w:rPr>
        <w:t>only an explicit header allowlist is propagated;</w:t>
      </w:r>
    </w:p>
    <w:p>
      <w:pPr>
        <w:spacing w:after="160" w:line="280" w:lineRule="auto"/>
        <w:numPr>
          <w:ilvl w:val="0"/>
          <w:numId w:val="19"/>
        </w:numPr>
      </w:pPr>
      <w:r>
        <w:rPr>
          <w:rFonts w:ascii="Calibri" w:hAnsi="Calibri"/>
          <w:color w:val="17324D"/>
          <w:sz w:val="22"/>
        </w:rPr>
        <w:t>scopes and roles required by Runtime policy are included;</w:t>
      </w:r>
    </w:p>
    <w:p>
      <w:pPr>
        <w:spacing w:after="160" w:line="280" w:lineRule="auto"/>
        <w:numPr>
          <w:ilvl w:val="0"/>
          <w:numId w:val="19"/>
        </w:numPr>
      </w:pPr>
      <w:r>
        <w:rPr>
          <w:rFonts w:ascii="Calibri" w:hAnsi="Calibri"/>
          <w:color w:val="17324D"/>
          <w:sz w:val="22"/>
        </w:rPr>
        <w:t>the Runtime framework reads the values per request rather than from static environment variables;</w:t>
      </w:r>
    </w:p>
    <w:p>
      <w:pPr>
        <w:spacing w:after="160" w:line="280" w:lineRule="auto"/>
        <w:numPr>
          <w:ilvl w:val="0"/>
          <w:numId w:val="19"/>
        </w:numPr>
      </w:pPr>
      <w:r>
        <w:rPr>
          <w:rFonts w:ascii="Calibri" w:hAnsi="Calibri"/>
          <w:color w:val="17324D"/>
          <w:sz w:val="22"/>
        </w:rPr>
        <w:t>raw bearer tokens are not forwarded or logged.</w:t>
      </w:r>
    </w:p>
    <w:p>
      <w:r>
        <w:rPr>
          <w:rFonts w:ascii="Calibri" w:hAnsi="Calibri"/>
          <w:color w:val="17324D"/>
          <w:sz w:val="22"/>
        </w:rPr>
        <w:t>The current example does not yet complete this mapping and therefore cannot support production Runtime identity decisions as written.</w:t>
      </w:r>
    </w:p>
    <w:p>
      <w:pPr>
        <w:pStyle w:val="Heading1"/>
      </w:pPr>
      <w:r>
        <w:t>8. Network and trust boundaries</w:t>
      </w:r>
    </w:p>
    <w:p>
      <w:pPr>
        <w:pStyle w:val="Heading2"/>
      </w:pPr>
      <w:r>
        <w:t>8.1 Inbound access</w:t>
      </w:r>
    </w:p>
    <w:p>
      <w:r>
        <w:rPr>
          <w:rFonts w:ascii="Calibri" w:hAnsi="Calibri"/>
          <w:color w:val="17324D"/>
          <w:sz w:val="22"/>
        </w:rPr>
        <w:t>The client endpoint is the AWS-managed Gateway URL:</w:t>
      </w:r>
    </w:p>
    <w:tbl>
      <w:tblPr>
        <w:tblW w:type="dxa" w:w="9360"/>
        <w:tblLayout w:type="fixed"/>
        <w:tblLook w:firstColumn="1" w:firstRow="1" w:lastColumn="0" w:lastRow="0" w:noHBand="0" w:noVBand="1" w:val="04A0"/>
        <w:tblInd w:w="120" w:type="dxa"/>
        <w:tblLayout w:type="fixed"/>
      </w:tblPr>
      <w:tblGrid>
        <w:gridCol w:w="9360"/>
      </w:tblGrid>
      <w:tr>
        <w:trPr>
          <w:cantSplit/>
        </w:trPr>
        <w:tc>
          <w:tcPr>
            <w:tcW w:type="dxa" w:w="9360"/>
            <w:vAlign w:val="center"/>
            <w:tcMar>
              <w:top w:w="80" w:type="dxa"/>
              <w:start w:w="120" w:type="dxa"/>
              <w:bottom w:w="80" w:type="dxa"/>
              <w:end w:w="120" w:type="dxa"/>
            </w:tcMar>
            <w:shd w:fill="F6F8FA"/>
          </w:tcPr>
          <w:p>
            <w:pPr>
              <w:spacing w:after="0" w:line="240" w:lineRule="auto"/>
            </w:pPr>
            <w:r>
              <w:rPr>
                <w:rFonts w:ascii="Courier New" w:hAnsi="Courier New"/>
                <w:color w:val="17324D"/>
                <w:sz w:val="17"/>
              </w:rPr>
              <w:t>https://{gateway-id}.gateway.bedrock-agentcore.{region}.amazonaws.com/mcp</w:t>
            </w:r>
          </w:p>
        </w:tc>
      </w:tr>
    </w:tbl>
    <w:p>
      <w:pPr>
        <w:spacing w:after="40"/>
      </w:pPr>
    </w:p>
    <w:p>
      <w:r>
        <w:rPr>
          <w:rFonts w:ascii="Calibri" w:hAnsi="Calibri"/>
          <w:color w:val="17324D"/>
          <w:sz w:val="22"/>
        </w:rPr>
        <w:t xml:space="preserve">Approved VPC clients use the interface endpoint </w:t>
      </w:r>
      <w:r>
        <w:rPr>
          <w:rFonts w:ascii="Courier New" w:hAnsi="Courier New"/>
          <w:color w:val="1F4D78"/>
          <w:sz w:val="20"/>
          <w:shd w:fill="EAF2F8"/>
        </w:rPr>
        <w:t>com.amazonaws.&lt;region&gt;.bedrock-agentcore.gateway</w:t>
      </w:r>
      <w:r>
        <w:rPr>
          <w:rFonts w:ascii="Calibri" w:hAnsi="Calibri"/>
          <w:color w:val="17324D"/>
          <w:sz w:val="22"/>
        </w:rPr>
        <w:t xml:space="preserve"> with private DNS. For OAuth requests through this endpoint, the endpoint policy may require a wildcard principal because VPC endpoint policies evaluate IAM principals rather than OAuth users. Compensating controls are exact Gateway resource scoping, security-group restrictions, routing controls, </w:t>
      </w:r>
      <w:r>
        <w:rPr>
          <w:rFonts w:ascii="Courier New" w:hAnsi="Courier New"/>
          <w:color w:val="1F4D78"/>
          <w:sz w:val="20"/>
          <w:shd w:fill="EAF2F8"/>
        </w:rPr>
        <w:t>CUSTOM_JWT</w:t>
      </w:r>
      <w:r>
        <w:rPr>
          <w:rFonts w:ascii="Calibri" w:hAnsi="Calibri"/>
          <w:color w:val="17324D"/>
          <w:sz w:val="22"/>
        </w:rPr>
        <w:t xml:space="preserve"> validation and Gateway policy.</w:t>
      </w:r>
    </w:p>
    <w:p>
      <w:r>
        <w:rPr>
          <w:rFonts w:ascii="Calibri" w:hAnsi="Calibri"/>
          <w:color w:val="17324D"/>
          <w:sz w:val="22"/>
        </w:rPr>
        <w:t>Corporate workstation routing to PrivateLink must be proven through the enterprise network path. Private connectivity is exposure reduction, not caller authentication.</w:t>
      </w:r>
    </w:p>
    <w:p>
      <w:pPr>
        <w:pStyle w:val="Heading2"/>
      </w:pPr>
      <w:r>
        <w:t>8.2 Gateway-to-Runtime</w:t>
      </w:r>
    </w:p>
    <w:p>
      <w:r>
        <w:rPr>
          <w:rFonts w:ascii="Calibri" w:hAnsi="Calibri"/>
          <w:color w:val="17324D"/>
          <w:sz w:val="22"/>
        </w:rPr>
        <w:t xml:space="preserve">Gateway signs Runtime requests using the Gateway IAM role. The Runtime resource policy allows </w:t>
      </w:r>
      <w:r>
        <w:rPr>
          <w:rFonts w:ascii="Courier New" w:hAnsi="Courier New"/>
          <w:color w:val="1F4D78"/>
          <w:sz w:val="20"/>
          <w:shd w:fill="EAF2F8"/>
        </w:rPr>
        <w:t>InvokeAgentRuntime</w:t>
      </w:r>
      <w:r>
        <w:rPr>
          <w:rFonts w:ascii="Calibri" w:hAnsi="Calibri"/>
          <w:color w:val="17324D"/>
          <w:sz w:val="22"/>
        </w:rPr>
        <w:t xml:space="preserve"> only from that role. Direct client-to-Runtime access is not an approved fallback. Runtime IAM trust is restricted with source-account and source-ARN conditions.</w:t>
      </w:r>
    </w:p>
    <w:p>
      <w:pPr>
        <w:pStyle w:val="Heading2"/>
      </w:pPr>
      <w:r>
        <w:t>8.3 Runtime egress</w:t>
      </w:r>
    </w:p>
    <w:p>
      <w:r>
        <w:rPr>
          <w:rFonts w:ascii="Calibri" w:hAnsi="Calibri"/>
          <w:color w:val="17324D"/>
          <w:sz w:val="22"/>
        </w:rPr>
        <w:t>Runtime operates in VPC mode with private subnets and restricted security groups. Egress should be limited to required AWS endpoints, Microsoft identity endpoints and Microsoft Graph. The final design must document whether Graph egress uses controlled NAT/proxy, firewall and DNS controls, and how certificate inspection or proxy behaviour affects OAuth and Graph traffic.</w:t>
      </w:r>
    </w:p>
    <w:p>
      <w:pPr>
        <w:pStyle w:val="Heading2"/>
      </w:pPr>
      <w:r>
        <w:t>8.4 Domain decision</w:t>
      </w:r>
    </w:p>
    <w:p>
      <w:r>
        <w:rPr>
          <w:rFonts w:ascii="Calibri" w:hAnsi="Calibri"/>
          <w:color w:val="17324D"/>
          <w:sz w:val="22"/>
        </w:rPr>
        <w:t>CloudFront and other CDN-backed custom domains are excluded. Clients use the AWS-managed Gateway hostname. A vanity domain requires a new architecture decision demonstrating supported TLS termination, OAuth discovery behaviour, regional routing and absence of an unapproved global edge layer.</w:t>
      </w:r>
    </w:p>
    <w:p>
      <w:pPr>
        <w:pStyle w:val="Heading1"/>
      </w:pPr>
      <w:r>
        <w:t>9. Tool and data design</w:t>
      </w:r>
    </w:p>
    <w:p>
      <w:pPr>
        <w:pStyle w:val="Heading2"/>
      </w:pPr>
      <w:r>
        <w:t>9.1 Approved first-slice tools</w:t>
      </w:r>
    </w:p>
    <w:tbl>
      <w:tblPr>
        <w:tblStyle w:val="TableGrid"/>
        <w:tblW w:type="dxa" w:w="9360"/>
        <w:tblLayout w:type="fixed"/>
        <w:tblLook w:firstColumn="1" w:firstRow="1" w:lastColumn="0" w:lastRow="0" w:noHBand="0" w:noVBand="1" w:val="04A0"/>
        <w:tblInd w:w="120" w:type="dxa"/>
        <w:tblLayout w:type="fixed"/>
        <w:tblInd w:w="120" w:type="dxa"/>
        <w:tblLayout w:type="fixed"/>
      </w:tblPr>
      <w:tblGrid>
        <w:gridCol w:w="2500"/>
        <w:gridCol w:w="2900"/>
        <w:gridCol w:w="3960"/>
      </w:tblGrid>
      <w:tr>
        <w:trPr>
          <w:cantSplit/>
          <w:tblHeader w:val="true"/>
        </w:trPr>
        <w:tc>
          <w:tcPr>
            <w:tcW w:type="dxa" w:w="2500"/>
            <w:vAlign w:val="center"/>
            <w:tcMar>
              <w:top w:w="80" w:type="dxa"/>
              <w:start w:w="120" w:type="dxa"/>
              <w:bottom w:w="80" w:type="dxa"/>
              <w:end w:w="120" w:type="dxa"/>
            </w:tcMar>
            <w:shd w:fill="F2F4F7"/>
          </w:tcPr>
          <w:p>
            <w:pPr>
              <w:spacing w:after="0"/>
              <w:jc w:val="center"/>
            </w:pPr>
            <w:r>
              <w:rPr>
                <w:rFonts w:ascii="Calibri" w:hAnsi="Calibri"/>
                <w:b/>
                <w:color w:val="17324D"/>
                <w:sz w:val="19"/>
              </w:rPr>
              <w:t>Tool</w:t>
            </w:r>
          </w:p>
        </w:tc>
        <w:tc>
          <w:tcPr>
            <w:tcW w:type="dxa" w:w="2900"/>
            <w:vAlign w:val="center"/>
            <w:tcMar>
              <w:top w:w="80" w:type="dxa"/>
              <w:start w:w="120" w:type="dxa"/>
              <w:bottom w:w="80" w:type="dxa"/>
              <w:end w:w="120" w:type="dxa"/>
            </w:tcMar>
            <w:shd w:fill="F2F4F7"/>
          </w:tcPr>
          <w:p>
            <w:pPr>
              <w:spacing w:after="0"/>
              <w:jc w:val="center"/>
            </w:pPr>
            <w:r>
              <w:rPr>
                <w:rFonts w:ascii="Calibri" w:hAnsi="Calibri"/>
                <w:b/>
                <w:color w:val="17324D"/>
                <w:sz w:val="19"/>
              </w:rPr>
              <w:t>Purpose</w:t>
            </w:r>
          </w:p>
        </w:tc>
        <w:tc>
          <w:tcPr>
            <w:tcW w:type="dxa" w:w="3960"/>
            <w:vAlign w:val="center"/>
            <w:tcMar>
              <w:top w:w="80" w:type="dxa"/>
              <w:start w:w="120" w:type="dxa"/>
              <w:bottom w:w="80" w:type="dxa"/>
              <w:end w:w="120" w:type="dxa"/>
            </w:tcMar>
            <w:shd w:fill="F2F4F7"/>
          </w:tcPr>
          <w:p>
            <w:pPr>
              <w:spacing w:after="0"/>
              <w:jc w:val="left"/>
            </w:pPr>
            <w:r>
              <w:rPr>
                <w:rFonts w:ascii="Calibri" w:hAnsi="Calibri"/>
                <w:b/>
                <w:color w:val="17324D"/>
                <w:sz w:val="19"/>
              </w:rPr>
              <w:t>Default authorization</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sharepoint_list_site_content</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List metadata below an approved site/path</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Approved human and service read callers</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sharepoint_get_file_text</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Read bounded text from one approved file</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Approved human and service read callers</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sharepoint_insert_site_page_content</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Create approved page content</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Publisher role only; disabled until write gate</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sharepoint_update_file_content</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Update one approved file</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Publisher role only; disabled until write gate</w:t>
            </w:r>
          </w:p>
        </w:tc>
      </w:tr>
    </w:tbl>
    <w:p>
      <w:pPr>
        <w:spacing w:after="40"/>
      </w:pPr>
    </w:p>
    <w:p>
      <w:r>
        <w:rPr>
          <w:rFonts w:ascii="Calibri" w:hAnsi="Calibri"/>
          <w:color w:val="17324D"/>
          <w:sz w:val="22"/>
        </w:rPr>
        <w:t>The platform must not expose generic HTTP request, arbitrary URL, shell, SQL, file-system or permission-management tools.</w:t>
      </w:r>
    </w:p>
    <w:p>
      <w:pPr>
        <w:pStyle w:val="Heading2"/>
      </w:pPr>
      <w:r>
        <w:t>9.2 Data classification and handling</w:t>
      </w:r>
    </w:p>
    <w:p>
      <w:r>
        <w:rPr>
          <w:rFonts w:ascii="Calibri" w:hAnsi="Calibri"/>
          <w:color w:val="17324D"/>
          <w:sz w:val="22"/>
        </w:rPr>
        <w:t>SharePoint content may contain internal, personal, security-sensitive or regulated information. The platform does not change the source classification. Data owners must approve each site and allowed path. Tool responses must be bounded, and callers remain responsible for handling returned content according to its classification.</w:t>
      </w:r>
    </w:p>
    <w:p>
      <w:r>
        <w:rPr>
          <w:rFonts w:ascii="Calibri" w:hAnsi="Calibri"/>
          <w:color w:val="17324D"/>
          <w:sz w:val="22"/>
        </w:rPr>
        <w:t>The following are prohibited from application logs, traces and policy logs:</w:t>
      </w:r>
    </w:p>
    <w:p>
      <w:pPr>
        <w:spacing w:after="160" w:line="280" w:lineRule="auto"/>
        <w:numPr>
          <w:ilvl w:val="0"/>
          <w:numId w:val="20"/>
        </w:numPr>
      </w:pPr>
      <w:r>
        <w:rPr>
          <w:rFonts w:ascii="Calibri" w:hAnsi="Calibri"/>
          <w:color w:val="17324D"/>
          <w:sz w:val="22"/>
        </w:rPr>
        <w:t>bearer tokens, refresh tokens, client secrets or certificates;</w:t>
      </w:r>
    </w:p>
    <w:p>
      <w:pPr>
        <w:spacing w:after="160" w:line="280" w:lineRule="auto"/>
        <w:numPr>
          <w:ilvl w:val="0"/>
          <w:numId w:val="20"/>
        </w:numPr>
      </w:pPr>
      <w:r>
        <w:rPr>
          <w:rFonts w:ascii="Calibri" w:hAnsi="Calibri"/>
          <w:color w:val="17324D"/>
          <w:sz w:val="22"/>
        </w:rPr>
        <w:t>full SharePoint documents or large content fragments;</w:t>
      </w:r>
    </w:p>
    <w:p>
      <w:pPr>
        <w:spacing w:after="160" w:line="280" w:lineRule="auto"/>
        <w:numPr>
          <w:ilvl w:val="0"/>
          <w:numId w:val="20"/>
        </w:numPr>
      </w:pPr>
      <w:r>
        <w:rPr>
          <w:rFonts w:ascii="Calibri" w:hAnsi="Calibri"/>
          <w:color w:val="17324D"/>
          <w:sz w:val="22"/>
        </w:rPr>
        <w:t>full sensitive MCP inputs or outputs;</w:t>
      </w:r>
    </w:p>
    <w:p>
      <w:pPr>
        <w:spacing w:after="160" w:line="280" w:lineRule="auto"/>
        <w:numPr>
          <w:ilvl w:val="0"/>
          <w:numId w:val="20"/>
        </w:numPr>
      </w:pPr>
      <w:r>
        <w:rPr>
          <w:rFonts w:ascii="Calibri" w:hAnsi="Calibri"/>
          <w:color w:val="17324D"/>
          <w:sz w:val="22"/>
        </w:rPr>
        <w:t>secret-bearing HTTP headers;</w:t>
      </w:r>
    </w:p>
    <w:p>
      <w:pPr>
        <w:spacing w:after="160" w:line="280" w:lineRule="auto"/>
        <w:numPr>
          <w:ilvl w:val="0"/>
          <w:numId w:val="20"/>
        </w:numPr>
      </w:pPr>
      <w:r>
        <w:rPr>
          <w:rFonts w:ascii="Calibri" w:hAnsi="Calibri"/>
          <w:color w:val="17324D"/>
          <w:sz w:val="22"/>
        </w:rPr>
        <w:t>unnecessary personal attributes from Entra claims.</w:t>
      </w:r>
    </w:p>
    <w:p>
      <w:r>
        <w:rPr>
          <w:rFonts w:ascii="Calibri" w:hAnsi="Calibri"/>
          <w:color w:val="17324D"/>
          <w:sz w:val="22"/>
        </w:rPr>
        <w:t>Allowed audit metadata includes correlation ID, timestamp, caller subject identifier or approved pseudonymous identifier, client ID, matched policy role, tool, approved resource identifier, decision, reason code, change ticket, idempotency key hash, latency and result code.</w:t>
      </w:r>
    </w:p>
    <w:p>
      <w:pPr>
        <w:pStyle w:val="Heading2"/>
      </w:pPr>
      <w:r>
        <w:t>9.3 SharePoint authorization</w:t>
      </w:r>
    </w:p>
    <w:p>
      <w:r>
        <w:rPr>
          <w:rFonts w:ascii="Calibri" w:hAnsi="Calibri"/>
          <w:color w:val="17324D"/>
          <w:sz w:val="22"/>
        </w:rPr>
        <w:t xml:space="preserve">The downstream Graph application should use </w:t>
      </w:r>
      <w:r>
        <w:rPr>
          <w:rFonts w:ascii="Courier New" w:hAnsi="Courier New"/>
          <w:color w:val="1F4D78"/>
          <w:sz w:val="20"/>
          <w:shd w:fill="EAF2F8"/>
        </w:rPr>
        <w:t>Sites.Selected</w:t>
      </w:r>
      <w:r>
        <w:rPr>
          <w:rFonts w:ascii="Calibri" w:hAnsi="Calibri"/>
          <w:color w:val="17324D"/>
          <w:sz w:val="22"/>
        </w:rPr>
        <w:t xml:space="preserve"> or a narrower selected-permission model and receive explicit grants only to approved sites. Broad tenant permissions such as </w:t>
      </w:r>
      <w:r>
        <w:rPr>
          <w:rFonts w:ascii="Courier New" w:hAnsi="Courier New"/>
          <w:color w:val="1F4D78"/>
          <w:sz w:val="20"/>
          <w:shd w:fill="EAF2F8"/>
        </w:rPr>
        <w:t>Sites.Read.All</w:t>
      </w:r>
      <w:r>
        <w:rPr>
          <w:rFonts w:ascii="Calibri" w:hAnsi="Calibri"/>
          <w:color w:val="17324D"/>
          <w:sz w:val="22"/>
        </w:rPr>
        <w:t xml:space="preserve"> or </w:t>
      </w:r>
      <w:r>
        <w:rPr>
          <w:rFonts w:ascii="Courier New" w:hAnsi="Courier New"/>
          <w:color w:val="1F4D78"/>
          <w:sz w:val="20"/>
          <w:shd w:fill="EAF2F8"/>
        </w:rPr>
        <w:t>Sites.ReadWrite.All</w:t>
      </w:r>
      <w:r>
        <w:rPr>
          <w:rFonts w:ascii="Calibri" w:hAnsi="Calibri"/>
          <w:color w:val="17324D"/>
          <w:sz w:val="22"/>
        </w:rPr>
        <w:t xml:space="preserve"> are not approved for the first slice. Read and write identities may be separated if that materially reduces risk and operational complexity.</w:t>
      </w:r>
    </w:p>
    <w:p>
      <w:pPr>
        <w:pStyle w:val="Heading2"/>
      </w:pPr>
      <w:r>
        <w:t>9.4 Write controls</w:t>
      </w:r>
    </w:p>
    <w:p>
      <w:r>
        <w:rPr>
          <w:rFonts w:ascii="Calibri" w:hAnsi="Calibri"/>
          <w:color w:val="17324D"/>
          <w:sz w:val="22"/>
        </w:rPr>
        <w:t>Write tools remain disabled until all of the following are implemented and tested:</w:t>
      </w:r>
    </w:p>
    <w:p>
      <w:pPr>
        <w:spacing w:after="160" w:line="280" w:lineRule="auto"/>
        <w:numPr>
          <w:ilvl w:val="0"/>
          <w:numId w:val="21"/>
        </w:numPr>
      </w:pPr>
      <w:r>
        <w:rPr>
          <w:rFonts w:ascii="Calibri" w:hAnsi="Calibri"/>
          <w:color w:val="17324D"/>
          <w:sz w:val="22"/>
        </w:rPr>
        <w:t>explicit caller, client, role, site and path allow rules;</w:t>
      </w:r>
    </w:p>
    <w:p>
      <w:pPr>
        <w:spacing w:after="160" w:line="280" w:lineRule="auto"/>
        <w:numPr>
          <w:ilvl w:val="0"/>
          <w:numId w:val="21"/>
        </w:numPr>
      </w:pPr>
      <w:r>
        <w:rPr>
          <w:rFonts w:ascii="Calibri" w:hAnsi="Calibri"/>
          <w:color w:val="17324D"/>
          <w:sz w:val="22"/>
        </w:rPr>
        <w:t>approved change ticket with validated format and, where possible, status;</w:t>
      </w:r>
    </w:p>
    <w:p>
      <w:pPr>
        <w:spacing w:after="160" w:line="280" w:lineRule="auto"/>
        <w:numPr>
          <w:ilvl w:val="0"/>
          <w:numId w:val="21"/>
        </w:numPr>
      </w:pPr>
      <w:r>
        <w:rPr>
          <w:rFonts w:ascii="Calibri" w:hAnsi="Calibri"/>
          <w:color w:val="17324D"/>
          <w:sz w:val="22"/>
        </w:rPr>
        <w:t>durable idempotency storage keyed by caller, tool, resource and request key;</w:t>
      </w:r>
    </w:p>
    <w:p>
      <w:pPr>
        <w:spacing w:after="160" w:line="280" w:lineRule="auto"/>
        <w:numPr>
          <w:ilvl w:val="0"/>
          <w:numId w:val="21"/>
        </w:numPr>
      </w:pPr>
      <w:r>
        <w:rPr>
          <w:rFonts w:ascii="Calibri" w:hAnsi="Calibri"/>
          <w:color w:val="17324D"/>
          <w:sz w:val="22"/>
        </w:rPr>
        <w:t>optimistic concurrency using the current ETag or equivalent;</w:t>
      </w:r>
    </w:p>
    <w:p>
      <w:pPr>
        <w:spacing w:after="160" w:line="280" w:lineRule="auto"/>
        <w:numPr>
          <w:ilvl w:val="0"/>
          <w:numId w:val="21"/>
        </w:numPr>
      </w:pPr>
      <w:r>
        <w:rPr>
          <w:rFonts w:ascii="Calibri" w:hAnsi="Calibri"/>
          <w:color w:val="17324D"/>
          <w:sz w:val="22"/>
        </w:rPr>
        <w:t>bounded content type and size validation;</w:t>
      </w:r>
    </w:p>
    <w:p>
      <w:pPr>
        <w:spacing w:after="160" w:line="280" w:lineRule="auto"/>
        <w:numPr>
          <w:ilvl w:val="0"/>
          <w:numId w:val="21"/>
        </w:numPr>
      </w:pPr>
      <w:r>
        <w:rPr>
          <w:rFonts w:ascii="Calibri" w:hAnsi="Calibri"/>
          <w:color w:val="17324D"/>
          <w:sz w:val="22"/>
        </w:rPr>
        <w:t>structured before/after metadata without logging full sensitive content;</w:t>
      </w:r>
    </w:p>
    <w:p>
      <w:pPr>
        <w:spacing w:after="160" w:line="280" w:lineRule="auto"/>
        <w:numPr>
          <w:ilvl w:val="0"/>
          <w:numId w:val="21"/>
        </w:numPr>
      </w:pPr>
      <w:r>
        <w:rPr>
          <w:rFonts w:ascii="Calibri" w:hAnsi="Calibri"/>
          <w:color w:val="17324D"/>
          <w:sz w:val="22"/>
        </w:rPr>
        <w:t>data-owner approval and documented recovery/version-restore procedure;</w:t>
      </w:r>
    </w:p>
    <w:p>
      <w:pPr>
        <w:spacing w:after="160" w:line="280" w:lineRule="auto"/>
        <w:numPr>
          <w:ilvl w:val="0"/>
          <w:numId w:val="21"/>
        </w:numPr>
      </w:pPr>
      <w:r>
        <w:rPr>
          <w:rFonts w:ascii="Calibri" w:hAnsi="Calibri"/>
          <w:color w:val="17324D"/>
          <w:sz w:val="22"/>
        </w:rPr>
        <w:t xml:space="preserve">policy engine in </w:t>
      </w:r>
      <w:r>
        <w:rPr>
          <w:rFonts w:ascii="Courier New" w:hAnsi="Courier New"/>
          <w:color w:val="1F4D78"/>
          <w:sz w:val="20"/>
          <w:shd w:fill="EAF2F8"/>
        </w:rPr>
        <w:t>ENFORCE</w:t>
      </w:r>
      <w:r>
        <w:rPr>
          <w:rFonts w:ascii="Calibri" w:hAnsi="Calibri"/>
          <w:color w:val="17324D"/>
          <w:sz w:val="22"/>
        </w:rPr>
        <w:t xml:space="preserve"> mode;</w:t>
      </w:r>
    </w:p>
    <w:p>
      <w:pPr>
        <w:spacing w:after="160" w:line="280" w:lineRule="auto"/>
        <w:numPr>
          <w:ilvl w:val="0"/>
          <w:numId w:val="21"/>
        </w:numPr>
      </w:pPr>
      <w:r>
        <w:rPr>
          <w:rFonts w:ascii="Calibri" w:hAnsi="Calibri"/>
          <w:color w:val="17324D"/>
          <w:sz w:val="22"/>
        </w:rPr>
        <w:t>negative tests for replay, stale ETag, wrong site/path, missing ticket and unauthorized caller.</w:t>
      </w:r>
    </w:p>
    <w:p>
      <w:pPr>
        <w:pStyle w:val="Heading1"/>
      </w:pPr>
      <w:r>
        <w:t>10. Policy, software supply chain and deployment</w:t>
      </w:r>
    </w:p>
    <w:p>
      <w:pPr>
        <w:pStyle w:val="Heading2"/>
      </w:pPr>
      <w:r>
        <w:t>10.1 Policy as code</w:t>
      </w:r>
    </w:p>
    <w:p>
      <w:r>
        <w:rPr>
          <w:rFonts w:ascii="Calibri" w:hAnsi="Calibri"/>
          <w:color w:val="17324D"/>
          <w:sz w:val="22"/>
        </w:rPr>
        <w:t>YAML is the human-maintained authorization source, validated by JSON Schema and embedded positive/negative tests. Generated JSON is the Runtime artifact. Gateway Cedar policy must be generated from or reconciled with the same source to prevent divergent enforcement.</w:t>
      </w:r>
    </w:p>
    <w:p>
      <w:r>
        <w:rPr>
          <w:rFonts w:ascii="Calibri" w:hAnsi="Calibri"/>
          <w:color w:val="17324D"/>
          <w:sz w:val="22"/>
        </w:rPr>
        <w:t>Production policy changes require:</w:t>
      </w:r>
    </w:p>
    <w:p>
      <w:pPr>
        <w:spacing w:after="160" w:line="280" w:lineRule="auto"/>
        <w:numPr>
          <w:ilvl w:val="0"/>
          <w:numId w:val="22"/>
        </w:numPr>
      </w:pPr>
      <w:r>
        <w:rPr>
          <w:rFonts w:ascii="Calibri" w:hAnsi="Calibri"/>
          <w:color w:val="17324D"/>
          <w:sz w:val="22"/>
        </w:rPr>
        <w:t>path-scoped Azure DevOps build validation;</w:t>
      </w:r>
    </w:p>
    <w:p>
      <w:pPr>
        <w:spacing w:after="160" w:line="280" w:lineRule="auto"/>
        <w:numPr>
          <w:ilvl w:val="0"/>
          <w:numId w:val="22"/>
        </w:numPr>
      </w:pPr>
      <w:r>
        <w:rPr>
          <w:rFonts w:ascii="Calibri" w:hAnsi="Calibri"/>
          <w:color w:val="17324D"/>
          <w:sz w:val="22"/>
        </w:rPr>
        <w:t>policy-owner and security/data-owner review where access expands;</w:t>
      </w:r>
    </w:p>
    <w:p>
      <w:pPr>
        <w:spacing w:after="160" w:line="280" w:lineRule="auto"/>
        <w:numPr>
          <w:ilvl w:val="0"/>
          <w:numId w:val="22"/>
        </w:numPr>
      </w:pPr>
      <w:r>
        <w:rPr>
          <w:rFonts w:ascii="Calibri" w:hAnsi="Calibri"/>
          <w:color w:val="17324D"/>
          <w:sz w:val="22"/>
        </w:rPr>
        <w:t>generated artifact freshness checks;</w:t>
      </w:r>
    </w:p>
    <w:p>
      <w:pPr>
        <w:spacing w:after="160" w:line="280" w:lineRule="auto"/>
        <w:numPr>
          <w:ilvl w:val="0"/>
          <w:numId w:val="22"/>
        </w:numPr>
      </w:pPr>
      <w:r>
        <w:rPr>
          <w:rFonts w:ascii="Calibri" w:hAnsi="Calibri"/>
          <w:color w:val="17324D"/>
          <w:sz w:val="22"/>
        </w:rPr>
        <w:t>negative authorization tests;</w:t>
      </w:r>
    </w:p>
    <w:p>
      <w:pPr>
        <w:spacing w:after="160" w:line="280" w:lineRule="auto"/>
        <w:numPr>
          <w:ilvl w:val="0"/>
          <w:numId w:val="22"/>
        </w:numPr>
      </w:pPr>
      <w:r>
        <w:rPr>
          <w:rFonts w:ascii="Calibri" w:hAnsi="Calibri"/>
          <w:color w:val="17324D"/>
          <w:sz w:val="22"/>
        </w:rPr>
        <w:t>Terraform plan visibility where Gateway resources change;</w:t>
      </w:r>
    </w:p>
    <w:p>
      <w:pPr>
        <w:spacing w:after="160" w:line="280" w:lineRule="auto"/>
        <w:numPr>
          <w:ilvl w:val="0"/>
          <w:numId w:val="22"/>
        </w:numPr>
      </w:pPr>
      <w:r>
        <w:rPr>
          <w:rFonts w:ascii="Calibri" w:hAnsi="Calibri"/>
          <w:color w:val="17324D"/>
          <w:sz w:val="22"/>
        </w:rPr>
        <w:t>explicit promotion and rollback evidence.</w:t>
      </w:r>
    </w:p>
    <w:p>
      <w:pPr>
        <w:pStyle w:val="Heading2"/>
      </w:pPr>
      <w:r>
        <w:t>10.2 Images</w:t>
      </w:r>
    </w:p>
    <w:p>
      <w:r>
        <w:rPr>
          <w:rFonts w:ascii="Calibri" w:hAnsi="Calibri"/>
          <w:color w:val="17324D"/>
          <w:sz w:val="22"/>
        </w:rPr>
        <w:t>Each Runtime deploys a final service image from central ECR. Production images must use immutable digests or immutable version tags and pass dependency, malware and vulnerability scanning, SBOM generation and signature/provenance verification. Runtime roles receive pull access only to approved repositories.</w:t>
      </w:r>
    </w:p>
    <w:p>
      <w:pPr>
        <w:pStyle w:val="Heading2"/>
      </w:pPr>
      <w:r>
        <w:t>10.3 Environment separation</w:t>
      </w:r>
    </w:p>
    <w:p>
      <w:r>
        <w:rPr>
          <w:rFonts w:ascii="Calibri" w:hAnsi="Calibri"/>
          <w:color w:val="17324D"/>
          <w:sz w:val="22"/>
        </w:rPr>
        <w:t>Non-production and production use the same Terraform root but separate state, tfvars, Entra applications/audiences, client IDs, AWS resources, image references, policy promotion and approvals. A token issued for one environment must not be accepted by another.</w:t>
      </w:r>
    </w:p>
    <w:p>
      <w:pPr>
        <w:pStyle w:val="Heading1"/>
      </w:pPr>
      <w:r>
        <w:t>11. Observability and audit</w:t>
      </w:r>
    </w:p>
    <w:p>
      <w:r>
        <w:rPr>
          <w:rFonts w:ascii="Calibri" w:hAnsi="Calibri"/>
          <w:color w:val="17324D"/>
          <w:sz w:val="22"/>
        </w:rPr>
        <w:t>The operational design requires end-to-end correlation from client to Gateway, policy decision, Runtime and Graph call without propagating sensitive credentials.</w:t>
      </w:r>
    </w:p>
    <w:p>
      <w:r>
        <w:rPr>
          <w:rFonts w:ascii="Calibri" w:hAnsi="Calibri"/>
          <w:color w:val="17324D"/>
          <w:sz w:val="22"/>
        </w:rPr>
        <w:t>Required telemetry includes:</w:t>
      </w:r>
    </w:p>
    <w:p>
      <w:pPr>
        <w:spacing w:after="160" w:line="280" w:lineRule="auto"/>
        <w:numPr>
          <w:ilvl w:val="0"/>
          <w:numId w:val="23"/>
        </w:numPr>
      </w:pPr>
      <w:r>
        <w:rPr>
          <w:rFonts w:ascii="Calibri" w:hAnsi="Calibri"/>
          <w:color w:val="17324D"/>
          <w:sz w:val="22"/>
        </w:rPr>
        <w:t>Gateway invocation, authentication failure, target error and latency metrics;</w:t>
      </w:r>
    </w:p>
    <w:p>
      <w:pPr>
        <w:spacing w:after="160" w:line="280" w:lineRule="auto"/>
        <w:numPr>
          <w:ilvl w:val="0"/>
          <w:numId w:val="23"/>
        </w:numPr>
      </w:pPr>
      <w:r>
        <w:rPr>
          <w:rFonts w:ascii="Calibri" w:hAnsi="Calibri"/>
          <w:color w:val="17324D"/>
          <w:sz w:val="22"/>
        </w:rPr>
        <w:t>Gateway policy allow/deny decisions and reason codes;</w:t>
      </w:r>
    </w:p>
    <w:p>
      <w:pPr>
        <w:spacing w:after="160" w:line="280" w:lineRule="auto"/>
        <w:numPr>
          <w:ilvl w:val="0"/>
          <w:numId w:val="23"/>
        </w:numPr>
      </w:pPr>
      <w:r>
        <w:rPr>
          <w:rFonts w:ascii="Calibri" w:hAnsi="Calibri"/>
          <w:color w:val="17324D"/>
          <w:sz w:val="22"/>
        </w:rPr>
        <w:t>Runtime startup, tool call, validation failure, downstream status and latency events;</w:t>
      </w:r>
    </w:p>
    <w:p>
      <w:pPr>
        <w:spacing w:after="160" w:line="280" w:lineRule="auto"/>
        <w:numPr>
          <w:ilvl w:val="0"/>
          <w:numId w:val="23"/>
        </w:numPr>
      </w:pPr>
      <w:r>
        <w:rPr>
          <w:rFonts w:ascii="Calibri" w:hAnsi="Calibri"/>
          <w:color w:val="17324D"/>
          <w:sz w:val="22"/>
        </w:rPr>
        <w:t>Graph throttling, retry, permission and concurrency failures;</w:t>
      </w:r>
    </w:p>
    <w:p>
      <w:pPr>
        <w:spacing w:after="160" w:line="280" w:lineRule="auto"/>
        <w:numPr>
          <w:ilvl w:val="0"/>
          <w:numId w:val="23"/>
        </w:numPr>
      </w:pPr>
      <w:r>
        <w:rPr>
          <w:rFonts w:ascii="Calibri" w:hAnsi="Calibri"/>
          <w:color w:val="17324D"/>
          <w:sz w:val="22"/>
        </w:rPr>
        <w:t>deployment, identity, policy and selected-site permission changes;</w:t>
      </w:r>
    </w:p>
    <w:p>
      <w:pPr>
        <w:spacing w:after="160" w:line="280" w:lineRule="auto"/>
        <w:numPr>
          <w:ilvl w:val="0"/>
          <w:numId w:val="23"/>
        </w:numPr>
      </w:pPr>
      <w:r>
        <w:rPr>
          <w:rFonts w:ascii="Calibri" w:hAnsi="Calibri"/>
          <w:color w:val="17324D"/>
          <w:sz w:val="22"/>
        </w:rPr>
        <w:t>unusual denied-tool, cross-site, replay and data-volume patterns.</w:t>
      </w:r>
    </w:p>
    <w:p>
      <w:r>
        <w:rPr>
          <w:rFonts w:ascii="Calibri" w:hAnsi="Calibri"/>
          <w:color w:val="17324D"/>
          <w:sz w:val="22"/>
        </w:rPr>
        <w:t>CloudWatch Transaction Search and relevant AgentCore log destinations must be configured. Retention, encryption, SIEM forwarding, alert thresholds, operational dashboards and on-call ownership must be approved before production. Observability testing must include a deliberate check that tokens, secrets and document bodies do not appear in logs or traces.</w:t>
      </w:r>
    </w:p>
    <w:p>
      <w:pPr>
        <w:pStyle w:val="Heading1"/>
      </w:pPr>
      <w:r>
        <w:t>12. Availability, resilience and performance</w:t>
      </w:r>
    </w:p>
    <w:p>
      <w:r>
        <w:rPr>
          <w:rFonts w:ascii="Calibri" w:hAnsi="Calibri"/>
          <w:color w:val="17324D"/>
          <w:sz w:val="22"/>
        </w:rPr>
        <w:t>The platform depends on AgentCore Gateway, Runtime, Entra ID, Microsoft Graph/SharePoint, network connectivity, ECR and observability services. The first slice should fail closed on identity, policy or downstream permission uncertainty.</w:t>
      </w:r>
    </w:p>
    <w:p>
      <w:r>
        <w:rPr>
          <w:rFonts w:ascii="Calibri" w:hAnsi="Calibri"/>
          <w:color w:val="17324D"/>
          <w:sz w:val="22"/>
        </w:rPr>
        <w:t>Required resilience behaviours:</w:t>
      </w:r>
    </w:p>
    <w:p>
      <w:pPr>
        <w:spacing w:after="160" w:line="280" w:lineRule="auto"/>
        <w:numPr>
          <w:ilvl w:val="0"/>
          <w:numId w:val="24"/>
        </w:numPr>
      </w:pPr>
      <w:r>
        <w:rPr>
          <w:rFonts w:ascii="Calibri" w:hAnsi="Calibri"/>
          <w:color w:val="17324D"/>
          <w:sz w:val="22"/>
        </w:rPr>
        <w:t>bounded timeouts at client, Gateway/Runtime and Graph layers;</w:t>
      </w:r>
    </w:p>
    <w:p>
      <w:pPr>
        <w:spacing w:after="160" w:line="280" w:lineRule="auto"/>
        <w:numPr>
          <w:ilvl w:val="0"/>
          <w:numId w:val="24"/>
        </w:numPr>
      </w:pPr>
      <w:r>
        <w:rPr>
          <w:rFonts w:ascii="Calibri" w:hAnsi="Calibri"/>
          <w:color w:val="17324D"/>
          <w:sz w:val="22"/>
        </w:rPr>
        <w:t>retries only for safe/transient cases with exponential backoff and jitter;</w:t>
      </w:r>
    </w:p>
    <w:p>
      <w:pPr>
        <w:spacing w:after="160" w:line="280" w:lineRule="auto"/>
        <w:numPr>
          <w:ilvl w:val="0"/>
          <w:numId w:val="24"/>
        </w:numPr>
      </w:pPr>
      <w:r>
        <w:rPr>
          <w:rFonts w:ascii="Calibri" w:hAnsi="Calibri"/>
          <w:color w:val="17324D"/>
          <w:sz w:val="22"/>
        </w:rPr>
        <w:t xml:space="preserve">honour Microsoft </w:t>
      </w:r>
      <w:r>
        <w:rPr>
          <w:rFonts w:ascii="Courier New" w:hAnsi="Courier New"/>
          <w:color w:val="1F4D78"/>
          <w:sz w:val="20"/>
          <w:shd w:fill="EAF2F8"/>
        </w:rPr>
        <w:t>Retry-After</w:t>
      </w:r>
      <w:r>
        <w:rPr>
          <w:rFonts w:ascii="Calibri" w:hAnsi="Calibri"/>
          <w:color w:val="17324D"/>
          <w:sz w:val="22"/>
        </w:rPr>
        <w:t xml:space="preserve"> for Graph/SharePoint throttling;</w:t>
      </w:r>
    </w:p>
    <w:p>
      <w:pPr>
        <w:spacing w:after="160" w:line="280" w:lineRule="auto"/>
        <w:numPr>
          <w:ilvl w:val="0"/>
          <w:numId w:val="24"/>
        </w:numPr>
      </w:pPr>
      <w:r>
        <w:rPr>
          <w:rFonts w:ascii="Calibri" w:hAnsi="Calibri"/>
          <w:color w:val="17324D"/>
          <w:sz w:val="22"/>
        </w:rPr>
        <w:t>no automatic retry of non-idempotent writes without durable idempotency protection;</w:t>
      </w:r>
    </w:p>
    <w:p>
      <w:pPr>
        <w:spacing w:after="160" w:line="280" w:lineRule="auto"/>
        <w:numPr>
          <w:ilvl w:val="0"/>
          <w:numId w:val="24"/>
        </w:numPr>
      </w:pPr>
      <w:r>
        <w:rPr>
          <w:rFonts w:ascii="Calibri" w:hAnsi="Calibri"/>
          <w:color w:val="17324D"/>
          <w:sz w:val="22"/>
        </w:rPr>
        <w:t>circuit-breaking or controlled degradation for repeated downstream failures;</w:t>
      </w:r>
    </w:p>
    <w:p>
      <w:pPr>
        <w:spacing w:after="160" w:line="280" w:lineRule="auto"/>
        <w:numPr>
          <w:ilvl w:val="0"/>
          <w:numId w:val="24"/>
        </w:numPr>
      </w:pPr>
      <w:r>
        <w:rPr>
          <w:rFonts w:ascii="Calibri" w:hAnsi="Calibri"/>
          <w:color w:val="17324D"/>
          <w:sz w:val="22"/>
        </w:rPr>
        <w:t>immutable previous image and policy versions for rollback;</w:t>
      </w:r>
    </w:p>
    <w:p>
      <w:pPr>
        <w:spacing w:after="160" w:line="280" w:lineRule="auto"/>
        <w:numPr>
          <w:ilvl w:val="0"/>
          <w:numId w:val="24"/>
        </w:numPr>
      </w:pPr>
      <w:r>
        <w:rPr>
          <w:rFonts w:ascii="Calibri" w:hAnsi="Calibri"/>
          <w:color w:val="17324D"/>
          <w:sz w:val="22"/>
        </w:rPr>
        <w:t>a kill switch that removes a client, denies a tool or disables a target without a direct-Runtime bypass.</w:t>
      </w:r>
    </w:p>
    <w:p>
      <w:r>
        <w:rPr>
          <w:rFonts w:ascii="Calibri" w:hAnsi="Calibri"/>
          <w:color w:val="17324D"/>
          <w:sz w:val="22"/>
        </w:rPr>
        <w:t>Service-level objectives, expected concurrency, payload limits, peak usage, recovery time objective and recovery point objective remain approval conditions. SharePoint remains the system of record; this platform does not maintain a separate authoritative content copy.</w:t>
      </w:r>
    </w:p>
    <w:p>
      <w:pPr>
        <w:pStyle w:val="Heading1"/>
      </w:pPr>
      <w:r>
        <w:t>13. Threat model</w:t>
      </w:r>
    </w:p>
    <w:p>
      <w:pPr>
        <w:pStyle w:val="Heading2"/>
      </w:pPr>
      <w:r>
        <w:t>13.1 Method and assumptions</w:t>
      </w:r>
    </w:p>
    <w:p>
      <w:r>
        <w:rPr>
          <w:rFonts w:ascii="Calibri" w:hAnsi="Calibri"/>
          <w:color w:val="17324D"/>
          <w:sz w:val="22"/>
        </w:rPr>
        <w:t xml:space="preserve">The threat model uses STRIDE categories across the data-flow trust boundaries. Ratings are qualitative because the enterprise risk-scoring standard and workload classification have not yet been supplied. </w:t>
      </w:r>
      <w:r>
        <w:rPr>
          <w:rFonts w:ascii="Calibri" w:hAnsi="Calibri"/>
          <w:b/>
          <w:color w:val="17324D"/>
          <w:sz w:val="22"/>
        </w:rPr>
        <w:t>Inherent risk</w:t>
      </w:r>
      <w:r>
        <w:rPr>
          <w:rFonts w:ascii="Calibri" w:hAnsi="Calibri"/>
          <w:color w:val="17324D"/>
          <w:sz w:val="22"/>
        </w:rPr>
        <w:t xml:space="preserve"> assumes the proposed capability without the listed controls. </w:t>
      </w:r>
      <w:r>
        <w:rPr>
          <w:rFonts w:ascii="Calibri" w:hAnsi="Calibri"/>
          <w:b/>
          <w:color w:val="17324D"/>
          <w:sz w:val="22"/>
        </w:rPr>
        <w:t>Residual risk</w:t>
      </w:r>
      <w:r>
        <w:rPr>
          <w:rFonts w:ascii="Calibri" w:hAnsi="Calibri"/>
          <w:color w:val="17324D"/>
          <w:sz w:val="22"/>
        </w:rPr>
        <w:t xml:space="preserve"> assumes all proposed controls are implemented and validated. Ratings are provisional and require Cyber Security approval.</w:t>
      </w:r>
    </w:p>
    <w:p>
      <w:r>
        <w:rPr>
          <w:rFonts w:ascii="Calibri" w:hAnsi="Calibri"/>
          <w:color w:val="17324D"/>
          <w:sz w:val="22"/>
        </w:rPr>
        <w:t>Threat actors considered include an external attacker with a stolen token, a compromised managed device, a malicious or over-privileged insider, a compromised client/service principal, malicious content in SharePoint, a compromised build dependency or image, and accidental administrator or policy error.</w:t>
      </w:r>
    </w:p>
    <w:p>
      <w:r>
        <w:rPr>
          <w:rFonts w:ascii="Calibri" w:hAnsi="Calibri"/>
          <w:color w:val="17324D"/>
          <w:sz w:val="22"/>
        </w:rPr>
        <w:t>Primary assets are caller identity, authorization policy, downstream credentials, SharePoint content, write integrity, audit evidence, service availability, source code, images, Terraform state and deployment approvals.</w:t>
      </w:r>
    </w:p>
    <w:p>
      <w:pPr>
        <w:pStyle w:val="Heading2"/>
      </w:pPr>
      <w:r>
        <w:t>13.2 Trust boundaries</w:t>
      </w:r>
    </w:p>
    <w:p>
      <w:pPr>
        <w:spacing w:after="160" w:line="280" w:lineRule="auto"/>
        <w:numPr>
          <w:ilvl w:val="0"/>
          <w:numId w:val="25"/>
        </w:numPr>
      </w:pPr>
      <w:r>
        <w:rPr>
          <w:rFonts w:ascii="Calibri" w:hAnsi="Calibri"/>
          <w:b/>
          <w:color w:val="17324D"/>
          <w:sz w:val="22"/>
        </w:rPr>
        <w:t>TB1:</w:t>
      </w:r>
      <w:r>
        <w:rPr>
          <w:rFonts w:ascii="Calibri" w:hAnsi="Calibri"/>
          <w:color w:val="17324D"/>
          <w:sz w:val="22"/>
        </w:rPr>
        <w:t xml:space="preserve"> managed user/device to Microsoft Entra ID.</w:t>
      </w:r>
    </w:p>
    <w:p>
      <w:pPr>
        <w:spacing w:after="160" w:line="280" w:lineRule="auto"/>
        <w:numPr>
          <w:ilvl w:val="0"/>
          <w:numId w:val="25"/>
        </w:numPr>
      </w:pPr>
      <w:r>
        <w:rPr>
          <w:rFonts w:ascii="Calibri" w:hAnsi="Calibri"/>
          <w:b/>
          <w:color w:val="17324D"/>
          <w:sz w:val="22"/>
        </w:rPr>
        <w:t>TB2:</w:t>
      </w:r>
      <w:r>
        <w:rPr>
          <w:rFonts w:ascii="Calibri" w:hAnsi="Calibri"/>
          <w:color w:val="17324D"/>
          <w:sz w:val="22"/>
        </w:rPr>
        <w:t xml:space="preserve"> caller network to AgentCore Gateway.</w:t>
      </w:r>
    </w:p>
    <w:p>
      <w:pPr>
        <w:spacing w:after="160" w:line="280" w:lineRule="auto"/>
        <w:numPr>
          <w:ilvl w:val="0"/>
          <w:numId w:val="25"/>
        </w:numPr>
      </w:pPr>
      <w:r>
        <w:rPr>
          <w:rFonts w:ascii="Calibri" w:hAnsi="Calibri"/>
          <w:b/>
          <w:color w:val="17324D"/>
          <w:sz w:val="22"/>
        </w:rPr>
        <w:t>TB3:</w:t>
      </w:r>
      <w:r>
        <w:rPr>
          <w:rFonts w:ascii="Calibri" w:hAnsi="Calibri"/>
          <w:color w:val="17324D"/>
          <w:sz w:val="22"/>
        </w:rPr>
        <w:t xml:space="preserve"> Gateway identity validation and policy enforcement.</w:t>
      </w:r>
    </w:p>
    <w:p>
      <w:pPr>
        <w:spacing w:after="160" w:line="280" w:lineRule="auto"/>
        <w:numPr>
          <w:ilvl w:val="0"/>
          <w:numId w:val="25"/>
        </w:numPr>
      </w:pPr>
      <w:r>
        <w:rPr>
          <w:rFonts w:ascii="Calibri" w:hAnsi="Calibri"/>
          <w:b/>
          <w:color w:val="17324D"/>
          <w:sz w:val="22"/>
        </w:rPr>
        <w:t>TB4:</w:t>
      </w:r>
      <w:r>
        <w:rPr>
          <w:rFonts w:ascii="Calibri" w:hAnsi="Calibri"/>
          <w:color w:val="17324D"/>
          <w:sz w:val="22"/>
        </w:rPr>
        <w:t xml:space="preserve"> Gateway IAM role to Runtime resource policy.</w:t>
      </w:r>
    </w:p>
    <w:p>
      <w:pPr>
        <w:spacing w:after="160" w:line="280" w:lineRule="auto"/>
        <w:numPr>
          <w:ilvl w:val="0"/>
          <w:numId w:val="25"/>
        </w:numPr>
      </w:pPr>
      <w:r>
        <w:rPr>
          <w:rFonts w:ascii="Calibri" w:hAnsi="Calibri"/>
          <w:b/>
          <w:color w:val="17324D"/>
          <w:sz w:val="22"/>
        </w:rPr>
        <w:t>TB5:</w:t>
      </w:r>
      <w:r>
        <w:rPr>
          <w:rFonts w:ascii="Calibri" w:hAnsi="Calibri"/>
          <w:color w:val="17324D"/>
          <w:sz w:val="22"/>
        </w:rPr>
        <w:t xml:space="preserve"> Runtime container to VPC/AWS services and downstream credential source.</w:t>
      </w:r>
    </w:p>
    <w:p>
      <w:pPr>
        <w:spacing w:after="160" w:line="280" w:lineRule="auto"/>
        <w:numPr>
          <w:ilvl w:val="0"/>
          <w:numId w:val="25"/>
        </w:numPr>
      </w:pPr>
      <w:r>
        <w:rPr>
          <w:rFonts w:ascii="Calibri" w:hAnsi="Calibri"/>
          <w:b/>
          <w:color w:val="17324D"/>
          <w:sz w:val="22"/>
        </w:rPr>
        <w:t>TB6:</w:t>
      </w:r>
      <w:r>
        <w:rPr>
          <w:rFonts w:ascii="Calibri" w:hAnsi="Calibri"/>
          <w:color w:val="17324D"/>
          <w:sz w:val="22"/>
        </w:rPr>
        <w:t xml:space="preserve"> AWS Runtime to Microsoft identity and Graph/SharePoint.</w:t>
      </w:r>
    </w:p>
    <w:p>
      <w:pPr>
        <w:spacing w:after="160" w:line="280" w:lineRule="auto"/>
        <w:numPr>
          <w:ilvl w:val="0"/>
          <w:numId w:val="25"/>
        </w:numPr>
      </w:pPr>
      <w:r>
        <w:rPr>
          <w:rFonts w:ascii="Calibri" w:hAnsi="Calibri"/>
          <w:b/>
          <w:color w:val="17324D"/>
          <w:sz w:val="22"/>
        </w:rPr>
        <w:t>TB7:</w:t>
      </w:r>
      <w:r>
        <w:rPr>
          <w:rFonts w:ascii="Calibri" w:hAnsi="Calibri"/>
          <w:color w:val="17324D"/>
          <w:sz w:val="22"/>
        </w:rPr>
        <w:t xml:space="preserve"> source control/build pipeline to ECR and Terraform deployment.</w:t>
      </w:r>
    </w:p>
    <w:p>
      <w:pPr>
        <w:pStyle w:val="Heading2"/>
      </w:pPr>
      <w:r>
        <w:t>13.3 Threat register</w:t>
      </w:r>
    </w:p>
    <w:tbl>
      <w:tblPr>
        <w:tblW w:type="dxa" w:w="9360"/>
        <w:tblLayout w:type="fixed"/>
        <w:tblLook w:firstColumn="1" w:firstRow="1" w:lastColumn="0" w:lastRow="0" w:noHBand="0" w:noVBand="1" w:val="04A0"/>
        <w:tblInd w:w="120" w:type="dxa"/>
        <w:tblLayout w:type="fixed"/>
      </w:tblPr>
      <w:tblGrid>
        <w:gridCol w:w="9360"/>
      </w:tblGrid>
      <w:tr>
        <w:trPr>
          <w:cantSplit/>
        </w:trPr>
        <w:tc>
          <w:tcPr>
            <w:tcW w:type="dxa" w:w="9360"/>
            <w:vAlign w:val="center"/>
            <w:tcMar>
              <w:top w:w="80" w:type="dxa"/>
              <w:start w:w="120" w:type="dxa"/>
              <w:bottom w:w="80" w:type="dxa"/>
              <w:end w:w="120" w:type="dxa"/>
            </w:tcMar>
            <w:shd w:fill="EAF2F8"/>
          </w:tcPr>
          <w:p>
            <w:pPr>
              <w:spacing w:after="40" w:line="264" w:lineRule="auto"/>
            </w:pPr>
            <w:r>
              <w:rPr>
                <w:rFonts w:ascii="Calibri" w:hAnsi="Calibri"/>
                <w:b/>
                <w:color w:val="2E74B5"/>
                <w:sz w:val="21"/>
              </w:rPr>
              <w:t xml:space="preserve">Reading the register: </w:t>
            </w:r>
            <w:r>
              <w:rPr>
                <w:rFonts w:ascii="Calibri" w:hAnsi="Calibri"/>
                <w:color w:val="17324D"/>
                <w:sz w:val="21"/>
              </w:rPr>
              <w:t>Inherent and residual ratings are qualitative and provisional. Residual ratings assume every listed control is implemented and evidenced.</w:t>
            </w:r>
          </w:p>
        </w:tc>
      </w:tr>
    </w:tbl>
    <w:p>
      <w:pPr>
        <w:spacing w:after="40"/>
      </w:pPr>
    </w:p>
    <w:p>
      <w:pPr>
        <w:pStyle w:val="Heading3"/>
        <w:keepNext/>
      </w:pPr>
      <w:r>
        <w:rPr>
          <w:rFonts w:ascii="Calibri" w:hAnsi="Calibri"/>
          <w:color w:val="1F4D78"/>
          <w:sz w:val="23"/>
        </w:rPr>
        <w:t>T01 - Spoofing: Stolen or copied bearer token is replayed to Gateway.</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Short token lifetime; approved refresh helper; Conditional Access; exact audience/client validation; network restrictions; rapid revocation; no token logging.</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High; residual: 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Token replay/revocation test; Identity and Security</w:t>
      </w:r>
    </w:p>
    <w:p>
      <w:pPr>
        <w:pStyle w:val="Heading3"/>
        <w:keepNext/>
      </w:pPr>
      <w:r>
        <w:rPr>
          <w:rFonts w:ascii="Calibri" w:hAnsi="Calibri"/>
          <w:color w:val="1F4D78"/>
          <w:sz w:val="23"/>
        </w:rPr>
        <w:t>T02 - Spoofing: Token from the wrong tenant, environment, audience or client is accepted.</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Tenant-specific discovery; exact audience; allowed clients; required scope/claims; separate prod/nonprod registrations; negative tests.</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High; residual: Low.</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Cross-environment and wrong-client tests; Identity/Platform</w:t>
      </w:r>
    </w:p>
    <w:p>
      <w:pPr>
        <w:pStyle w:val="Heading3"/>
        <w:keepNext/>
      </w:pPr>
      <w:r>
        <w:rPr>
          <w:rFonts w:ascii="Calibri" w:hAnsi="Calibri"/>
          <w:color w:val="1F4D78"/>
          <w:sz w:val="23"/>
        </w:rPr>
        <w:t>T03 - Tampering: Caller supplies trusted-looking identity headers or tool arguments to impersonate another caller.</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Do not trust client identity headers; interceptor derives claims from validated context; overwrite precedence; allowlist headers; Runtime reads per-request context; Gateway policy primary.</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High; residual: Low-Medium.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Header spoofing and missing-claim tests; Platform/Security</w:t>
      </w:r>
    </w:p>
    <w:p>
      <w:pPr>
        <w:pStyle w:val="Heading3"/>
        <w:keepNext/>
      </w:pPr>
      <w:r>
        <w:rPr>
          <w:rFonts w:ascii="Calibri" w:hAnsi="Calibri"/>
          <w:color w:val="1F4D78"/>
          <w:sz w:val="23"/>
        </w:rPr>
        <w:t>T04 - Repudiation: Caller or operator disputes a tool action and evidence is incomplete.</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Correlation ID; immutable central audit; subject/client/tool/resource/decision metadata; change ticket; time synchronization; retention and SIEM controls.</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Medium; residual: Low-Medium.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Trace one request end to end; Operations/Security</w:t>
      </w:r>
    </w:p>
    <w:p>
      <w:pPr>
        <w:pStyle w:val="Heading3"/>
        <w:keepNext/>
      </w:pPr>
      <w:r>
        <w:rPr>
          <w:rFonts w:ascii="Calibri" w:hAnsi="Calibri"/>
          <w:color w:val="1F4D78"/>
          <w:sz w:val="23"/>
        </w:rPr>
        <w:t>T05 - Information disclosure: Tokens, credentials, personal claims or document bodies appear in logs/traces.</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Structured allowlisted logging; redaction; no raw headers/body; log scanning tests; least claim propagation; protected log access.</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High; residual: Low-Medium.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Automated secret/content log scan; Platform/Security</w:t>
      </w:r>
    </w:p>
    <w:p>
      <w:pPr>
        <w:pStyle w:val="Heading3"/>
        <w:keepNext/>
      </w:pPr>
      <w:r>
        <w:rPr>
          <w:rFonts w:ascii="Calibri" w:hAnsi="Calibri"/>
          <w:color w:val="1F4D78"/>
          <w:sz w:val="23"/>
        </w:rPr>
        <w:t>T06 - Elevation of privilege: A caller invokes a tool, site or path outside its approved role.</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 xml:space="preserve">Entra assignment; Gateway policy </w:t>
      </w:r>
      <w:r>
        <w:rPr>
          <w:rFonts w:ascii="Courier New" w:hAnsi="Courier New"/>
          <w:color w:val="1F4D78"/>
          <w:sz w:val="18"/>
          <w:shd w:fill="EAF2F8"/>
        </w:rPr>
        <w:t>ENFORCE</w:t>
      </w:r>
      <w:r>
        <w:rPr>
          <w:rFonts w:ascii="Calibri" w:hAnsi="Calibri"/>
          <w:color w:val="17324D"/>
          <w:sz w:val="20"/>
        </w:rPr>
        <w:t>; deny-by-default Cedar; Runtime site/path validation; selected Graph permissions; negative tests.</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Critical; residual: Low-Medium.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Authorization matrix test pack; Policy/Data owner/Security</w:t>
      </w:r>
    </w:p>
    <w:p>
      <w:pPr>
        <w:pStyle w:val="Heading3"/>
        <w:keepNext/>
      </w:pPr>
      <w:r>
        <w:rPr>
          <w:rFonts w:ascii="Calibri" w:hAnsi="Calibri"/>
          <w:color w:val="1F4D78"/>
          <w:sz w:val="23"/>
        </w:rPr>
        <w:t>T07 - Elevation of privilege: Runtime is invoked directly, bypassing Gateway authentication and policy.</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Runtime resource policy allows only Gateway IAM role; role least privilege; no direct client URL; negative IAM tests.</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High; residual: Low.</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Direct invocation denial test; AWS Platform</w:t>
      </w:r>
    </w:p>
    <w:p>
      <w:pPr>
        <w:pStyle w:val="Heading3"/>
        <w:keepNext/>
      </w:pPr>
      <w:r>
        <w:rPr>
          <w:rFonts w:ascii="Calibri" w:hAnsi="Calibri"/>
          <w:color w:val="1F4D78"/>
          <w:sz w:val="23"/>
        </w:rPr>
        <w:t>T08 - Tampering: Prompt injection or malicious SharePoint content persuades an agent to call an unsafe tool.</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Narrow tools; deterministic external policy; bounded inputs; read/write role separation; writes disabled by default; model output never grants authority.</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High; residual: 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Adversarial content/tool-use tests; App/Security</w:t>
      </w:r>
    </w:p>
    <w:p>
      <w:pPr>
        <w:pStyle w:val="Heading3"/>
        <w:keepNext/>
      </w:pPr>
      <w:r>
        <w:rPr>
          <w:rFonts w:ascii="Calibri" w:hAnsi="Calibri"/>
          <w:color w:val="1F4D78"/>
          <w:sz w:val="23"/>
        </w:rPr>
        <w:t>T09 - Information disclosure: Graph application has tenant-wide permissions or selected grants drift.</w:t>
      </w:r>
    </w:p>
    <w:p>
      <w:pPr>
        <w:spacing w:after="160" w:line="280" w:lineRule="auto"/>
        <w:numPr>
          <w:ilvl w:val="0"/>
          <w:numId w:val="26"/>
        </w:numPr>
      </w:pPr>
      <w:r>
        <w:rPr>
          <w:rFonts w:ascii="Calibri" w:hAnsi="Calibri"/>
          <w:b/>
          <w:color w:val="17324D"/>
          <w:sz w:val="20"/>
        </w:rPr>
        <w:t xml:space="preserve">Required controls: </w:t>
      </w:r>
      <w:r>
        <w:rPr>
          <w:rFonts w:ascii="Courier New" w:hAnsi="Courier New"/>
          <w:color w:val="1F4D78"/>
          <w:sz w:val="18"/>
          <w:shd w:fill="EAF2F8"/>
        </w:rPr>
        <w:t>Sites.Selected</w:t>
      </w:r>
      <w:r>
        <w:rPr>
          <w:rFonts w:ascii="Calibri" w:hAnsi="Calibri"/>
          <w:color w:val="17324D"/>
          <w:sz w:val="20"/>
        </w:rPr>
        <w:t xml:space="preserve"> or narrower; explicit grant inventory; periodic access review; separate environments; automated drift detection; no broad Graph roles.</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Critical; residual: Low-Medium.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Graph permission evidence; M365/Data owner</w:t>
      </w:r>
    </w:p>
    <w:p>
      <w:pPr>
        <w:pStyle w:val="Heading3"/>
        <w:keepNext/>
      </w:pPr>
      <w:r>
        <w:rPr>
          <w:rFonts w:ascii="Calibri" w:hAnsi="Calibri"/>
          <w:color w:val="1F4D78"/>
          <w:sz w:val="23"/>
        </w:rPr>
        <w:t>T10 - Tampering: Site/path identifiers exploit traversal, encoding or IDOR weaknesses.</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Canonicalization; explicit site IDs and paths; reject ambiguous encoding; server-side lookup; negative tests for separators, case and encoded traversal.</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High; residual: Low-Medium.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Path and identifier fuzz tests; MCP server owner</w:t>
      </w:r>
    </w:p>
    <w:p>
      <w:pPr>
        <w:pStyle w:val="Heading3"/>
        <w:keepNext/>
      </w:pPr>
      <w:r>
        <w:rPr>
          <w:rFonts w:ascii="Calibri" w:hAnsi="Calibri"/>
          <w:color w:val="1F4D78"/>
          <w:sz w:val="23"/>
        </w:rPr>
        <w:t>T11 - Tampering: Write is duplicated, replayed or overwrites a newer version.</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Durable idempotency; ETag/</w:t>
      </w:r>
      <w:r>
        <w:rPr>
          <w:rFonts w:ascii="Courier New" w:hAnsi="Courier New"/>
          <w:color w:val="1F4D78"/>
          <w:sz w:val="18"/>
          <w:shd w:fill="EAF2F8"/>
        </w:rPr>
        <w:t>If-Match</w:t>
      </w:r>
      <w:r>
        <w:rPr>
          <w:rFonts w:ascii="Calibri" w:hAnsi="Calibri"/>
          <w:color w:val="17324D"/>
          <w:sz w:val="20"/>
        </w:rPr>
        <w:t>; change ticket; no unsafe retries; versioning/restore; audit.</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Critical; residual: Low-Medium.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Replay and stale-ETag tests; MCP/M365 owners</w:t>
      </w:r>
    </w:p>
    <w:p>
      <w:pPr>
        <w:pStyle w:val="Heading3"/>
        <w:keepNext/>
      </w:pPr>
      <w:r>
        <w:rPr>
          <w:rFonts w:ascii="Calibri" w:hAnsi="Calibri"/>
          <w:color w:val="1F4D78"/>
          <w:sz w:val="23"/>
        </w:rPr>
        <w:t>T12 - Spoofing: Downstream application secret or certificate is stolen.</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Approved secret store; preferably certificate/workload federation where supported; short rotation; Runtime least privilege; no Terraform plaintext; detection and revocation runbook.</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High; residual: 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Rotation and revocation exercise; Identity/Platform</w:t>
      </w:r>
    </w:p>
    <w:p>
      <w:pPr>
        <w:pStyle w:val="Heading3"/>
        <w:keepNext/>
      </w:pPr>
      <w:r>
        <w:rPr>
          <w:rFonts w:ascii="Calibri" w:hAnsi="Calibri"/>
          <w:color w:val="1F4D78"/>
          <w:sz w:val="23"/>
        </w:rPr>
        <w:t>T13 - Tampering: Policy source, generated policy or deployed Cedar diverges or is maliciously changed.</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 xml:space="preserve">Single policy source; schema/tests; generated-artifact freshness; required reviewers; signed build evidence; promotion comparison; </w:t>
      </w:r>
      <w:r>
        <w:rPr>
          <w:rFonts w:ascii="Courier New" w:hAnsi="Courier New"/>
          <w:color w:val="1F4D78"/>
          <w:sz w:val="18"/>
          <w:shd w:fill="EAF2F8"/>
        </w:rPr>
        <w:t>ENFORCE</w:t>
      </w:r>
      <w:r>
        <w:rPr>
          <w:rFonts w:ascii="Calibri" w:hAnsi="Calibri"/>
          <w:color w:val="17324D"/>
          <w:sz w:val="20"/>
        </w:rPr>
        <w:t xml:space="preserve"> gate.</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Critical; residual: Low-Medium.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Policy consistency and rollback test; Policy/DevOps</w:t>
      </w:r>
    </w:p>
    <w:p>
      <w:pPr>
        <w:pStyle w:val="Heading3"/>
        <w:keepNext/>
      </w:pPr>
      <w:r>
        <w:rPr>
          <w:rFonts w:ascii="Calibri" w:hAnsi="Calibri"/>
          <w:color w:val="1F4D78"/>
          <w:sz w:val="23"/>
        </w:rPr>
        <w:t>T14 - Tampering: Compromised dependency or container image executes in Runtime.</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Pinned dependencies; scan; SBOM; signature/provenance; immutable digest; restricted ECR; non-root image; patch SLA.</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Critical; residual: 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Supply-chain evidence and signature verification; DevOps/Security</w:t>
      </w:r>
    </w:p>
    <w:p>
      <w:pPr>
        <w:pStyle w:val="Heading3"/>
        <w:keepNext/>
      </w:pPr>
      <w:r>
        <w:rPr>
          <w:rFonts w:ascii="Calibri" w:hAnsi="Calibri"/>
          <w:color w:val="1F4D78"/>
          <w:sz w:val="23"/>
        </w:rPr>
        <w:t>T15 - Denial of service: Excessive MCP calls, semantic search, large files or Graph throttling exhaust capacity.</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 xml:space="preserve">Payload/result limits; quotas/rate controls; timeouts; bounded concurrency; cache where safe; </w:t>
      </w:r>
      <w:r>
        <w:rPr>
          <w:rFonts w:ascii="Courier New" w:hAnsi="Courier New"/>
          <w:color w:val="1F4D78"/>
          <w:sz w:val="18"/>
          <w:shd w:fill="EAF2F8"/>
        </w:rPr>
        <w:t>Retry-After</w:t>
      </w:r>
      <w:r>
        <w:rPr>
          <w:rFonts w:ascii="Calibri" w:hAnsi="Calibri"/>
          <w:color w:val="17324D"/>
          <w:sz w:val="20"/>
        </w:rPr>
        <w:t>; alarms; per-client controls.</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High; residual: 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Load/throttle/failure tests; Operations/App owners</w:t>
      </w:r>
    </w:p>
    <w:p>
      <w:pPr>
        <w:pStyle w:val="Heading3"/>
        <w:keepNext/>
      </w:pPr>
      <w:r>
        <w:rPr>
          <w:rFonts w:ascii="Calibri" w:hAnsi="Calibri"/>
          <w:color w:val="1F4D78"/>
          <w:sz w:val="23"/>
        </w:rPr>
        <w:t>T16 - Information disclosure: Tool returns more content than the caller needs or content crosses data boundaries.</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Data-owner approved sites/paths; bounded text extraction; output filtering; classification handling; no generic search; least-privilege roles.</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High; residual: 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Data-volume and cross-site tests; Data owner/Security</w:t>
      </w:r>
    </w:p>
    <w:p>
      <w:pPr>
        <w:pStyle w:val="Heading3"/>
        <w:keepNext/>
      </w:pPr>
      <w:r>
        <w:rPr>
          <w:rFonts w:ascii="Calibri" w:hAnsi="Calibri"/>
          <w:color w:val="1F4D78"/>
          <w:sz w:val="23"/>
        </w:rPr>
        <w:t>T17 - Elevation of privilege: Administrator, pipeline or Terraform state compromise expands access.</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Separate state and roles; least-privilege CI/TFE identities; protected branches; path reviewers; approval gates; state encryption/access logging; break-glass monitoring.</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Critical; residual: 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Access review and deployment audit; Cloud/DevOps/Security</w:t>
      </w:r>
    </w:p>
    <w:p>
      <w:pPr>
        <w:pStyle w:val="Heading3"/>
        <w:keepNext/>
      </w:pPr>
      <w:r>
        <w:rPr>
          <w:rFonts w:ascii="Calibri" w:hAnsi="Calibri"/>
          <w:color w:val="1F4D78"/>
          <w:sz w:val="23"/>
        </w:rPr>
        <w:t>T18 - Denial of service: Gateway, Runtime, Entra, Graph, network or region dependency is unavailable.</w:t>
      </w:r>
    </w:p>
    <w:p>
      <w:pPr>
        <w:spacing w:after="160" w:line="280" w:lineRule="auto"/>
        <w:numPr>
          <w:ilvl w:val="0"/>
          <w:numId w:val="26"/>
        </w:numPr>
      </w:pPr>
      <w:r>
        <w:rPr>
          <w:rFonts w:ascii="Calibri" w:hAnsi="Calibri"/>
          <w:b/>
          <w:color w:val="17324D"/>
          <w:sz w:val="20"/>
        </w:rPr>
        <w:t xml:space="preserve">Required controls: </w:t>
      </w:r>
      <w:r>
        <w:rPr>
          <w:rFonts w:ascii="Calibri" w:hAnsi="Calibri"/>
          <w:color w:val="17324D"/>
          <w:sz w:val="20"/>
        </w:rPr>
        <w:t>Dependency timeouts; fail closed; clear error handling; service health monitoring; rollback/disable plan; agreed SLO/RTO; tested recovery.</w:t>
      </w:r>
    </w:p>
    <w:p>
      <w:pPr>
        <w:spacing w:after="160" w:line="280" w:lineRule="auto"/>
        <w:numPr>
          <w:ilvl w:val="0"/>
          <w:numId w:val="26"/>
        </w:numPr>
      </w:pPr>
      <w:r>
        <w:rPr>
          <w:rFonts w:ascii="Calibri" w:hAnsi="Calibri"/>
          <w:b/>
          <w:color w:val="17324D"/>
          <w:sz w:val="20"/>
        </w:rPr>
        <w:t xml:space="preserve">Risk: </w:t>
      </w:r>
      <w:r>
        <w:rPr>
          <w:rFonts w:ascii="Calibri" w:hAnsi="Calibri"/>
          <w:color w:val="17324D"/>
          <w:sz w:val="20"/>
        </w:rPr>
        <w:t>Inherent: High; residual: Medium.</w:t>
      </w:r>
    </w:p>
    <w:p>
      <w:pPr>
        <w:spacing w:after="160" w:line="280" w:lineRule="auto"/>
        <w:numPr>
          <w:ilvl w:val="0"/>
          <w:numId w:val="26"/>
        </w:numPr>
      </w:pPr>
      <w:r>
        <w:rPr>
          <w:rFonts w:ascii="Calibri" w:hAnsi="Calibri"/>
          <w:b/>
          <w:color w:val="17324D"/>
          <w:sz w:val="20"/>
        </w:rPr>
        <w:t xml:space="preserve">Validation / owner: </w:t>
      </w:r>
      <w:r>
        <w:rPr>
          <w:rFonts w:ascii="Calibri" w:hAnsi="Calibri"/>
          <w:color w:val="17324D"/>
          <w:sz w:val="20"/>
        </w:rPr>
        <w:t>Dependency-failure game day; Operations</w:t>
      </w:r>
    </w:p>
    <w:p>
      <w:pPr>
        <w:pStyle w:val="Heading2"/>
      </w:pPr>
      <w:r>
        <w:t>13.4 Highest residual risks</w:t>
      </w:r>
    </w:p>
    <w:p>
      <w:r>
        <w:rPr>
          <w:rFonts w:ascii="Calibri" w:hAnsi="Calibri"/>
          <w:color w:val="17324D"/>
          <w:sz w:val="22"/>
        </w:rPr>
        <w:t>The most material expected residual risks are stolen caller tokens, prompt-injection-driven misuse within otherwise valid permissions, downstream credential compromise, software supply-chain compromise, data over-disclosure and dependency availability. These risks cannot be eliminated by the Gateway alone. They require enterprise identity/device controls, narrow permissions, controlled write enablement, supply-chain assurance, monitoring and incident response.</w:t>
      </w:r>
    </w:p>
    <w:p>
      <w:pPr>
        <w:pStyle w:val="Heading1"/>
      </w:pPr>
      <w:r>
        <w:t>14. Security control requirements</w:t>
      </w:r>
    </w:p>
    <w:tbl>
      <w:tblPr>
        <w:tblStyle w:val="TableGrid"/>
        <w:tblW w:type="dxa" w:w="9360"/>
        <w:tblLayout w:type="fixed"/>
        <w:tblLook w:firstColumn="1" w:firstRow="1" w:lastColumn="0" w:lastRow="0" w:noHBand="0" w:noVBand="1" w:val="04A0"/>
        <w:tblInd w:w="120" w:type="dxa"/>
        <w:tblLayout w:type="fixed"/>
        <w:tblInd w:w="120" w:type="dxa"/>
        <w:tblLayout w:type="fixed"/>
      </w:tblPr>
      <w:tblGrid>
        <w:gridCol w:w="2200"/>
        <w:gridCol w:w="3300"/>
        <w:gridCol w:w="3860"/>
      </w:tblGrid>
      <w:tr>
        <w:trPr>
          <w:cantSplit/>
          <w:tblHeader w:val="true"/>
        </w:trPr>
        <w:tc>
          <w:tcPr>
            <w:tcW w:type="dxa" w:w="2200"/>
            <w:vAlign w:val="center"/>
            <w:tcMar>
              <w:top w:w="40" w:type="dxa"/>
              <w:start w:w="120" w:type="dxa"/>
              <w:bottom w:w="40" w:type="dxa"/>
              <w:end w:w="120" w:type="dxa"/>
            </w:tcMar>
            <w:shd w:fill="F2F4F7"/>
          </w:tcPr>
          <w:p>
            <w:pPr>
              <w:spacing w:after="0"/>
              <w:jc w:val="center"/>
            </w:pPr>
            <w:r>
              <w:rPr>
                <w:rFonts w:ascii="Calibri" w:hAnsi="Calibri"/>
                <w:b/>
                <w:color w:val="17324D"/>
                <w:sz w:val="19"/>
              </w:rPr>
              <w:t>Control</w:t>
            </w:r>
          </w:p>
        </w:tc>
        <w:tc>
          <w:tcPr>
            <w:tcW w:type="dxa" w:w="3300"/>
            <w:vAlign w:val="center"/>
            <w:tcMar>
              <w:top w:w="40" w:type="dxa"/>
              <w:start w:w="120" w:type="dxa"/>
              <w:bottom w:w="40" w:type="dxa"/>
              <w:end w:w="120" w:type="dxa"/>
            </w:tcMar>
            <w:shd w:fill="F2F4F7"/>
          </w:tcPr>
          <w:p>
            <w:pPr>
              <w:spacing w:after="0"/>
              <w:jc w:val="center"/>
            </w:pPr>
            <w:r>
              <w:rPr>
                <w:rFonts w:ascii="Calibri" w:hAnsi="Calibri"/>
                <w:b/>
                <w:color w:val="17324D"/>
                <w:sz w:val="19"/>
              </w:rPr>
              <w:t>Requirement</w:t>
            </w:r>
          </w:p>
        </w:tc>
        <w:tc>
          <w:tcPr>
            <w:tcW w:type="dxa" w:w="3860"/>
            <w:vAlign w:val="center"/>
            <w:tcMar>
              <w:top w:w="40" w:type="dxa"/>
              <w:start w:w="120" w:type="dxa"/>
              <w:bottom w:w="40" w:type="dxa"/>
              <w:end w:w="120" w:type="dxa"/>
            </w:tcMar>
            <w:shd w:fill="F2F4F7"/>
          </w:tcPr>
          <w:p>
            <w:pPr>
              <w:spacing w:after="0"/>
              <w:jc w:val="left"/>
            </w:pPr>
            <w:r>
              <w:rPr>
                <w:rFonts w:ascii="Calibri" w:hAnsi="Calibri"/>
                <w:b/>
                <w:color w:val="17324D"/>
                <w:sz w:val="19"/>
              </w:rPr>
              <w:t>Production evidence</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IAM-01</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Separate Entra API audiences, app registrations, assignments and allowed clients for nonprod and prod.</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Entra export and negative cross-environment test</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IAM-02</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Validate issuer/discovery, audience, client, scope and required role/group claims at the appropriate layer.</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Gateway configuration and token test matrix</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IAM-03</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Use an approved delegated token/refresh flow for Claude Code; do not paste long-lived tokens into static configuration.</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Endpoint/client demonstration and security review</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IAM-04</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Use a separate Graph application credential; never reuse the inbound MCP token.</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Token audience evidence and code/config review</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IAM-05</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Do not grant AgentCore Identity credential-vending permissions unless separately approved.</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Runtime/Gateway IAM policy review</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NET-01</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Restrict Gateway private access with endpoint SG/routing and exact Gateway resource scope.</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Network test and Terraform plan</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NET-02</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Restrict Runtime subnets, SGs and egress to approved dependencies.</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VPC flow evidence and firewall/proxy approval</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AUTHZ-01</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 xml:space="preserve">Run Gateway policy in </w:t>
            </w:r>
            <w:r>
              <w:rPr>
                <w:rFonts w:ascii="Courier New" w:hAnsi="Courier New"/>
                <w:color w:val="1F4D78"/>
                <w:sz w:val="17"/>
                <w:shd w:fill="EAF2F8"/>
              </w:rPr>
              <w:t>ENFORCE</w:t>
            </w:r>
            <w:r>
              <w:rPr>
                <w:rFonts w:ascii="Calibri" w:hAnsi="Calibri"/>
                <w:color w:val="17324D"/>
                <w:sz w:val="16"/>
              </w:rPr>
              <w:t xml:space="preserve"> before production and deny unknown caller/tool/resource combinations.</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Cedar tests and denial logs</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AUTHZ-02</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Trusted claims must be derived from validated context and consumed per request.</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Spoofing test and Runtime trace</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TOOL-01</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Expose only narrow, bounded tools with strict schema, identifier and path validation.</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Tool contract and negative test suite</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WRITE-01</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Require ticket, durable idempotency, optimistic concurrency, audit and recovery for writes.</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Write pilot evidence</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DATA-01</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Grant selected SharePoint permissions only to approved sites and paths.</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Graph/SharePoint permission inventory</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LOG-01</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Centralize authentication, policy, tool and deployment audit with agreed retention and SIEM alerts.</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Dashboard, alarm and sample trace</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LOG-02</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Prove that logs/traces do not contain tokens, secrets or full documents.</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Automated scan and manual sample review</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SUP-01</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Deploy scanned, SBOM-attested and signed immutable images with pinned dependencies.</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Build provenance and ECR digest</w:t>
            </w:r>
          </w:p>
        </w:tc>
      </w:tr>
      <w:tr>
        <w:trPr>
          <w:cantSplit/>
        </w:trPr>
        <w:tc>
          <w:tcPr>
            <w:tcW w:type="dxa" w:w="2200"/>
            <w:vAlign w:val="center"/>
            <w:tcMar>
              <w:top w:w="40" w:type="dxa"/>
              <w:start w:w="120" w:type="dxa"/>
              <w:bottom w:w="40" w:type="dxa"/>
              <w:end w:w="120" w:type="dxa"/>
            </w:tcMar>
          </w:tcPr>
          <w:p>
            <w:pPr>
              <w:spacing w:after="0" w:line="252" w:lineRule="auto"/>
              <w:jc w:val="center"/>
            </w:pPr>
            <w:r>
              <w:rPr>
                <w:rFonts w:ascii="Calibri" w:hAnsi="Calibri"/>
                <w:color w:val="17324D"/>
                <w:sz w:val="16"/>
              </w:rPr>
              <w:t>OPS-01</w:t>
            </w:r>
          </w:p>
        </w:tc>
        <w:tc>
          <w:tcPr>
            <w:tcW w:type="dxa" w:w="3300"/>
            <w:vAlign w:val="center"/>
            <w:tcMar>
              <w:top w:w="40" w:type="dxa"/>
              <w:start w:w="120" w:type="dxa"/>
              <w:bottom w:w="40" w:type="dxa"/>
              <w:end w:w="120" w:type="dxa"/>
            </w:tcMar>
          </w:tcPr>
          <w:p>
            <w:pPr>
              <w:spacing w:after="0" w:line="252" w:lineRule="auto"/>
              <w:jc w:val="left"/>
            </w:pPr>
            <w:r>
              <w:rPr>
                <w:rFonts w:ascii="Calibri" w:hAnsi="Calibri"/>
                <w:color w:val="17324D"/>
                <w:sz w:val="16"/>
              </w:rPr>
              <w:t>Apply timeouts, bounded retries, throttling handling, kill switches and rollback runbooks.</w:t>
            </w:r>
          </w:p>
        </w:tc>
        <w:tc>
          <w:tcPr>
            <w:tcW w:type="dxa" w:w="3860"/>
            <w:vAlign w:val="center"/>
            <w:tcMar>
              <w:top w:w="40" w:type="dxa"/>
              <w:start w:w="120" w:type="dxa"/>
              <w:bottom w:w="40" w:type="dxa"/>
              <w:end w:w="120" w:type="dxa"/>
            </w:tcMar>
          </w:tcPr>
          <w:p>
            <w:pPr>
              <w:spacing w:after="0" w:line="252" w:lineRule="auto"/>
              <w:jc w:val="left"/>
            </w:pPr>
            <w:r>
              <w:rPr>
                <w:rFonts w:ascii="Calibri" w:hAnsi="Calibri"/>
                <w:color w:val="17324D"/>
                <w:sz w:val="16"/>
              </w:rPr>
              <w:t>Failure and rollback tests</w:t>
            </w:r>
          </w:p>
        </w:tc>
      </w:tr>
    </w:tbl>
    <w:p>
      <w:pPr>
        <w:spacing w:after="40"/>
      </w:pPr>
    </w:p>
    <w:p>
      <w:pPr>
        <w:pStyle w:val="Heading1"/>
      </w:pPr>
      <w:r>
        <w:t>15. Migration strategy</w:t>
      </w:r>
    </w:p>
    <w:p>
      <w:r>
        <w:rPr>
          <w:rFonts w:ascii="Calibri" w:hAnsi="Calibri"/>
          <w:color w:val="17324D"/>
          <w:sz w:val="22"/>
        </w:rPr>
        <w:t xml:space="preserve">This is primarily a </w:t>
      </w:r>
      <w:r>
        <w:rPr>
          <w:rFonts w:ascii="Calibri" w:hAnsi="Calibri"/>
          <w:b/>
          <w:color w:val="17324D"/>
          <w:sz w:val="22"/>
        </w:rPr>
        <w:t>service adoption and control migration</w:t>
      </w:r>
      <w:r>
        <w:rPr>
          <w:rFonts w:ascii="Calibri" w:hAnsi="Calibri"/>
          <w:color w:val="17324D"/>
          <w:sz w:val="22"/>
        </w:rPr>
        <w:t>, not a bulk SharePoint data migration. SharePoint remains the system of record. Cutover consists of creating identity and infrastructure, granting selected access, enabling clients/tools and moving policy from observation to enforcement.</w:t>
      </w:r>
    </w:p>
    <w:p>
      <w:pPr>
        <w:spacing w:after="40"/>
        <w:jc w:val="center"/>
      </w:pPr>
      <w:r>
        <w:drawing>
          <wp:inline xmlns:a="http://schemas.openxmlformats.org/drawingml/2006/main" xmlns:pic="http://schemas.openxmlformats.org/drawingml/2006/picture">
            <wp:extent cx="5394960" cy="6797650"/>
            <wp:docPr id="3" name="Picture 3" title="Phased migration and approval gates" descr="Phased migration and approval gates"/>
            <wp:cNvGraphicFramePr>
              <a:graphicFrameLocks noChangeAspect="1"/>
            </wp:cNvGraphicFramePr>
            <a:graphic>
              <a:graphicData uri="http://schemas.openxmlformats.org/drawingml/2006/picture">
                <pic:pic>
                  <pic:nvPicPr>
                    <pic:cNvPr id="0" name="enterprise-mcp-platform-migration.png"/>
                    <pic:cNvPicPr/>
                  </pic:nvPicPr>
                  <pic:blipFill>
                    <a:blip r:embed="rId13"/>
                    <a:stretch>
                      <a:fillRect/>
                    </a:stretch>
                  </pic:blipFill>
                  <pic:spPr>
                    <a:xfrm>
                      <a:off x="0" y="0"/>
                      <a:ext cx="5394960" cy="6797650"/>
                    </a:xfrm>
                    <a:prstGeom prst="rect"/>
                  </pic:spPr>
                </pic:pic>
              </a:graphicData>
            </a:graphic>
          </wp:inline>
        </w:drawing>
      </w:r>
    </w:p>
    <w:p>
      <w:r>
        <w:rPr>
          <w:rFonts w:ascii="Calibri" w:hAnsi="Calibri"/>
          <w:b/>
          <w:color w:val="17324D"/>
          <w:sz w:val="22"/>
        </w:rPr>
        <w:t>Figure 3 - Phased migration and approval gates.</w:t>
      </w:r>
      <w:r>
        <w:rPr>
          <w:rFonts w:ascii="Calibri" w:hAnsi="Calibri"/>
          <w:color w:val="17324D"/>
          <w:sz w:val="22"/>
        </w:rPr>
        <w:t xml:space="preserve"> Editable source: </w:t>
      </w:r>
      <w:r>
        <w:rPr>
          <w:rFonts w:ascii="Courier New" w:hAnsi="Courier New"/>
          <w:color w:val="1F4D78"/>
          <w:sz w:val="20"/>
          <w:shd w:fill="EAF2F8"/>
        </w:rPr>
        <w:t>enterprise-mcp-platform-review.drawio</w:t>
      </w:r>
      <w:r>
        <w:rPr>
          <w:rFonts w:ascii="Calibri" w:hAnsi="Calibri"/>
          <w:color w:val="17324D"/>
          <w:sz w:val="22"/>
        </w:rPr>
        <w:t>, page “Migration Roadmap”.</w:t>
      </w:r>
    </w:p>
    <w:p>
      <w:pPr>
        <w:pStyle w:val="Heading2"/>
      </w:pPr>
      <w:r>
        <w:t>Phase 0 - Architecture and ownership approval</w:t>
      </w:r>
    </w:p>
    <w:p>
      <w:pPr>
        <w:keepNext/>
      </w:pPr>
      <w:r>
        <w:rPr>
          <w:rFonts w:ascii="Calibri" w:hAnsi="Calibri"/>
          <w:b/>
          <w:color w:val="17324D"/>
          <w:sz w:val="22"/>
        </w:rPr>
        <w:t>Actions</w:t>
      </w:r>
    </w:p>
    <w:p>
      <w:pPr>
        <w:spacing w:after="160" w:line="280" w:lineRule="auto"/>
        <w:numPr>
          <w:ilvl w:val="0"/>
          <w:numId w:val="27"/>
        </w:numPr>
      </w:pPr>
      <w:r>
        <w:rPr>
          <w:rFonts w:ascii="Calibri" w:hAnsi="Calibri"/>
          <w:color w:val="17324D"/>
          <w:sz w:val="22"/>
        </w:rPr>
        <w:t>Review this document and the five current ADRs.</w:t>
      </w:r>
    </w:p>
    <w:p>
      <w:pPr>
        <w:spacing w:after="160" w:line="280" w:lineRule="auto"/>
        <w:numPr>
          <w:ilvl w:val="0"/>
          <w:numId w:val="27"/>
        </w:numPr>
      </w:pPr>
      <w:r>
        <w:rPr>
          <w:rFonts w:ascii="Calibri" w:hAnsi="Calibri"/>
          <w:color w:val="17324D"/>
          <w:sz w:val="22"/>
        </w:rPr>
        <w:t>Confirm workload classification, approved AWS region and applicable regulatory controls.</w:t>
      </w:r>
    </w:p>
    <w:p>
      <w:pPr>
        <w:spacing w:after="160" w:line="280" w:lineRule="auto"/>
        <w:numPr>
          <w:ilvl w:val="0"/>
          <w:numId w:val="27"/>
        </w:numPr>
      </w:pPr>
      <w:r>
        <w:rPr>
          <w:rFonts w:ascii="Calibri" w:hAnsi="Calibri"/>
          <w:color w:val="17324D"/>
          <w:sz w:val="22"/>
        </w:rPr>
        <w:t>Nominate accountable owners for platform, policy, Entra, SharePoint data, operations and incident response.</w:t>
      </w:r>
    </w:p>
    <w:p>
      <w:pPr>
        <w:spacing w:after="160" w:line="280" w:lineRule="auto"/>
        <w:numPr>
          <w:ilvl w:val="0"/>
          <w:numId w:val="27"/>
        </w:numPr>
      </w:pPr>
      <w:r>
        <w:rPr>
          <w:rFonts w:ascii="Calibri" w:hAnsi="Calibri"/>
          <w:color w:val="17324D"/>
          <w:sz w:val="22"/>
        </w:rPr>
        <w:t>Agree risk-rating method, SLO/RTO, log retention and support model.</w:t>
      </w:r>
    </w:p>
    <w:p>
      <w:pPr>
        <w:spacing w:after="160" w:line="280" w:lineRule="auto"/>
        <w:numPr>
          <w:ilvl w:val="0"/>
          <w:numId w:val="27"/>
        </w:numPr>
      </w:pPr>
      <w:r>
        <w:rPr>
          <w:rFonts w:ascii="Calibri" w:hAnsi="Calibri"/>
          <w:color w:val="17324D"/>
          <w:sz w:val="22"/>
        </w:rPr>
        <w:t>Accept, reject or amend the conditions in section 18.</w:t>
      </w:r>
    </w:p>
    <w:p>
      <w:r>
        <w:rPr>
          <w:rFonts w:ascii="Calibri" w:hAnsi="Calibri"/>
          <w:b/>
          <w:color w:val="17324D"/>
          <w:sz w:val="22"/>
        </w:rPr>
        <w:t>Exit gate:</w:t>
      </w:r>
      <w:r>
        <w:rPr>
          <w:rFonts w:ascii="Calibri" w:hAnsi="Calibri"/>
          <w:color w:val="17324D"/>
          <w:sz w:val="22"/>
        </w:rPr>
        <w:t xml:space="preserve"> Architecture and Cyber Security authorize non-production validation; Microsoft Identity and SharePoint owners agree the proposed identity/permission model.</w:t>
      </w:r>
    </w:p>
    <w:p>
      <w:r>
        <w:rPr>
          <w:rFonts w:ascii="Calibri" w:hAnsi="Calibri"/>
          <w:b/>
          <w:color w:val="17324D"/>
          <w:sz w:val="22"/>
        </w:rPr>
        <w:t>Rollback:</w:t>
      </w:r>
      <w:r>
        <w:rPr>
          <w:rFonts w:ascii="Calibri" w:hAnsi="Calibri"/>
          <w:color w:val="17324D"/>
          <w:sz w:val="22"/>
        </w:rPr>
        <w:t xml:space="preserve"> No deployed service; resolve design findings before proceeding.</w:t>
      </w:r>
    </w:p>
    <w:p>
      <w:pPr>
        <w:pStyle w:val="Heading2"/>
      </w:pPr>
      <w:r>
        <w:t>Phase 1 - Complete and harden the implementation</w:t>
      </w:r>
    </w:p>
    <w:p>
      <w:pPr>
        <w:keepNext/>
      </w:pPr>
      <w:r>
        <w:rPr>
          <w:rFonts w:ascii="Calibri" w:hAnsi="Calibri"/>
          <w:b/>
          <w:color w:val="17324D"/>
          <w:sz w:val="22"/>
        </w:rPr>
        <w:t>Actions</w:t>
      </w:r>
    </w:p>
    <w:p>
      <w:pPr>
        <w:spacing w:after="160" w:line="280" w:lineRule="auto"/>
        <w:numPr>
          <w:ilvl w:val="0"/>
          <w:numId w:val="28"/>
        </w:numPr>
      </w:pPr>
      <w:r>
        <w:rPr>
          <w:rFonts w:ascii="Calibri" w:hAnsi="Calibri"/>
          <w:color w:val="17324D"/>
          <w:sz w:val="22"/>
        </w:rPr>
        <w:t>Implement the real Graph client with selected permissions, timeouts, throttling and safe error mapping.</w:t>
      </w:r>
    </w:p>
    <w:p>
      <w:pPr>
        <w:spacing w:after="160" w:line="280" w:lineRule="auto"/>
        <w:numPr>
          <w:ilvl w:val="0"/>
          <w:numId w:val="28"/>
        </w:numPr>
      </w:pPr>
      <w:r>
        <w:rPr>
          <w:rFonts w:ascii="Calibri" w:hAnsi="Calibri"/>
          <w:color w:val="17324D"/>
          <w:sz w:val="22"/>
        </w:rPr>
        <w:t>Decide and implement downstream credential custody and rotation.</w:t>
      </w:r>
    </w:p>
    <w:p>
      <w:pPr>
        <w:spacing w:after="160" w:line="280" w:lineRule="auto"/>
        <w:numPr>
          <w:ilvl w:val="0"/>
          <w:numId w:val="28"/>
        </w:numPr>
      </w:pPr>
      <w:r>
        <w:rPr>
          <w:rFonts w:ascii="Calibri" w:hAnsi="Calibri"/>
          <w:color w:val="17324D"/>
          <w:sz w:val="22"/>
        </w:rPr>
        <w:t>Wire trusted Gateway claims into per-request Runtime context or keep all caller policy at Gateway.</w:t>
      </w:r>
    </w:p>
    <w:p>
      <w:pPr>
        <w:spacing w:after="160" w:line="280" w:lineRule="auto"/>
        <w:numPr>
          <w:ilvl w:val="0"/>
          <w:numId w:val="28"/>
        </w:numPr>
      </w:pPr>
      <w:r>
        <w:rPr>
          <w:rFonts w:ascii="Calibri" w:hAnsi="Calibri"/>
          <w:color w:val="17324D"/>
          <w:sz w:val="22"/>
        </w:rPr>
        <w:t>Implement durable idempotency and real ETag conditional writes, while keeping write tools disabled.</w:t>
      </w:r>
    </w:p>
    <w:p>
      <w:pPr>
        <w:spacing w:after="160" w:line="280" w:lineRule="auto"/>
        <w:numPr>
          <w:ilvl w:val="0"/>
          <w:numId w:val="28"/>
        </w:numPr>
      </w:pPr>
      <w:r>
        <w:rPr>
          <w:rFonts w:ascii="Calibri" w:hAnsi="Calibri"/>
          <w:color w:val="17324D"/>
          <w:sz w:val="22"/>
        </w:rPr>
        <w:t>Generate/reconcile Cedar from the policy source and expand negative tests.</w:t>
      </w:r>
    </w:p>
    <w:p>
      <w:pPr>
        <w:spacing w:after="160" w:line="280" w:lineRule="auto"/>
        <w:numPr>
          <w:ilvl w:val="0"/>
          <w:numId w:val="28"/>
        </w:numPr>
      </w:pPr>
      <w:r>
        <w:rPr>
          <w:rFonts w:ascii="Calibri" w:hAnsi="Calibri"/>
          <w:color w:val="17324D"/>
          <w:sz w:val="22"/>
        </w:rPr>
        <w:t>Pin dependencies/providers and add image scanning, SBOM and signing.</w:t>
      </w:r>
    </w:p>
    <w:p>
      <w:pPr>
        <w:spacing w:after="160" w:line="280" w:lineRule="auto"/>
        <w:numPr>
          <w:ilvl w:val="0"/>
          <w:numId w:val="28"/>
        </w:numPr>
      </w:pPr>
      <w:r>
        <w:rPr>
          <w:rFonts w:ascii="Calibri" w:hAnsi="Calibri"/>
          <w:color w:val="17324D"/>
          <w:sz w:val="22"/>
        </w:rPr>
        <w:t>Add log redaction tests, Gateway log destinations, dashboards and alarms.</w:t>
      </w:r>
    </w:p>
    <w:p>
      <w:r>
        <w:rPr>
          <w:rFonts w:ascii="Calibri" w:hAnsi="Calibri"/>
          <w:b/>
          <w:color w:val="17324D"/>
          <w:sz w:val="22"/>
        </w:rPr>
        <w:t>Exit gate:</w:t>
      </w:r>
      <w:r>
        <w:rPr>
          <w:rFonts w:ascii="Calibri" w:hAnsi="Calibri"/>
          <w:color w:val="17324D"/>
          <w:sz w:val="22"/>
        </w:rPr>
        <w:t xml:space="preserve"> Code, policy and infrastructure tests pass; no critical/high unresolved implementation defect; build provenance is available.</w:t>
      </w:r>
    </w:p>
    <w:p>
      <w:r>
        <w:rPr>
          <w:rFonts w:ascii="Calibri" w:hAnsi="Calibri"/>
          <w:b/>
          <w:color w:val="17324D"/>
          <w:sz w:val="22"/>
        </w:rPr>
        <w:t>Rollback:</w:t>
      </w:r>
      <w:r>
        <w:rPr>
          <w:rFonts w:ascii="Calibri" w:hAnsi="Calibri"/>
          <w:color w:val="17324D"/>
          <w:sz w:val="22"/>
        </w:rPr>
        <w:t xml:space="preserve"> Revert source/policy changes; no external users enabled.</w:t>
      </w:r>
    </w:p>
    <w:p>
      <w:pPr>
        <w:pStyle w:val="Heading2"/>
      </w:pPr>
      <w:r>
        <w:t>Phase 2 - Non-production identity, network and Runtime deployment</w:t>
      </w:r>
    </w:p>
    <w:p>
      <w:pPr>
        <w:keepNext/>
      </w:pPr>
      <w:r>
        <w:rPr>
          <w:rFonts w:ascii="Calibri" w:hAnsi="Calibri"/>
          <w:b/>
          <w:color w:val="17324D"/>
          <w:sz w:val="22"/>
        </w:rPr>
        <w:t>Actions</w:t>
      </w:r>
    </w:p>
    <w:p>
      <w:pPr>
        <w:spacing w:after="160" w:line="280" w:lineRule="auto"/>
        <w:numPr>
          <w:ilvl w:val="0"/>
          <w:numId w:val="29"/>
        </w:numPr>
      </w:pPr>
      <w:r>
        <w:rPr>
          <w:rFonts w:ascii="Calibri" w:hAnsi="Calibri"/>
          <w:color w:val="17324D"/>
          <w:sz w:val="22"/>
        </w:rPr>
        <w:t>Deploy separate non-production Entra API/client registrations and assignments.</w:t>
      </w:r>
    </w:p>
    <w:p>
      <w:pPr>
        <w:spacing w:after="160" w:line="280" w:lineRule="auto"/>
        <w:numPr>
          <w:ilvl w:val="0"/>
          <w:numId w:val="29"/>
        </w:numPr>
      </w:pPr>
      <w:r>
        <w:rPr>
          <w:rFonts w:ascii="Calibri" w:hAnsi="Calibri"/>
          <w:color w:val="17324D"/>
          <w:sz w:val="22"/>
        </w:rPr>
        <w:t>Deploy non-production Gateway, policy engine, SharePoint Runtime, target, IAM policies and VPC endpoint through TFE.</w:t>
      </w:r>
    </w:p>
    <w:p>
      <w:pPr>
        <w:spacing w:after="160" w:line="280" w:lineRule="auto"/>
        <w:numPr>
          <w:ilvl w:val="0"/>
          <w:numId w:val="29"/>
        </w:numPr>
      </w:pPr>
      <w:r>
        <w:rPr>
          <w:rFonts w:ascii="Calibri" w:hAnsi="Calibri"/>
          <w:color w:val="17324D"/>
          <w:sz w:val="22"/>
        </w:rPr>
        <w:t>Use an immutable non-production image.</w:t>
      </w:r>
    </w:p>
    <w:p>
      <w:pPr>
        <w:spacing w:after="160" w:line="280" w:lineRule="auto"/>
        <w:numPr>
          <w:ilvl w:val="0"/>
          <w:numId w:val="29"/>
        </w:numPr>
      </w:pPr>
      <w:r>
        <w:rPr>
          <w:rFonts w:ascii="Calibri" w:hAnsi="Calibri"/>
          <w:color w:val="17324D"/>
          <w:sz w:val="22"/>
        </w:rPr>
        <w:t>Grant the Graph application read-only selected access to a dedicated test site.</w:t>
      </w:r>
    </w:p>
    <w:p>
      <w:pPr>
        <w:spacing w:after="160" w:line="280" w:lineRule="auto"/>
        <w:numPr>
          <w:ilvl w:val="0"/>
          <w:numId w:val="29"/>
        </w:numPr>
      </w:pPr>
      <w:r>
        <w:rPr>
          <w:rFonts w:ascii="Calibri" w:hAnsi="Calibri"/>
          <w:color w:val="17324D"/>
          <w:sz w:val="22"/>
        </w:rPr>
        <w:t xml:space="preserve">Keep Gateway policy in </w:t>
      </w:r>
      <w:r>
        <w:rPr>
          <w:rFonts w:ascii="Courier New" w:hAnsi="Courier New"/>
          <w:color w:val="1F4D78"/>
          <w:sz w:val="20"/>
          <w:shd w:fill="EAF2F8"/>
        </w:rPr>
        <w:t>LOG_ONLY</w:t>
      </w:r>
      <w:r>
        <w:rPr>
          <w:rFonts w:ascii="Calibri" w:hAnsi="Calibri"/>
          <w:color w:val="17324D"/>
          <w:sz w:val="22"/>
        </w:rPr>
        <w:t xml:space="preserve"> only long enough to compare expected decisions; Runtime and Graph remain restrictive.</w:t>
      </w:r>
    </w:p>
    <w:p>
      <w:pPr>
        <w:spacing w:after="160" w:line="280" w:lineRule="auto"/>
        <w:numPr>
          <w:ilvl w:val="0"/>
          <w:numId w:val="29"/>
        </w:numPr>
      </w:pPr>
      <w:r>
        <w:rPr>
          <w:rFonts w:ascii="Calibri" w:hAnsi="Calibri"/>
          <w:color w:val="17324D"/>
          <w:sz w:val="22"/>
        </w:rPr>
        <w:t>Validate private DNS/routing from approved AWS workloads and developer networks.</w:t>
      </w:r>
    </w:p>
    <w:p>
      <w:r>
        <w:rPr>
          <w:rFonts w:ascii="Calibri" w:hAnsi="Calibri"/>
          <w:b/>
          <w:color w:val="17324D"/>
          <w:sz w:val="22"/>
        </w:rPr>
        <w:t>Exit gate:</w:t>
      </w:r>
      <w:r>
        <w:rPr>
          <w:rFonts w:ascii="Calibri" w:hAnsi="Calibri"/>
          <w:color w:val="17324D"/>
          <w:sz w:val="22"/>
        </w:rPr>
        <w:t xml:space="preserve"> Correct and incorrect tokens behave as expected; direct Runtime invocation is denied; Gateway-to-Runtime MCP operations succeed; private routing and audit correlation are proven.</w:t>
      </w:r>
    </w:p>
    <w:p>
      <w:r>
        <w:rPr>
          <w:rFonts w:ascii="Calibri" w:hAnsi="Calibri"/>
          <w:b/>
          <w:color w:val="17324D"/>
          <w:sz w:val="22"/>
        </w:rPr>
        <w:t>Rollback:</w:t>
      </w:r>
      <w:r>
        <w:rPr>
          <w:rFonts w:ascii="Calibri" w:hAnsi="Calibri"/>
          <w:color w:val="17324D"/>
          <w:sz w:val="22"/>
        </w:rPr>
        <w:t xml:space="preserve"> Remove allowed clients, disable/delete the target, revoke selected-site grant and downstream credential, and revert infrastructure through TFE.</w:t>
      </w:r>
    </w:p>
    <w:p>
      <w:pPr>
        <w:pStyle w:val="Heading2"/>
      </w:pPr>
      <w:r>
        <w:t>Phase 3 - Limited read-only developer pilot</w:t>
      </w:r>
    </w:p>
    <w:p>
      <w:pPr>
        <w:keepNext/>
      </w:pPr>
      <w:r>
        <w:rPr>
          <w:rFonts w:ascii="Calibri" w:hAnsi="Calibri"/>
          <w:b/>
          <w:color w:val="17324D"/>
          <w:sz w:val="22"/>
        </w:rPr>
        <w:t>Actions</w:t>
      </w:r>
    </w:p>
    <w:p>
      <w:pPr>
        <w:spacing w:after="160" w:line="280" w:lineRule="auto"/>
        <w:numPr>
          <w:ilvl w:val="0"/>
          <w:numId w:val="30"/>
        </w:numPr>
      </w:pPr>
      <w:r>
        <w:rPr>
          <w:rFonts w:ascii="Calibri" w:hAnsi="Calibri"/>
          <w:color w:val="17324D"/>
          <w:sz w:val="22"/>
        </w:rPr>
        <w:t>Enable a small named developer cohort on a non-sensitive test/approved site.</w:t>
      </w:r>
    </w:p>
    <w:p>
      <w:pPr>
        <w:spacing w:after="160" w:line="280" w:lineRule="auto"/>
        <w:numPr>
          <w:ilvl w:val="0"/>
          <w:numId w:val="30"/>
        </w:numPr>
      </w:pPr>
      <w:r>
        <w:rPr>
          <w:rFonts w:ascii="Calibri" w:hAnsi="Calibri"/>
          <w:color w:val="17324D"/>
          <w:sz w:val="22"/>
        </w:rPr>
        <w:t>Validate the approved Claude Code OAuth/token-refresh experience.</w:t>
      </w:r>
    </w:p>
    <w:p>
      <w:pPr>
        <w:spacing w:after="160" w:line="280" w:lineRule="auto"/>
        <w:numPr>
          <w:ilvl w:val="0"/>
          <w:numId w:val="30"/>
        </w:numPr>
      </w:pPr>
      <w:r>
        <w:rPr>
          <w:rFonts w:ascii="Calibri" w:hAnsi="Calibri"/>
          <w:color w:val="17324D"/>
          <w:sz w:val="22"/>
        </w:rPr>
        <w:t xml:space="preserve">Enable </w:t>
      </w:r>
      <w:r>
        <w:rPr>
          <w:rFonts w:ascii="Courier New" w:hAnsi="Courier New"/>
          <w:color w:val="1F4D78"/>
          <w:sz w:val="20"/>
          <w:shd w:fill="EAF2F8"/>
        </w:rPr>
        <w:t>sharepoint_list_site_content</w:t>
      </w:r>
      <w:r>
        <w:rPr>
          <w:rFonts w:ascii="Calibri" w:hAnsi="Calibri"/>
          <w:color w:val="17324D"/>
          <w:sz w:val="22"/>
        </w:rPr>
        <w:t xml:space="preserve"> and </w:t>
      </w:r>
      <w:r>
        <w:rPr>
          <w:rFonts w:ascii="Courier New" w:hAnsi="Courier New"/>
          <w:color w:val="1F4D78"/>
          <w:sz w:val="20"/>
          <w:shd w:fill="EAF2F8"/>
        </w:rPr>
        <w:t>sharepoint_get_file_text</w:t>
      </w:r>
      <w:r>
        <w:rPr>
          <w:rFonts w:ascii="Calibri" w:hAnsi="Calibri"/>
          <w:color w:val="17324D"/>
          <w:sz w:val="22"/>
        </w:rPr>
        <w:t xml:space="preserve"> only.</w:t>
      </w:r>
    </w:p>
    <w:p>
      <w:pPr>
        <w:spacing w:after="160" w:line="280" w:lineRule="auto"/>
        <w:numPr>
          <w:ilvl w:val="0"/>
          <w:numId w:val="30"/>
        </w:numPr>
      </w:pPr>
      <w:r>
        <w:rPr>
          <w:rFonts w:ascii="Calibri" w:hAnsi="Calibri"/>
          <w:color w:val="17324D"/>
          <w:sz w:val="22"/>
        </w:rPr>
        <w:t>Test semantic discovery, direct tool calls, denial behaviour, prompt injection, output limits and throttling.</w:t>
      </w:r>
    </w:p>
    <w:p>
      <w:pPr>
        <w:spacing w:after="160" w:line="280" w:lineRule="auto"/>
        <w:numPr>
          <w:ilvl w:val="0"/>
          <w:numId w:val="30"/>
        </w:numPr>
      </w:pPr>
      <w:r>
        <w:rPr>
          <w:rFonts w:ascii="Calibri" w:hAnsi="Calibri"/>
          <w:color w:val="17324D"/>
          <w:sz w:val="22"/>
        </w:rPr>
        <w:t xml:space="preserve">Compare policy decisions with the source matrix, then switch read policy to </w:t>
      </w:r>
      <w:r>
        <w:rPr>
          <w:rFonts w:ascii="Courier New" w:hAnsi="Courier New"/>
          <w:color w:val="1F4D78"/>
          <w:sz w:val="20"/>
          <w:shd w:fill="EAF2F8"/>
        </w:rPr>
        <w:t>ENFORCE</w:t>
      </w:r>
      <w:r>
        <w:rPr>
          <w:rFonts w:ascii="Calibri" w:hAnsi="Calibri"/>
          <w:color w:val="17324D"/>
          <w:sz w:val="22"/>
        </w:rPr>
        <w:t>.</w:t>
      </w:r>
    </w:p>
    <w:p>
      <w:pPr>
        <w:spacing w:after="160" w:line="280" w:lineRule="auto"/>
        <w:numPr>
          <w:ilvl w:val="0"/>
          <w:numId w:val="30"/>
        </w:numPr>
      </w:pPr>
      <w:r>
        <w:rPr>
          <w:rFonts w:ascii="Calibri" w:hAnsi="Calibri"/>
          <w:color w:val="17324D"/>
          <w:sz w:val="22"/>
        </w:rPr>
        <w:t>Run operational monitoring and incident-response exercises.</w:t>
      </w:r>
    </w:p>
    <w:p>
      <w:r>
        <w:rPr>
          <w:rFonts w:ascii="Calibri" w:hAnsi="Calibri"/>
          <w:b/>
          <w:color w:val="17324D"/>
          <w:sz w:val="22"/>
        </w:rPr>
        <w:t>Exit gate:</w:t>
      </w:r>
      <w:r>
        <w:rPr>
          <w:rFonts w:ascii="Calibri" w:hAnsi="Calibri"/>
          <w:color w:val="17324D"/>
          <w:sz w:val="22"/>
        </w:rPr>
        <w:t xml:space="preserve"> Pilot success criteria are met for an agreed observation period; no unauthorized access; support, dashboards and revocation are proven; user/data-owner feedback is accepted.</w:t>
      </w:r>
    </w:p>
    <w:p>
      <w:r>
        <w:rPr>
          <w:rFonts w:ascii="Calibri" w:hAnsi="Calibri"/>
          <w:b/>
          <w:color w:val="17324D"/>
          <w:sz w:val="22"/>
        </w:rPr>
        <w:t>Rollback:</w:t>
      </w:r>
      <w:r>
        <w:rPr>
          <w:rFonts w:ascii="Calibri" w:hAnsi="Calibri"/>
          <w:color w:val="17324D"/>
          <w:sz w:val="22"/>
        </w:rPr>
        <w:t xml:space="preserve"> Remove pilot group/client assignment, deny read tools or disable the target; retain logs for investigation.</w:t>
      </w:r>
    </w:p>
    <w:p>
      <w:pPr>
        <w:pStyle w:val="Heading2"/>
      </w:pPr>
      <w:r>
        <w:t>Phase 4 - Optional AWS AI service-caller read integration</w:t>
      </w:r>
    </w:p>
    <w:p>
      <w:pPr>
        <w:keepNext/>
      </w:pPr>
      <w:r>
        <w:rPr>
          <w:rFonts w:ascii="Calibri" w:hAnsi="Calibri"/>
          <w:b/>
          <w:color w:val="17324D"/>
          <w:sz w:val="22"/>
        </w:rPr>
        <w:t>Actions</w:t>
      </w:r>
    </w:p>
    <w:p>
      <w:pPr>
        <w:spacing w:after="160" w:line="280" w:lineRule="auto"/>
        <w:numPr>
          <w:ilvl w:val="0"/>
          <w:numId w:val="31"/>
        </w:numPr>
      </w:pPr>
      <w:r>
        <w:rPr>
          <w:rFonts w:ascii="Calibri" w:hAnsi="Calibri"/>
          <w:color w:val="17324D"/>
          <w:sz w:val="22"/>
        </w:rPr>
        <w:t>Confirm that an approved AI agent or AI application running in AWS has a governed SharePoint-read use case.</w:t>
      </w:r>
    </w:p>
    <w:p>
      <w:pPr>
        <w:spacing w:after="160" w:line="280" w:lineRule="auto"/>
        <w:numPr>
          <w:ilvl w:val="0"/>
          <w:numId w:val="31"/>
        </w:numPr>
      </w:pPr>
      <w:r>
        <w:rPr>
          <w:rFonts w:ascii="Calibri" w:hAnsi="Calibri"/>
          <w:color w:val="17324D"/>
          <w:sz w:val="22"/>
        </w:rPr>
        <w:t>Create/approve its app-only role and credential custody, rotation and revocation controls.</w:t>
      </w:r>
    </w:p>
    <w:p>
      <w:pPr>
        <w:spacing w:after="160" w:line="280" w:lineRule="auto"/>
        <w:numPr>
          <w:ilvl w:val="0"/>
          <w:numId w:val="31"/>
        </w:numPr>
      </w:pPr>
      <w:r>
        <w:rPr>
          <w:rFonts w:ascii="Calibri" w:hAnsi="Calibri"/>
          <w:color w:val="17324D"/>
          <w:sz w:val="22"/>
        </w:rPr>
        <w:t>Allow only read tools and approved sites/paths.</w:t>
      </w:r>
    </w:p>
    <w:p>
      <w:pPr>
        <w:spacing w:after="160" w:line="280" w:lineRule="auto"/>
        <w:numPr>
          <w:ilvl w:val="0"/>
          <w:numId w:val="31"/>
        </w:numPr>
      </w:pPr>
      <w:r>
        <w:rPr>
          <w:rFonts w:ascii="Calibri" w:hAnsi="Calibri"/>
          <w:color w:val="17324D"/>
          <w:sz w:val="22"/>
        </w:rPr>
        <w:t>Validate token caching, private AWS workload routing, retries and audit separation from human callers.</w:t>
      </w:r>
    </w:p>
    <w:p>
      <w:r>
        <w:rPr>
          <w:rFonts w:ascii="Calibri" w:hAnsi="Calibri"/>
          <w:b/>
          <w:color w:val="17324D"/>
          <w:sz w:val="22"/>
        </w:rPr>
        <w:t>Exit gate:</w:t>
      </w:r>
      <w:r>
        <w:rPr>
          <w:rFonts w:ascii="Calibri" w:hAnsi="Calibri"/>
          <w:color w:val="17324D"/>
          <w:sz w:val="22"/>
        </w:rPr>
        <w:t xml:space="preserve"> Application owner, Identity, Security and data owner approve service access; app-only negative tests pass.</w:t>
      </w:r>
    </w:p>
    <w:p>
      <w:r>
        <w:rPr>
          <w:rFonts w:ascii="Calibri" w:hAnsi="Calibri"/>
          <w:b/>
          <w:color w:val="17324D"/>
          <w:sz w:val="22"/>
        </w:rPr>
        <w:t>Rollback:</w:t>
      </w:r>
      <w:r>
        <w:rPr>
          <w:rFonts w:ascii="Calibri" w:hAnsi="Calibri"/>
          <w:color w:val="17324D"/>
          <w:sz w:val="22"/>
        </w:rPr>
        <w:t xml:space="preserve"> Remove the app role/allowed client, revoke the credential and disable MCP calls from the AWS workload.</w:t>
      </w:r>
    </w:p>
    <w:p>
      <w:pPr>
        <w:pStyle w:val="Heading2"/>
      </w:pPr>
      <w:r>
        <w:t>Phase 5 - Controlled non-production write pilot</w:t>
      </w:r>
    </w:p>
    <w:p>
      <w:pPr>
        <w:keepNext/>
      </w:pPr>
      <w:r>
        <w:rPr>
          <w:rFonts w:ascii="Calibri" w:hAnsi="Calibri"/>
          <w:b/>
          <w:color w:val="17324D"/>
          <w:sz w:val="22"/>
        </w:rPr>
        <w:t>Actions</w:t>
      </w:r>
    </w:p>
    <w:p>
      <w:pPr>
        <w:spacing w:after="160" w:line="280" w:lineRule="auto"/>
        <w:numPr>
          <w:ilvl w:val="0"/>
          <w:numId w:val="32"/>
        </w:numPr>
      </w:pPr>
      <w:r>
        <w:rPr>
          <w:rFonts w:ascii="Calibri" w:hAnsi="Calibri"/>
          <w:color w:val="17324D"/>
          <w:sz w:val="22"/>
        </w:rPr>
        <w:t>Select one low-risk site/path with versioning and a named data owner.</w:t>
      </w:r>
    </w:p>
    <w:p>
      <w:pPr>
        <w:spacing w:after="160" w:line="280" w:lineRule="auto"/>
        <w:numPr>
          <w:ilvl w:val="0"/>
          <w:numId w:val="32"/>
        </w:numPr>
      </w:pPr>
      <w:r>
        <w:rPr>
          <w:rFonts w:ascii="Calibri" w:hAnsi="Calibri"/>
          <w:color w:val="17324D"/>
          <w:sz w:val="22"/>
        </w:rPr>
        <w:t>Enable one write tool for a small publisher cohort.</w:t>
      </w:r>
    </w:p>
    <w:p>
      <w:pPr>
        <w:spacing w:after="160" w:line="280" w:lineRule="auto"/>
        <w:numPr>
          <w:ilvl w:val="0"/>
          <w:numId w:val="32"/>
        </w:numPr>
      </w:pPr>
      <w:r>
        <w:rPr>
          <w:rFonts w:ascii="Calibri" w:hAnsi="Calibri"/>
          <w:color w:val="17324D"/>
          <w:sz w:val="22"/>
        </w:rPr>
        <w:t xml:space="preserve">Require policy </w:t>
      </w:r>
      <w:r>
        <w:rPr>
          <w:rFonts w:ascii="Courier New" w:hAnsi="Courier New"/>
          <w:color w:val="1F4D78"/>
          <w:sz w:val="20"/>
          <w:shd w:fill="EAF2F8"/>
        </w:rPr>
        <w:t>ENFORCE</w:t>
      </w:r>
      <w:r>
        <w:rPr>
          <w:rFonts w:ascii="Calibri" w:hAnsi="Calibri"/>
          <w:color w:val="17324D"/>
          <w:sz w:val="22"/>
        </w:rPr>
        <w:t>, approved tickets, durable idempotency and ETags.</w:t>
      </w:r>
    </w:p>
    <w:p>
      <w:pPr>
        <w:spacing w:after="160" w:line="280" w:lineRule="auto"/>
        <w:numPr>
          <w:ilvl w:val="0"/>
          <w:numId w:val="32"/>
        </w:numPr>
      </w:pPr>
      <w:r>
        <w:rPr>
          <w:rFonts w:ascii="Calibri" w:hAnsi="Calibri"/>
          <w:color w:val="17324D"/>
          <w:sz w:val="22"/>
        </w:rPr>
        <w:t>Test replay, stale ETag, partial failure, throttling, rollback and SharePoint version restore.</w:t>
      </w:r>
    </w:p>
    <w:p>
      <w:pPr>
        <w:spacing w:after="160" w:line="280" w:lineRule="auto"/>
        <w:numPr>
          <w:ilvl w:val="0"/>
          <w:numId w:val="32"/>
        </w:numPr>
      </w:pPr>
      <w:r>
        <w:rPr>
          <w:rFonts w:ascii="Calibri" w:hAnsi="Calibri"/>
          <w:color w:val="17324D"/>
          <w:sz w:val="22"/>
        </w:rPr>
        <w:t>Review audit evidence with Security and the data owner.</w:t>
      </w:r>
    </w:p>
    <w:p>
      <w:r>
        <w:rPr>
          <w:rFonts w:ascii="Calibri" w:hAnsi="Calibri"/>
          <w:b/>
          <w:color w:val="17324D"/>
          <w:sz w:val="22"/>
        </w:rPr>
        <w:t>Exit gate:</w:t>
      </w:r>
      <w:r>
        <w:rPr>
          <w:rFonts w:ascii="Calibri" w:hAnsi="Calibri"/>
          <w:color w:val="17324D"/>
          <w:sz w:val="22"/>
        </w:rPr>
        <w:t xml:space="preserve"> All write controls and recovery procedures pass; residual risk is accepted by the data owner and Cyber Security.</w:t>
      </w:r>
    </w:p>
    <w:p>
      <w:r>
        <w:rPr>
          <w:rFonts w:ascii="Calibri" w:hAnsi="Calibri"/>
          <w:b/>
          <w:color w:val="17324D"/>
          <w:sz w:val="22"/>
        </w:rPr>
        <w:t>Rollback:</w:t>
      </w:r>
      <w:r>
        <w:rPr>
          <w:rFonts w:ascii="Calibri" w:hAnsi="Calibri"/>
          <w:color w:val="17324D"/>
          <w:sz w:val="22"/>
        </w:rPr>
        <w:t xml:space="preserve"> Deny the write tool, remove publisher assignments and selected write grant, restore affected content through SharePoint versioning if required.</w:t>
      </w:r>
    </w:p>
    <w:p>
      <w:pPr>
        <w:pStyle w:val="Heading2"/>
      </w:pPr>
      <w:r>
        <w:t>Phase 6 - Production readiness and controlled rollout</w:t>
      </w:r>
    </w:p>
    <w:p>
      <w:pPr>
        <w:keepNext/>
      </w:pPr>
      <w:r>
        <w:rPr>
          <w:rFonts w:ascii="Calibri" w:hAnsi="Calibri"/>
          <w:b/>
          <w:color w:val="17324D"/>
          <w:sz w:val="22"/>
        </w:rPr>
        <w:t>Actions</w:t>
      </w:r>
    </w:p>
    <w:p>
      <w:pPr>
        <w:spacing w:after="160" w:line="280" w:lineRule="auto"/>
        <w:numPr>
          <w:ilvl w:val="0"/>
          <w:numId w:val="33"/>
        </w:numPr>
      </w:pPr>
      <w:r>
        <w:rPr>
          <w:rFonts w:ascii="Calibri" w:hAnsi="Calibri"/>
          <w:color w:val="17324D"/>
          <w:sz w:val="22"/>
        </w:rPr>
        <w:t>Deploy production with separate state, audiences, clients, roles, permissions, images and secrets.</w:t>
      </w:r>
    </w:p>
    <w:p>
      <w:pPr>
        <w:spacing w:after="160" w:line="280" w:lineRule="auto"/>
        <w:numPr>
          <w:ilvl w:val="0"/>
          <w:numId w:val="33"/>
        </w:numPr>
      </w:pPr>
      <w:r>
        <w:rPr>
          <w:rFonts w:ascii="Calibri" w:hAnsi="Calibri"/>
          <w:color w:val="17324D"/>
          <w:sz w:val="22"/>
        </w:rPr>
        <w:t>Verify all conditions in section 18 with production-specific evidence.</w:t>
      </w:r>
    </w:p>
    <w:p>
      <w:pPr>
        <w:spacing w:after="160" w:line="280" w:lineRule="auto"/>
        <w:numPr>
          <w:ilvl w:val="0"/>
          <w:numId w:val="33"/>
        </w:numPr>
      </w:pPr>
      <w:r>
        <w:rPr>
          <w:rFonts w:ascii="Calibri" w:hAnsi="Calibri"/>
          <w:color w:val="17324D"/>
          <w:sz w:val="22"/>
        </w:rPr>
        <w:t xml:space="preserve">Set Gateway policy to </w:t>
      </w:r>
      <w:r>
        <w:rPr>
          <w:rFonts w:ascii="Courier New" w:hAnsi="Courier New"/>
          <w:color w:val="1F4D78"/>
          <w:sz w:val="20"/>
          <w:shd w:fill="EAF2F8"/>
        </w:rPr>
        <w:t>ENFORCE</w:t>
      </w:r>
      <w:r>
        <w:rPr>
          <w:rFonts w:ascii="Calibri" w:hAnsi="Calibri"/>
          <w:color w:val="17324D"/>
          <w:sz w:val="22"/>
        </w:rPr>
        <w:t xml:space="preserve"> before enabling callers.</w:t>
      </w:r>
    </w:p>
    <w:p>
      <w:pPr>
        <w:spacing w:after="160" w:line="280" w:lineRule="auto"/>
        <w:numPr>
          <w:ilvl w:val="0"/>
          <w:numId w:val="33"/>
        </w:numPr>
      </w:pPr>
      <w:r>
        <w:rPr>
          <w:rFonts w:ascii="Calibri" w:hAnsi="Calibri"/>
          <w:color w:val="17324D"/>
          <w:sz w:val="22"/>
        </w:rPr>
        <w:t>Start with read-only named cohorts and approved sites; expand gradually.</w:t>
      </w:r>
    </w:p>
    <w:p>
      <w:pPr>
        <w:spacing w:after="160" w:line="280" w:lineRule="auto"/>
        <w:numPr>
          <w:ilvl w:val="0"/>
          <w:numId w:val="33"/>
        </w:numPr>
      </w:pPr>
      <w:r>
        <w:rPr>
          <w:rFonts w:ascii="Calibri" w:hAnsi="Calibri"/>
          <w:color w:val="17324D"/>
          <w:sz w:val="22"/>
        </w:rPr>
        <w:t>Enable additional AI service callers or write tools only through their separate gates.</w:t>
      </w:r>
    </w:p>
    <w:p>
      <w:pPr>
        <w:spacing w:after="160" w:line="280" w:lineRule="auto"/>
        <w:numPr>
          <w:ilvl w:val="0"/>
          <w:numId w:val="33"/>
        </w:numPr>
      </w:pPr>
      <w:r>
        <w:rPr>
          <w:rFonts w:ascii="Calibri" w:hAnsi="Calibri"/>
          <w:color w:val="17324D"/>
          <w:sz w:val="22"/>
        </w:rPr>
        <w:t>Conduct a production rollback rehearsal and operational handover.</w:t>
      </w:r>
    </w:p>
    <w:p>
      <w:r>
        <w:rPr>
          <w:rFonts w:ascii="Calibri" w:hAnsi="Calibri"/>
          <w:b/>
          <w:color w:val="17324D"/>
          <w:sz w:val="22"/>
        </w:rPr>
        <w:t>Exit gate:</w:t>
      </w:r>
      <w:r>
        <w:rPr>
          <w:rFonts w:ascii="Calibri" w:hAnsi="Calibri"/>
          <w:color w:val="17324D"/>
          <w:sz w:val="22"/>
        </w:rPr>
        <w:t xml:space="preserve"> Architecture, Cyber Security, Identity, M365/data owner, Operations and Change Management sign the production approval record.</w:t>
      </w:r>
    </w:p>
    <w:p>
      <w:r>
        <w:rPr>
          <w:rFonts w:ascii="Calibri" w:hAnsi="Calibri"/>
          <w:b/>
          <w:color w:val="17324D"/>
          <w:sz w:val="22"/>
        </w:rPr>
        <w:t>Rollback:</w:t>
      </w:r>
      <w:r>
        <w:rPr>
          <w:rFonts w:ascii="Calibri" w:hAnsi="Calibri"/>
          <w:color w:val="17324D"/>
          <w:sz w:val="22"/>
        </w:rPr>
        <w:t xml:space="preserve"> Apply the relevant kill switch in section 16. Do not bypass Gateway by directing clients to Runtime.</w:t>
      </w:r>
    </w:p>
    <w:p>
      <w:pPr>
        <w:pStyle w:val="Heading2"/>
      </w:pPr>
      <w:r>
        <w:t>Phase 7 - Future MCP servers</w:t>
      </w:r>
    </w:p>
    <w:p>
      <w:r>
        <w:rPr>
          <w:rFonts w:ascii="Calibri" w:hAnsi="Calibri"/>
          <w:color w:val="17324D"/>
          <w:sz w:val="22"/>
        </w:rPr>
        <w:t>CRM and internal-software servers follow the same pattern but require separately approved tool contracts, identity mappings, downstream permissions, threat-model deltas, owners, test evidence and migration gates. They are not enabled merely because the shared Gateway exists.</w:t>
      </w:r>
    </w:p>
    <w:p>
      <w:pPr>
        <w:pStyle w:val="Heading1"/>
      </w:pPr>
      <w:r>
        <w:t>16. Cutover, rollback and kill switches</w:t>
      </w:r>
    </w:p>
    <w:tbl>
      <w:tblPr>
        <w:tblStyle w:val="TableGrid"/>
        <w:tblW w:type="dxa" w:w="9360"/>
        <w:tblLayout w:type="fixed"/>
        <w:tblLook w:firstColumn="1" w:firstRow="1" w:lastColumn="0" w:lastRow="0" w:noHBand="0" w:noVBand="1" w:val="04A0"/>
        <w:tblInd w:w="120" w:type="dxa"/>
        <w:tblLayout w:type="fixed"/>
        <w:tblInd w:w="120" w:type="dxa"/>
        <w:tblLayout w:type="fixed"/>
      </w:tblPr>
      <w:tblGrid>
        <w:gridCol w:w="2200"/>
        <w:gridCol w:w="3300"/>
        <w:gridCol w:w="3860"/>
      </w:tblGrid>
      <w:tr>
        <w:trPr>
          <w:cantSplit/>
          <w:tblHeader w:val="true"/>
        </w:trPr>
        <w:tc>
          <w:tcPr>
            <w:tcW w:type="dxa" w:w="2200"/>
            <w:vAlign w:val="center"/>
            <w:tcMar>
              <w:top w:w="80" w:type="dxa"/>
              <w:start w:w="120" w:type="dxa"/>
              <w:bottom w:w="80" w:type="dxa"/>
              <w:end w:w="120" w:type="dxa"/>
            </w:tcMar>
            <w:shd w:fill="F2F4F7"/>
          </w:tcPr>
          <w:p>
            <w:pPr>
              <w:spacing w:after="0"/>
              <w:jc w:val="center"/>
            </w:pPr>
            <w:r>
              <w:rPr>
                <w:rFonts w:ascii="Calibri" w:hAnsi="Calibri"/>
                <w:b/>
                <w:color w:val="17324D"/>
                <w:sz w:val="19"/>
              </w:rPr>
              <w:t>Trigger</w:t>
            </w:r>
          </w:p>
        </w:tc>
        <w:tc>
          <w:tcPr>
            <w:tcW w:type="dxa" w:w="3300"/>
            <w:vAlign w:val="center"/>
            <w:tcMar>
              <w:top w:w="80" w:type="dxa"/>
              <w:start w:w="120" w:type="dxa"/>
              <w:bottom w:w="80" w:type="dxa"/>
              <w:end w:w="120" w:type="dxa"/>
            </w:tcMar>
            <w:shd w:fill="F2F4F7"/>
          </w:tcPr>
          <w:p>
            <w:pPr>
              <w:spacing w:after="0"/>
              <w:jc w:val="left"/>
            </w:pPr>
            <w:r>
              <w:rPr>
                <w:rFonts w:ascii="Calibri" w:hAnsi="Calibri"/>
                <w:b/>
                <w:color w:val="17324D"/>
                <w:sz w:val="19"/>
              </w:rPr>
              <w:t>Immediate containment</w:t>
            </w:r>
          </w:p>
        </w:tc>
        <w:tc>
          <w:tcPr>
            <w:tcW w:type="dxa" w:w="3860"/>
            <w:vAlign w:val="center"/>
            <w:tcMar>
              <w:top w:w="80" w:type="dxa"/>
              <w:start w:w="120" w:type="dxa"/>
              <w:bottom w:w="80" w:type="dxa"/>
              <w:end w:w="120" w:type="dxa"/>
            </w:tcMar>
            <w:shd w:fill="F2F4F7"/>
          </w:tcPr>
          <w:p>
            <w:pPr>
              <w:spacing w:after="0"/>
              <w:jc w:val="left"/>
            </w:pPr>
            <w:r>
              <w:rPr>
                <w:rFonts w:ascii="Calibri" w:hAnsi="Calibri"/>
                <w:b/>
                <w:color w:val="17324D"/>
                <w:sz w:val="19"/>
              </w:rPr>
              <w:t>Recovery / rollback</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Caller token or client compromise</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Remove client/assignment; revoke sessions/credential; deny subject/client in policy</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Investigate audit trail, rotate credentials and re-enable only after approval</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Incorrect policy decision</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Set explicit deny or disable affected tool/target</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Revert policy artifact, rerun negative tests, redeploy through approved path</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Runtime/image defect</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Disable target if unsafe; stop new cohort rollout</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Redeploy last known-good immutable image and verify smoke tests</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Graph credential compromise</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Revoke credential and selected grants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Rotate credential, review Graph audit, regrant only approved sites</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Unauthorized or incorrect write</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Disable write tool and publisher role</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Use SharePoint version history/restore, reconcile idempotency record and incident evidence</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Gateway/AgentCore outage</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Fail closed and communicate service unavailability</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Restore service/dependency; no direct Runtime bypass</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Excessive throttling/load</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Reduce cohort/rate, disable expensive tools, honour backoff</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Tune quotas/concurrency after measurement and approval</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Sensitive data in logs</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Restrict log access and stop affected telemetry path if required</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Purge according to policy, fix redaction, rotate exposed credentials and notify Security/Privacy</w:t>
            </w:r>
          </w:p>
        </w:tc>
      </w:tr>
    </w:tbl>
    <w:p>
      <w:pPr>
        <w:spacing w:after="40"/>
      </w:pPr>
    </w:p>
    <w:p>
      <w:r>
        <w:rPr>
          <w:rFonts w:ascii="Calibri" w:hAnsi="Calibri"/>
          <w:color w:val="17324D"/>
          <w:sz w:val="22"/>
        </w:rPr>
        <w:t>Every kill switch must have a named operator, tested command/change path, audit trail and maximum execution time.</w:t>
      </w:r>
    </w:p>
    <w:p>
      <w:pPr>
        <w:pStyle w:val="Heading1"/>
      </w:pPr>
      <w:r>
        <w:t>17. Verification and acceptance evidence</w:t>
      </w:r>
    </w:p>
    <w:p>
      <w:pPr>
        <w:pStyle w:val="Heading2"/>
      </w:pPr>
      <w:r>
        <w:t>17.1 Functional tests</w:t>
      </w:r>
    </w:p>
    <w:p>
      <w:pPr>
        <w:spacing w:after="160" w:line="280" w:lineRule="auto"/>
        <w:numPr>
          <w:ilvl w:val="0"/>
          <w:numId w:val="34"/>
        </w:numPr>
      </w:pPr>
      <w:r>
        <w:rPr>
          <w:rFonts w:ascii="Calibri" w:hAnsi="Calibri"/>
          <w:color w:val="17324D"/>
          <w:sz w:val="22"/>
        </w:rPr>
        <w:t>MCP initialize, list, semantic search and approved read calls.</w:t>
      </w:r>
    </w:p>
    <w:p>
      <w:pPr>
        <w:spacing w:after="160" w:line="280" w:lineRule="auto"/>
        <w:numPr>
          <w:ilvl w:val="0"/>
          <w:numId w:val="34"/>
        </w:numPr>
      </w:pPr>
      <w:r>
        <w:rPr>
          <w:rFonts w:ascii="Calibri" w:hAnsi="Calibri"/>
          <w:color w:val="17324D"/>
          <w:sz w:val="22"/>
        </w:rPr>
        <w:t>Correct routing to the SharePoint Runtime.</w:t>
      </w:r>
    </w:p>
    <w:p>
      <w:pPr>
        <w:spacing w:after="160" w:line="280" w:lineRule="auto"/>
        <w:numPr>
          <w:ilvl w:val="0"/>
          <w:numId w:val="34"/>
        </w:numPr>
      </w:pPr>
      <w:r>
        <w:rPr>
          <w:rFonts w:ascii="Calibri" w:hAnsi="Calibri"/>
          <w:color w:val="17324D"/>
          <w:sz w:val="22"/>
        </w:rPr>
        <w:t>Bounded content extraction by supported file type.</w:t>
      </w:r>
    </w:p>
    <w:p>
      <w:pPr>
        <w:spacing w:after="160" w:line="280" w:lineRule="auto"/>
        <w:numPr>
          <w:ilvl w:val="0"/>
          <w:numId w:val="34"/>
        </w:numPr>
      </w:pPr>
      <w:r>
        <w:rPr>
          <w:rFonts w:ascii="Calibri" w:hAnsi="Calibri"/>
          <w:color w:val="17324D"/>
          <w:sz w:val="22"/>
        </w:rPr>
        <w:t>Graph throttling, timeout and permission error mapping.</w:t>
      </w:r>
    </w:p>
    <w:p>
      <w:pPr>
        <w:spacing w:after="160" w:line="280" w:lineRule="auto"/>
        <w:numPr>
          <w:ilvl w:val="0"/>
          <w:numId w:val="34"/>
        </w:numPr>
      </w:pPr>
      <w:r>
        <w:rPr>
          <w:rFonts w:ascii="Calibri" w:hAnsi="Calibri"/>
          <w:color w:val="17324D"/>
          <w:sz w:val="22"/>
        </w:rPr>
        <w:t>Optional AWS AI service-caller read flow.</w:t>
      </w:r>
    </w:p>
    <w:p>
      <w:pPr>
        <w:spacing w:after="160" w:line="280" w:lineRule="auto"/>
        <w:numPr>
          <w:ilvl w:val="0"/>
          <w:numId w:val="34"/>
        </w:numPr>
      </w:pPr>
      <w:r>
        <w:rPr>
          <w:rFonts w:ascii="Calibri" w:hAnsi="Calibri"/>
          <w:color w:val="17324D"/>
          <w:sz w:val="22"/>
        </w:rPr>
        <w:t>Write create/update, idempotency, stale ETag and recovery tests before write approval.</w:t>
      </w:r>
    </w:p>
    <w:p>
      <w:pPr>
        <w:pStyle w:val="Heading2"/>
      </w:pPr>
      <w:r>
        <w:t>17.2 Security tests</w:t>
      </w:r>
    </w:p>
    <w:p>
      <w:pPr>
        <w:spacing w:after="160" w:line="280" w:lineRule="auto"/>
        <w:numPr>
          <w:ilvl w:val="0"/>
          <w:numId w:val="35"/>
        </w:numPr>
      </w:pPr>
      <w:r>
        <w:rPr>
          <w:rFonts w:ascii="Calibri" w:hAnsi="Calibri"/>
          <w:color w:val="17324D"/>
          <w:sz w:val="22"/>
        </w:rPr>
        <w:t>Invalid signature, issuer, audience, client, expired token, missing scope/role and cross-environment token.</w:t>
      </w:r>
    </w:p>
    <w:p>
      <w:pPr>
        <w:spacing w:after="160" w:line="280" w:lineRule="auto"/>
        <w:numPr>
          <w:ilvl w:val="0"/>
          <w:numId w:val="35"/>
        </w:numPr>
      </w:pPr>
      <w:r>
        <w:rPr>
          <w:rFonts w:ascii="Calibri" w:hAnsi="Calibri"/>
          <w:color w:val="17324D"/>
          <w:sz w:val="22"/>
        </w:rPr>
        <w:t>Client-supplied trusted-header spoofing and missing trusted claims.</w:t>
      </w:r>
    </w:p>
    <w:p>
      <w:pPr>
        <w:spacing w:after="160" w:line="280" w:lineRule="auto"/>
        <w:numPr>
          <w:ilvl w:val="0"/>
          <w:numId w:val="35"/>
        </w:numPr>
      </w:pPr>
      <w:r>
        <w:rPr>
          <w:rFonts w:ascii="Calibri" w:hAnsi="Calibri"/>
          <w:color w:val="17324D"/>
          <w:sz w:val="22"/>
        </w:rPr>
        <w:t>Unauthorized tool, site, path and write operation.</w:t>
      </w:r>
    </w:p>
    <w:p>
      <w:pPr>
        <w:spacing w:after="160" w:line="280" w:lineRule="auto"/>
        <w:numPr>
          <w:ilvl w:val="0"/>
          <w:numId w:val="35"/>
        </w:numPr>
      </w:pPr>
      <w:r>
        <w:rPr>
          <w:rFonts w:ascii="Calibri" w:hAnsi="Calibri"/>
          <w:color w:val="17324D"/>
          <w:sz w:val="22"/>
        </w:rPr>
        <w:t>Direct Runtime invocation.</w:t>
      </w:r>
    </w:p>
    <w:p>
      <w:pPr>
        <w:spacing w:after="160" w:line="280" w:lineRule="auto"/>
        <w:numPr>
          <w:ilvl w:val="0"/>
          <w:numId w:val="35"/>
        </w:numPr>
      </w:pPr>
      <w:r>
        <w:rPr>
          <w:rFonts w:ascii="Calibri" w:hAnsi="Calibri"/>
          <w:color w:val="17324D"/>
          <w:sz w:val="22"/>
        </w:rPr>
        <w:t>Encoded path traversal, malformed IDs, oversized inputs/results and prompt-injection scenarios.</w:t>
      </w:r>
    </w:p>
    <w:p>
      <w:pPr>
        <w:spacing w:after="160" w:line="280" w:lineRule="auto"/>
        <w:numPr>
          <w:ilvl w:val="0"/>
          <w:numId w:val="35"/>
        </w:numPr>
      </w:pPr>
      <w:r>
        <w:rPr>
          <w:rFonts w:ascii="Calibri" w:hAnsi="Calibri"/>
          <w:color w:val="17324D"/>
          <w:sz w:val="22"/>
        </w:rPr>
        <w:t>Secret/token/content leakage in logs.</w:t>
      </w:r>
    </w:p>
    <w:p>
      <w:pPr>
        <w:spacing w:after="160" w:line="280" w:lineRule="auto"/>
        <w:numPr>
          <w:ilvl w:val="0"/>
          <w:numId w:val="35"/>
        </w:numPr>
      </w:pPr>
      <w:r>
        <w:rPr>
          <w:rFonts w:ascii="Calibri" w:hAnsi="Calibri"/>
          <w:color w:val="17324D"/>
          <w:sz w:val="22"/>
        </w:rPr>
        <w:t>Downstream permission inventory and cross-site denial.</w:t>
      </w:r>
    </w:p>
    <w:p>
      <w:pPr>
        <w:pStyle w:val="Heading2"/>
      </w:pPr>
      <w:r>
        <w:t>17.3 Operational tests</w:t>
      </w:r>
    </w:p>
    <w:p>
      <w:pPr>
        <w:spacing w:after="160" w:line="280" w:lineRule="auto"/>
        <w:numPr>
          <w:ilvl w:val="0"/>
          <w:numId w:val="36"/>
        </w:numPr>
      </w:pPr>
      <w:r>
        <w:rPr>
          <w:rFonts w:ascii="Calibri" w:hAnsi="Calibri"/>
          <w:color w:val="17324D"/>
          <w:sz w:val="22"/>
        </w:rPr>
        <w:t>End-to-end correlation across client, Gateway policy, Runtime and Graph.</w:t>
      </w:r>
    </w:p>
    <w:p>
      <w:pPr>
        <w:spacing w:after="160" w:line="280" w:lineRule="auto"/>
        <w:numPr>
          <w:ilvl w:val="0"/>
          <w:numId w:val="36"/>
        </w:numPr>
      </w:pPr>
      <w:r>
        <w:rPr>
          <w:rFonts w:ascii="Calibri" w:hAnsi="Calibri"/>
          <w:color w:val="17324D"/>
          <w:sz w:val="22"/>
        </w:rPr>
        <w:t>Dashboards, alarms, SIEM events and on-call runbooks.</w:t>
      </w:r>
    </w:p>
    <w:p>
      <w:pPr>
        <w:spacing w:after="160" w:line="280" w:lineRule="auto"/>
        <w:numPr>
          <w:ilvl w:val="0"/>
          <w:numId w:val="36"/>
        </w:numPr>
      </w:pPr>
      <w:r>
        <w:rPr>
          <w:rFonts w:ascii="Calibri" w:hAnsi="Calibri"/>
          <w:color w:val="17324D"/>
          <w:sz w:val="22"/>
        </w:rPr>
        <w:t>Dependency timeout, Graph throttling and partial-failure scenarios.</w:t>
      </w:r>
    </w:p>
    <w:p>
      <w:pPr>
        <w:spacing w:after="160" w:line="280" w:lineRule="auto"/>
        <w:numPr>
          <w:ilvl w:val="0"/>
          <w:numId w:val="36"/>
        </w:numPr>
      </w:pPr>
      <w:r>
        <w:rPr>
          <w:rFonts w:ascii="Calibri" w:hAnsi="Calibri"/>
          <w:color w:val="17324D"/>
          <w:sz w:val="22"/>
        </w:rPr>
        <w:t>Client revocation, tool/target kill switch, policy rollback and image rollback.</w:t>
      </w:r>
    </w:p>
    <w:p>
      <w:pPr>
        <w:spacing w:after="160" w:line="280" w:lineRule="auto"/>
        <w:numPr>
          <w:ilvl w:val="0"/>
          <w:numId w:val="36"/>
        </w:numPr>
      </w:pPr>
      <w:r>
        <w:rPr>
          <w:rFonts w:ascii="Calibri" w:hAnsi="Calibri"/>
          <w:color w:val="17324D"/>
          <w:sz w:val="22"/>
        </w:rPr>
        <w:t>Production-like load and agreed latency/error objectives.</w:t>
      </w:r>
    </w:p>
    <w:p>
      <w:pPr>
        <w:pStyle w:val="Heading2"/>
      </w:pPr>
      <w:r>
        <w:t>17.4 Deployment evidence</w:t>
      </w:r>
    </w:p>
    <w:p>
      <w:pPr>
        <w:spacing w:after="160" w:line="280" w:lineRule="auto"/>
        <w:numPr>
          <w:ilvl w:val="0"/>
          <w:numId w:val="37"/>
        </w:numPr>
      </w:pPr>
      <w:r>
        <w:rPr>
          <w:rFonts w:ascii="Calibri" w:hAnsi="Calibri"/>
          <w:color w:val="17324D"/>
          <w:sz w:val="22"/>
        </w:rPr>
        <w:t>Required Azure DevOps branch policies and reviewers.</w:t>
      </w:r>
    </w:p>
    <w:p>
      <w:pPr>
        <w:spacing w:after="160" w:line="280" w:lineRule="auto"/>
        <w:numPr>
          <w:ilvl w:val="0"/>
          <w:numId w:val="37"/>
        </w:numPr>
      </w:pPr>
      <w:r>
        <w:rPr>
          <w:rFonts w:ascii="Calibri" w:hAnsi="Calibri"/>
          <w:color w:val="17324D"/>
          <w:sz w:val="22"/>
        </w:rPr>
        <w:t>Passing policy schema, generation and negative tests.</w:t>
      </w:r>
    </w:p>
    <w:p>
      <w:pPr>
        <w:spacing w:after="160" w:line="280" w:lineRule="auto"/>
        <w:numPr>
          <w:ilvl w:val="0"/>
          <w:numId w:val="37"/>
        </w:numPr>
      </w:pPr>
      <w:r>
        <w:rPr>
          <w:rFonts w:ascii="Calibri" w:hAnsi="Calibri"/>
          <w:color w:val="17324D"/>
          <w:sz w:val="22"/>
        </w:rPr>
        <w:t>Immutable image digest, vulnerability results, SBOM and signature/provenance.</w:t>
      </w:r>
    </w:p>
    <w:p>
      <w:pPr>
        <w:spacing w:after="160" w:line="280" w:lineRule="auto"/>
        <w:numPr>
          <w:ilvl w:val="0"/>
          <w:numId w:val="37"/>
        </w:numPr>
      </w:pPr>
      <w:r>
        <w:rPr>
          <w:rFonts w:ascii="Calibri" w:hAnsi="Calibri"/>
          <w:color w:val="17324D"/>
          <w:sz w:val="22"/>
        </w:rPr>
        <w:t>Approved TFE plan/apply records and separate environment state.</w:t>
      </w:r>
    </w:p>
    <w:p>
      <w:pPr>
        <w:spacing w:after="160" w:line="280" w:lineRule="auto"/>
        <w:numPr>
          <w:ilvl w:val="0"/>
          <w:numId w:val="37"/>
        </w:numPr>
      </w:pPr>
      <w:r>
        <w:rPr>
          <w:rFonts w:ascii="Calibri" w:hAnsi="Calibri"/>
          <w:color w:val="17324D"/>
          <w:sz w:val="22"/>
        </w:rPr>
        <w:t>Entra app/assignment export and Graph selected-permission evidence.</w:t>
      </w:r>
    </w:p>
    <w:p>
      <w:pPr>
        <w:spacing w:after="160" w:line="280" w:lineRule="auto"/>
        <w:numPr>
          <w:ilvl w:val="0"/>
          <w:numId w:val="37"/>
        </w:numPr>
      </w:pPr>
      <w:r>
        <w:rPr>
          <w:rFonts w:ascii="Calibri" w:hAnsi="Calibri"/>
          <w:color w:val="17324D"/>
          <w:sz w:val="22"/>
        </w:rPr>
        <w:t>Provider/dependency versions and configuration without placeholders.</w:t>
      </w:r>
    </w:p>
    <w:p>
      <w:pPr>
        <w:pStyle w:val="Heading1"/>
      </w:pPr>
      <w:r>
        <w:t>18. Approval conditions and open decisions</w:t>
      </w:r>
    </w:p>
    <w:p>
      <w:r>
        <w:rPr>
          <w:rFonts w:ascii="Calibri" w:hAnsi="Calibri"/>
          <w:color w:val="17324D"/>
          <w:sz w:val="22"/>
        </w:rPr>
        <w:t>The following conditions block production approval unless explicitly risk-accepted by the accountable authority:</w:t>
      </w:r>
    </w:p>
    <w:p>
      <w:pPr>
        <w:spacing w:after="160" w:line="280" w:lineRule="auto"/>
        <w:numPr>
          <w:ilvl w:val="0"/>
          <w:numId w:val="38"/>
        </w:numPr>
      </w:pPr>
      <w:r>
        <w:rPr>
          <w:rFonts w:ascii="Calibri" w:hAnsi="Calibri"/>
          <w:color w:val="17324D"/>
          <w:sz w:val="22"/>
        </w:rPr>
        <w:t>Validate the Gateway MCP target invoking the AgentCore Runtime endpoint with IAM signing in the target AWS account and region.</w:t>
      </w:r>
    </w:p>
    <w:p>
      <w:pPr>
        <w:spacing w:after="160" w:line="280" w:lineRule="auto"/>
        <w:numPr>
          <w:ilvl w:val="0"/>
          <w:numId w:val="38"/>
        </w:numPr>
      </w:pPr>
      <w:r>
        <w:rPr>
          <w:rFonts w:ascii="Calibri" w:hAnsi="Calibri"/>
          <w:color w:val="17324D"/>
          <w:sz w:val="22"/>
        </w:rPr>
        <w:t>Validate Runtime resource-policy denial of direct invocation.</w:t>
      </w:r>
    </w:p>
    <w:p>
      <w:pPr>
        <w:spacing w:after="160" w:line="280" w:lineRule="auto"/>
        <w:numPr>
          <w:ilvl w:val="0"/>
          <w:numId w:val="38"/>
        </w:numPr>
      </w:pPr>
      <w:r>
        <w:rPr>
          <w:rFonts w:ascii="Calibri" w:hAnsi="Calibri"/>
          <w:color w:val="17324D"/>
          <w:sz w:val="22"/>
        </w:rPr>
        <w:t>Select and demonstrate the supported Claude Code bearer-token acquisition and refresh experience without static token storage.</w:t>
      </w:r>
    </w:p>
    <w:p>
      <w:pPr>
        <w:spacing w:after="160" w:line="280" w:lineRule="auto"/>
        <w:numPr>
          <w:ilvl w:val="0"/>
          <w:numId w:val="38"/>
        </w:numPr>
      </w:pPr>
      <w:r>
        <w:rPr>
          <w:rFonts w:ascii="Calibri" w:hAnsi="Calibri"/>
          <w:color w:val="17324D"/>
          <w:sz w:val="22"/>
        </w:rPr>
        <w:t>Complete per-request caller-claim propagation or move all identity-specific authorization to Gateway; remove reliance on static Runtime environment variables for caller identity.</w:t>
      </w:r>
    </w:p>
    <w:p>
      <w:pPr>
        <w:spacing w:after="160" w:line="280" w:lineRule="auto"/>
        <w:numPr>
          <w:ilvl w:val="0"/>
          <w:numId w:val="38"/>
        </w:numPr>
      </w:pPr>
      <w:r>
        <w:rPr>
          <w:rFonts w:ascii="Calibri" w:hAnsi="Calibri"/>
          <w:color w:val="17324D"/>
          <w:sz w:val="22"/>
        </w:rPr>
        <w:t xml:space="preserve">Generate or reconcile Gateway Cedar with the policy source, test it and set production policy to </w:t>
      </w:r>
      <w:r>
        <w:rPr>
          <w:rFonts w:ascii="Courier New" w:hAnsi="Courier New"/>
          <w:color w:val="1F4D78"/>
          <w:sz w:val="20"/>
          <w:shd w:fill="EAF2F8"/>
        </w:rPr>
        <w:t>ENFORCE</w:t>
      </w:r>
      <w:r>
        <w:rPr>
          <w:rFonts w:ascii="Calibri" w:hAnsi="Calibri"/>
          <w:color w:val="17324D"/>
          <w:sz w:val="22"/>
        </w:rPr>
        <w:t>.</w:t>
      </w:r>
    </w:p>
    <w:p>
      <w:pPr>
        <w:spacing w:after="160" w:line="280" w:lineRule="auto"/>
        <w:numPr>
          <w:ilvl w:val="0"/>
          <w:numId w:val="38"/>
        </w:numPr>
      </w:pPr>
      <w:r>
        <w:rPr>
          <w:rFonts w:ascii="Calibri" w:hAnsi="Calibri"/>
          <w:color w:val="17324D"/>
          <w:sz w:val="22"/>
        </w:rPr>
        <w:t>Implement real Microsoft Graph read behaviour with selected permissions, output bounds, supported file types, throttling and safe error handling.</w:t>
      </w:r>
    </w:p>
    <w:p>
      <w:pPr>
        <w:spacing w:after="160" w:line="280" w:lineRule="auto"/>
        <w:numPr>
          <w:ilvl w:val="0"/>
          <w:numId w:val="38"/>
        </w:numPr>
      </w:pPr>
      <w:r>
        <w:rPr>
          <w:rFonts w:ascii="Calibri" w:hAnsi="Calibri"/>
          <w:color w:val="17324D"/>
          <w:sz w:val="22"/>
        </w:rPr>
        <w:t>Approve downstream credential type, custody, rotation, revocation and Runtime access. Do not store plaintext secrets in source or normal Terraform variables/state.</w:t>
      </w:r>
    </w:p>
    <w:p>
      <w:pPr>
        <w:spacing w:after="160" w:line="280" w:lineRule="auto"/>
        <w:numPr>
          <w:ilvl w:val="0"/>
          <w:numId w:val="38"/>
        </w:numPr>
      </w:pPr>
      <w:r>
        <w:rPr>
          <w:rFonts w:ascii="Calibri" w:hAnsi="Calibri"/>
          <w:color w:val="17324D"/>
          <w:sz w:val="22"/>
        </w:rPr>
        <w:t>Implement and validate durable idempotency, ETag conditional writes and recovery before enabling any write tool.</w:t>
      </w:r>
    </w:p>
    <w:p>
      <w:pPr>
        <w:spacing w:after="160" w:line="280" w:lineRule="auto"/>
        <w:numPr>
          <w:ilvl w:val="0"/>
          <w:numId w:val="38"/>
        </w:numPr>
      </w:pPr>
      <w:r>
        <w:rPr>
          <w:rFonts w:ascii="Calibri" w:hAnsi="Calibri"/>
          <w:color w:val="17324D"/>
          <w:sz w:val="22"/>
        </w:rPr>
        <w:t>Validate PrivateLink, private DNS, endpoint policy and corporate/AWS workload routing, including the compensating controls required for OAuth callers.</w:t>
      </w:r>
    </w:p>
    <w:p>
      <w:pPr>
        <w:spacing w:after="160" w:line="280" w:lineRule="auto"/>
        <w:numPr>
          <w:ilvl w:val="0"/>
          <w:numId w:val="38"/>
        </w:numPr>
      </w:pPr>
      <w:r>
        <w:rPr>
          <w:rFonts w:ascii="Calibri" w:hAnsi="Calibri"/>
          <w:color w:val="17324D"/>
          <w:sz w:val="22"/>
        </w:rPr>
        <w:t>Configure Gateway/Runtime/Identity observability, retention, SIEM forwarding, alarms and sensitive-data leakage tests.</w:t>
      </w:r>
    </w:p>
    <w:p>
      <w:pPr>
        <w:spacing w:after="160" w:line="280" w:lineRule="auto"/>
        <w:numPr>
          <w:ilvl w:val="0"/>
          <w:numId w:val="38"/>
        </w:numPr>
      </w:pPr>
      <w:r>
        <w:rPr>
          <w:rFonts w:ascii="Calibri" w:hAnsi="Calibri"/>
          <w:color w:val="17324D"/>
          <w:sz w:val="22"/>
        </w:rPr>
        <w:t>Configure real Azure DevOps agents, variable groups, required reviewers, image scanning, SBOM, signing and publish approvals.</w:t>
      </w:r>
    </w:p>
    <w:p>
      <w:pPr>
        <w:spacing w:after="160" w:line="280" w:lineRule="auto"/>
        <w:numPr>
          <w:ilvl w:val="0"/>
          <w:numId w:val="38"/>
        </w:numPr>
      </w:pPr>
      <w:r>
        <w:rPr>
          <w:rFonts w:ascii="Calibri" w:hAnsi="Calibri"/>
          <w:color w:val="17324D"/>
          <w:sz w:val="22"/>
        </w:rPr>
        <w:t>Replace all environment placeholders, pin provider/dependency versions and validate non-production/prod TFE workspaces.</w:t>
      </w:r>
    </w:p>
    <w:p>
      <w:pPr>
        <w:spacing w:after="160" w:line="280" w:lineRule="auto"/>
        <w:numPr>
          <w:ilvl w:val="0"/>
          <w:numId w:val="38"/>
        </w:numPr>
      </w:pPr>
      <w:r>
        <w:rPr>
          <w:rFonts w:ascii="Calibri" w:hAnsi="Calibri"/>
          <w:color w:val="17324D"/>
          <w:sz w:val="22"/>
        </w:rPr>
        <w:t>Agree data classification, approved sites/paths, data owners and periodic Graph permission review.</w:t>
      </w:r>
    </w:p>
    <w:p>
      <w:pPr>
        <w:spacing w:after="160" w:line="280" w:lineRule="auto"/>
        <w:numPr>
          <w:ilvl w:val="0"/>
          <w:numId w:val="38"/>
        </w:numPr>
      </w:pPr>
      <w:r>
        <w:rPr>
          <w:rFonts w:ascii="Calibri" w:hAnsi="Calibri"/>
          <w:color w:val="17324D"/>
          <w:sz w:val="22"/>
        </w:rPr>
        <w:t>Agree SLO, RTO/RPO, capacity assumptions, support hours, incident ownership and tested kill-switch execution times.</w:t>
      </w:r>
    </w:p>
    <w:p>
      <w:pPr>
        <w:spacing w:after="160" w:line="280" w:lineRule="auto"/>
        <w:numPr>
          <w:ilvl w:val="0"/>
          <w:numId w:val="38"/>
        </w:numPr>
      </w:pPr>
      <w:r>
        <w:rPr>
          <w:rFonts w:ascii="Calibri" w:hAnsi="Calibri"/>
          <w:color w:val="17324D"/>
          <w:sz w:val="22"/>
        </w:rPr>
        <w:t>Complete Cyber Security review of the threat register and record accepted residual risks.</w:t>
      </w:r>
    </w:p>
    <w:p>
      <w:pPr>
        <w:pStyle w:val="Heading1"/>
      </w:pPr>
      <w:r>
        <w:t>19. Ownership model</w:t>
      </w:r>
    </w:p>
    <w:tbl>
      <w:tblPr>
        <w:tblStyle w:val="TableGrid"/>
        <w:tblW w:type="dxa" w:w="9360"/>
        <w:tblLayout w:type="fixed"/>
        <w:tblLook w:firstColumn="1" w:firstRow="1" w:lastColumn="0" w:lastRow="0" w:noHBand="0" w:noVBand="1" w:val="04A0"/>
        <w:tblInd w:w="120" w:type="dxa"/>
        <w:tblLayout w:type="fixed"/>
        <w:tblInd w:w="120" w:type="dxa"/>
        <w:tblLayout w:type="fixed"/>
      </w:tblPr>
      <w:tblGrid>
        <w:gridCol w:w="2500"/>
        <w:gridCol w:w="2900"/>
        <w:gridCol w:w="3960"/>
      </w:tblGrid>
      <w:tr>
        <w:trPr>
          <w:cantSplit/>
          <w:tblHeader w:val="true"/>
        </w:trPr>
        <w:tc>
          <w:tcPr>
            <w:tcW w:type="dxa" w:w="2500"/>
            <w:vAlign w:val="center"/>
            <w:tcMar>
              <w:top w:w="80" w:type="dxa"/>
              <w:start w:w="120" w:type="dxa"/>
              <w:bottom w:w="80" w:type="dxa"/>
              <w:end w:w="120" w:type="dxa"/>
            </w:tcMar>
            <w:shd w:fill="F2F4F7"/>
          </w:tcPr>
          <w:p>
            <w:pPr>
              <w:spacing w:after="0"/>
              <w:jc w:val="center"/>
            </w:pPr>
            <w:r>
              <w:rPr>
                <w:rFonts w:ascii="Calibri" w:hAnsi="Calibri"/>
                <w:b/>
                <w:color w:val="17324D"/>
                <w:sz w:val="19"/>
              </w:rPr>
              <w:t>Capability</w:t>
            </w:r>
          </w:p>
        </w:tc>
        <w:tc>
          <w:tcPr>
            <w:tcW w:type="dxa" w:w="2900"/>
            <w:vAlign w:val="center"/>
            <w:tcMar>
              <w:top w:w="80" w:type="dxa"/>
              <w:start w:w="120" w:type="dxa"/>
              <w:bottom w:w="80" w:type="dxa"/>
              <w:end w:w="120" w:type="dxa"/>
            </w:tcMar>
            <w:shd w:fill="F2F4F7"/>
          </w:tcPr>
          <w:p>
            <w:pPr>
              <w:spacing w:after="0"/>
              <w:jc w:val="left"/>
            </w:pPr>
            <w:r>
              <w:rPr>
                <w:rFonts w:ascii="Calibri" w:hAnsi="Calibri"/>
                <w:b/>
                <w:color w:val="17324D"/>
                <w:sz w:val="19"/>
              </w:rPr>
              <w:t>Accountable owner</w:t>
            </w:r>
          </w:p>
        </w:tc>
        <w:tc>
          <w:tcPr>
            <w:tcW w:type="dxa" w:w="3960"/>
            <w:vAlign w:val="center"/>
            <w:tcMar>
              <w:top w:w="80" w:type="dxa"/>
              <w:start w:w="120" w:type="dxa"/>
              <w:bottom w:w="80" w:type="dxa"/>
              <w:end w:w="120" w:type="dxa"/>
            </w:tcMar>
            <w:shd w:fill="F2F4F7"/>
          </w:tcPr>
          <w:p>
            <w:pPr>
              <w:spacing w:after="0"/>
              <w:jc w:val="left"/>
            </w:pPr>
            <w:r>
              <w:rPr>
                <w:rFonts w:ascii="Calibri" w:hAnsi="Calibri"/>
                <w:b/>
                <w:color w:val="17324D"/>
                <w:sz w:val="19"/>
              </w:rPr>
              <w:t>Key responsibilities</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Shared Gateway, Runtime pattern and AWS IAM</w:t>
            </w:r>
          </w:p>
        </w:tc>
        <w:tc>
          <w:tcPr>
            <w:tcW w:type="dxa" w:w="2900"/>
            <w:vAlign w:val="center"/>
            <w:tcMar>
              <w:top w:w="80" w:type="dxa"/>
              <w:start w:w="120" w:type="dxa"/>
              <w:bottom w:w="80" w:type="dxa"/>
              <w:end w:w="120" w:type="dxa"/>
            </w:tcMar>
          </w:tcPr>
          <w:p>
            <w:pPr>
              <w:spacing w:after="0" w:line="252" w:lineRule="auto"/>
              <w:jc w:val="center"/>
            </w:pPr>
            <w:r>
              <w:rPr>
                <w:rFonts w:ascii="Calibri" w:hAnsi="Calibri"/>
                <w:color w:val="17324D"/>
                <w:sz w:val="18"/>
              </w:rPr>
              <w:t>Cloud Platform</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Infrastructure, least privilege, Runtime isolation, network and platform lifecycle</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Entra Enterprise MCP API and clients</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Microsoft Identity</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Registrations, assignments, token policy, Conditional Access, credential governance</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Gateway/Runtime authorization policy</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Platform Policy Owner with Security/Data Owner approval</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Policy source, Cedar/runtime consistency, reviews, tests and access recertification</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SharePoint tools and Graph client</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SharePoint MCP service owner</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Tool contracts, validation, Graph behaviour, tests, safe errors and releases</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SharePoint selected permissions and content</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Microsoft 365 and site data owners</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Approved sites/paths, grants, classification, retention and recovery</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Azure DevOps image/policy CI</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DevOps / Cloud Platform</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Branch gates, builds, SBOM, scanning, signing and ECR promotion</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Terraform workspaces and applies</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Central TFE administration and Cloud Platform</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Workspace/state isolation, plan/apply workflow and approvals</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Monitoring and incidents</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Operations with Platform/Security</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Dashboards, alarms, SIEM, on-call, containment and evidence preservation</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Client integrations</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Developer Experience / application owners</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Supported token flow, client configuration, user support and client-side logging controls</w:t>
            </w:r>
          </w:p>
        </w:tc>
      </w:tr>
    </w:tbl>
    <w:p>
      <w:pPr>
        <w:spacing w:after="40"/>
      </w:pPr>
    </w:p>
    <w:p>
      <w:pPr>
        <w:pStyle w:val="Heading1"/>
      </w:pPr>
      <w:r>
        <w:t>20. References</w:t>
      </w:r>
    </w:p>
    <w:p>
      <w:pPr>
        <w:pStyle w:val="Heading2"/>
      </w:pPr>
      <w:r>
        <w:t>20.1 Repository decisions and implementation</w:t>
      </w:r>
    </w:p>
    <w:p>
      <w:pPr>
        <w:spacing w:after="160" w:line="280" w:lineRule="auto"/>
        <w:numPr>
          <w:ilvl w:val="0"/>
          <w:numId w:val="39"/>
        </w:numPr>
      </w:pPr>
      <w:r>
        <w:rPr>
          <w:rFonts w:ascii="Courier New" w:hAnsi="Courier New"/>
          <w:color w:val="1F4D78"/>
          <w:sz w:val="20"/>
          <w:shd w:fill="EAF2F8"/>
        </w:rPr>
        <w:t>README.md</w:t>
      </w:r>
      <w:r>
        <w:rPr>
          <w:rFonts w:ascii="Calibri" w:hAnsi="Calibri"/>
          <w:color w:val="17324D"/>
          <w:sz w:val="22"/>
        </w:rPr>
        <w:t xml:space="preserve"> - current platform overview and implementation links.</w:t>
      </w:r>
    </w:p>
    <w:p>
      <w:pPr>
        <w:spacing w:after="160" w:line="280" w:lineRule="auto"/>
        <w:numPr>
          <w:ilvl w:val="0"/>
          <w:numId w:val="39"/>
        </w:numPr>
      </w:pPr>
      <w:r>
        <w:rPr>
          <w:rFonts w:ascii="Courier New" w:hAnsi="Courier New"/>
          <w:color w:val="1F4D78"/>
          <w:sz w:val="20"/>
          <w:shd w:fill="EAF2F8"/>
        </w:rPr>
        <w:t>END_GOAL.md</w:t>
      </w:r>
      <w:r>
        <w:rPr>
          <w:rFonts w:ascii="Calibri" w:hAnsi="Calibri"/>
          <w:color w:val="17324D"/>
          <w:sz w:val="22"/>
        </w:rPr>
        <w:t xml:space="preserve"> - target outcome and success criteria.</w:t>
      </w:r>
    </w:p>
    <w:p>
      <w:pPr>
        <w:spacing w:after="160" w:line="280" w:lineRule="auto"/>
        <w:numPr>
          <w:ilvl w:val="0"/>
          <w:numId w:val="39"/>
        </w:numPr>
      </w:pPr>
      <w:r>
        <w:rPr>
          <w:rFonts w:ascii="Courier New" w:hAnsi="Courier New"/>
          <w:color w:val="1F4D78"/>
          <w:sz w:val="20"/>
          <w:shd w:fill="EAF2F8"/>
        </w:rPr>
        <w:t>IN_PROGRESS.md</w:t>
      </w:r>
      <w:r>
        <w:rPr>
          <w:rFonts w:ascii="Calibri" w:hAnsi="Calibri"/>
          <w:color w:val="17324D"/>
          <w:sz w:val="22"/>
        </w:rPr>
        <w:t xml:space="preserve"> - outstanding validation and implementation work.</w:t>
      </w:r>
    </w:p>
    <w:p>
      <w:pPr>
        <w:spacing w:after="160" w:line="280" w:lineRule="auto"/>
        <w:numPr>
          <w:ilvl w:val="0"/>
          <w:numId w:val="39"/>
        </w:numPr>
      </w:pPr>
      <w:r>
        <w:rPr>
          <w:rFonts w:ascii="Courier New" w:hAnsi="Courier New"/>
          <w:color w:val="1F4D78"/>
          <w:sz w:val="20"/>
          <w:shd w:fill="EAF2F8"/>
        </w:rPr>
        <w:t>docs/adr/0001-agentcore-runtime-mcp-platform.md</w:t>
      </w:r>
      <w:r>
        <w:rPr>
          <w:rFonts w:ascii="Calibri" w:hAnsi="Calibri"/>
          <w:color w:val="17324D"/>
          <w:sz w:val="22"/>
        </w:rPr>
        <w:t xml:space="preserve"> - shared Gateway and separate Runtime-hosted MCP servers.</w:t>
      </w:r>
    </w:p>
    <w:p>
      <w:pPr>
        <w:spacing w:after="160" w:line="280" w:lineRule="auto"/>
        <w:numPr>
          <w:ilvl w:val="0"/>
          <w:numId w:val="39"/>
        </w:numPr>
      </w:pPr>
      <w:r>
        <w:rPr>
          <w:rFonts w:ascii="Courier New" w:hAnsi="Courier New"/>
          <w:color w:val="1F4D78"/>
          <w:sz w:val="20"/>
          <w:shd w:fill="EAF2F8"/>
        </w:rPr>
        <w:t>docs/adr/0003-azure-devops-cloud-owned-platform-repo.md</w:t>
      </w:r>
      <w:r>
        <w:rPr>
          <w:rFonts w:ascii="Calibri" w:hAnsi="Calibri"/>
          <w:color w:val="17324D"/>
          <w:sz w:val="22"/>
        </w:rPr>
        <w:t xml:space="preserve"> - repository and pipeline ownership.</w:t>
      </w:r>
    </w:p>
    <w:p>
      <w:pPr>
        <w:spacing w:after="160" w:line="280" w:lineRule="auto"/>
        <w:numPr>
          <w:ilvl w:val="0"/>
          <w:numId w:val="39"/>
        </w:numPr>
      </w:pPr>
      <w:r>
        <w:rPr>
          <w:rFonts w:ascii="Courier New" w:hAnsi="Courier New"/>
          <w:color w:val="1F4D78"/>
          <w:sz w:val="20"/>
          <w:shd w:fill="EAF2F8"/>
        </w:rPr>
        <w:t>docs/adr/0004-claude-code-entra-jwt-mcp-boundary.md</w:t>
      </w:r>
      <w:r>
        <w:rPr>
          <w:rFonts w:ascii="Calibri" w:hAnsi="Calibri"/>
          <w:color w:val="17324D"/>
          <w:sz w:val="22"/>
        </w:rPr>
        <w:t xml:space="preserve"> - Entra caller token and AWS IAM separation.</w:t>
      </w:r>
    </w:p>
    <w:p>
      <w:pPr>
        <w:spacing w:after="160" w:line="280" w:lineRule="auto"/>
        <w:numPr>
          <w:ilvl w:val="0"/>
          <w:numId w:val="39"/>
        </w:numPr>
      </w:pPr>
      <w:r>
        <w:rPr>
          <w:rFonts w:ascii="Courier New" w:hAnsi="Courier New"/>
          <w:color w:val="1F4D78"/>
          <w:sz w:val="20"/>
          <w:shd w:fill="EAF2F8"/>
        </w:rPr>
        <w:t>docs/adr/0005-path-scoped-policy-pr-validation.md</w:t>
      </w:r>
      <w:r>
        <w:rPr>
          <w:rFonts w:ascii="Calibri" w:hAnsi="Calibri"/>
          <w:color w:val="17324D"/>
          <w:sz w:val="22"/>
        </w:rPr>
        <w:t xml:space="preserve"> - required policy PR validation.</w:t>
      </w:r>
    </w:p>
    <w:p>
      <w:pPr>
        <w:spacing w:after="160" w:line="280" w:lineRule="auto"/>
        <w:numPr>
          <w:ilvl w:val="0"/>
          <w:numId w:val="39"/>
        </w:numPr>
      </w:pPr>
      <w:r>
        <w:rPr>
          <w:rFonts w:ascii="Courier New" w:hAnsi="Courier New"/>
          <w:color w:val="1F4D78"/>
          <w:sz w:val="20"/>
          <w:shd w:fill="EAF2F8"/>
        </w:rPr>
        <w:t>examples/enterprise_mcp_platform</w:t>
      </w:r>
      <w:r>
        <w:rPr>
          <w:rFonts w:ascii="Calibri" w:hAnsi="Calibri"/>
          <w:color w:val="17324D"/>
          <w:sz w:val="22"/>
        </w:rPr>
        <w:t xml:space="preserve"> - current example code, policy and Terraform.</w:t>
      </w:r>
    </w:p>
    <w:p>
      <w:pPr>
        <w:pStyle w:val="Heading2"/>
      </w:pPr>
      <w:r>
        <w:t>20.2 Authoritative external sources</w:t>
      </w:r>
    </w:p>
    <w:p>
      <w:pPr>
        <w:spacing w:after="160" w:line="280" w:lineRule="auto"/>
        <w:numPr>
          <w:ilvl w:val="0"/>
          <w:numId w:val="40"/>
        </w:numPr>
      </w:pPr>
      <w:r>
        <w:rPr>
          <w:rFonts w:ascii="Calibri" w:hAnsi="Calibri"/>
          <w:color w:val="17324D"/>
          <w:sz w:val="22"/>
        </w:rPr>
        <w:t xml:space="preserve">AWS, “Deploy MCP servers in AgentCore Runtime”: </w:t>
      </w:r>
      <w:hyperlink r:id="rId14">
        <w:r>
          <w:rPr>
            <w:rFonts w:ascii="Calibri" w:hAnsi="Calibri"/>
            <w:color w:val="2E74B5"/>
            <w:u w:val="single"/>
          </w:rPr>
          <w:t>https://docs.aws.amazon.com/bedrock-agentcore/latest/devguide/runtime-mcp.html</w:t>
        </w:r>
      </w:hyperlink>
    </w:p>
    <w:p>
      <w:pPr>
        <w:spacing w:after="160" w:line="280" w:lineRule="auto"/>
        <w:numPr>
          <w:ilvl w:val="0"/>
          <w:numId w:val="40"/>
        </w:numPr>
      </w:pPr>
      <w:r>
        <w:rPr>
          <w:rFonts w:ascii="Calibri" w:hAnsi="Calibri"/>
          <w:color w:val="17324D"/>
          <w:sz w:val="22"/>
        </w:rPr>
        <w:t xml:space="preserve">AWS, “MCP server targets”: </w:t>
      </w:r>
      <w:hyperlink r:id="rId15">
        <w:r>
          <w:rPr>
            <w:rFonts w:ascii="Calibri" w:hAnsi="Calibri"/>
            <w:color w:val="2E74B5"/>
            <w:u w:val="single"/>
          </w:rPr>
          <w:t>https://docs.aws.amazon.com/bedrock-agentcore/latest/devguide/gateway-target-MCPservers.html</w:t>
        </w:r>
      </w:hyperlink>
    </w:p>
    <w:p>
      <w:pPr>
        <w:spacing w:after="160" w:line="280" w:lineRule="auto"/>
        <w:numPr>
          <w:ilvl w:val="0"/>
          <w:numId w:val="40"/>
        </w:numPr>
      </w:pPr>
      <w:r>
        <w:rPr>
          <w:rFonts w:ascii="Calibri" w:hAnsi="Calibri"/>
          <w:color w:val="17324D"/>
          <w:sz w:val="22"/>
        </w:rPr>
        <w:t xml:space="preserve">AWS, “Configure inbound JWT authorizer”: </w:t>
      </w:r>
      <w:hyperlink r:id="rId16">
        <w:r>
          <w:rPr>
            <w:rFonts w:ascii="Calibri" w:hAnsi="Calibri"/>
            <w:color w:val="2E74B5"/>
            <w:u w:val="single"/>
          </w:rPr>
          <w:t>https://docs.aws.amazon.com/bedrock-agentcore/latest/devguide/inbound-jwt-authorizer.html</w:t>
        </w:r>
      </w:hyperlink>
    </w:p>
    <w:p>
      <w:pPr>
        <w:spacing w:after="160" w:line="280" w:lineRule="auto"/>
        <w:numPr>
          <w:ilvl w:val="0"/>
          <w:numId w:val="40"/>
        </w:numPr>
      </w:pPr>
      <w:r>
        <w:rPr>
          <w:rFonts w:ascii="Calibri" w:hAnsi="Calibri"/>
          <w:color w:val="17324D"/>
          <w:sz w:val="22"/>
        </w:rPr>
        <w:t xml:space="preserve">AWS, “Policy in Amazon Bedrock AgentCore”: </w:t>
      </w:r>
      <w:hyperlink r:id="rId17">
        <w:r>
          <w:rPr>
            <w:rFonts w:ascii="Calibri" w:hAnsi="Calibri"/>
            <w:color w:val="2E74B5"/>
            <w:u w:val="single"/>
          </w:rPr>
          <w:t>https://docs.aws.amazon.com/bedrock-agentcore/latest/devguide/policy.html</w:t>
        </w:r>
      </w:hyperlink>
    </w:p>
    <w:p>
      <w:pPr>
        <w:spacing w:after="160" w:line="280" w:lineRule="auto"/>
        <w:numPr>
          <w:ilvl w:val="0"/>
          <w:numId w:val="40"/>
        </w:numPr>
      </w:pPr>
      <w:r>
        <w:rPr>
          <w:rFonts w:ascii="Calibri" w:hAnsi="Calibri"/>
          <w:color w:val="17324D"/>
          <w:sz w:val="22"/>
        </w:rPr>
        <w:t xml:space="preserve">AWS, “Resource-based policies for AgentCore”: </w:t>
      </w:r>
      <w:hyperlink r:id="rId18">
        <w:r>
          <w:rPr>
            <w:rFonts w:ascii="Calibri" w:hAnsi="Calibri"/>
            <w:color w:val="2E74B5"/>
            <w:u w:val="single"/>
          </w:rPr>
          <w:t>https://docs.aws.amazon.com/bedrock-agentcore/latest/devguide/resource-based-policies.html</w:t>
        </w:r>
      </w:hyperlink>
    </w:p>
    <w:p>
      <w:pPr>
        <w:spacing w:after="160" w:line="280" w:lineRule="auto"/>
        <w:numPr>
          <w:ilvl w:val="0"/>
          <w:numId w:val="40"/>
        </w:numPr>
      </w:pPr>
      <w:r>
        <w:rPr>
          <w:rFonts w:ascii="Calibri" w:hAnsi="Calibri"/>
          <w:color w:val="17324D"/>
          <w:sz w:val="22"/>
        </w:rPr>
        <w:t xml:space="preserve">AWS, “AgentCore interface VPC endpoints”: </w:t>
      </w:r>
      <w:hyperlink r:id="rId19">
        <w:r>
          <w:rPr>
            <w:rFonts w:ascii="Calibri" w:hAnsi="Calibri"/>
            <w:color w:val="2E74B5"/>
            <w:u w:val="single"/>
          </w:rPr>
          <w:t>https://docs.aws.amazon.com/bedrock-agentcore/latest/devguide/vpc-interface-endpoints.html</w:t>
        </w:r>
      </w:hyperlink>
    </w:p>
    <w:p>
      <w:pPr>
        <w:spacing w:after="160" w:line="280" w:lineRule="auto"/>
        <w:numPr>
          <w:ilvl w:val="0"/>
          <w:numId w:val="40"/>
        </w:numPr>
      </w:pPr>
      <w:r>
        <w:rPr>
          <w:rFonts w:ascii="Calibri" w:hAnsi="Calibri"/>
          <w:color w:val="17324D"/>
          <w:sz w:val="22"/>
        </w:rPr>
        <w:t xml:space="preserve">AWS, “Header propagation with Gateway”: </w:t>
      </w:r>
      <w:hyperlink r:id="rId20">
        <w:r>
          <w:rPr>
            <w:rFonts w:ascii="Calibri" w:hAnsi="Calibri"/>
            <w:color w:val="2E74B5"/>
            <w:u w:val="single"/>
          </w:rPr>
          <w:t>https://docs.aws.amazon.com/bedrock-agentcore/latest/devguide/gateway-headers.html</w:t>
        </w:r>
      </w:hyperlink>
    </w:p>
    <w:p>
      <w:pPr>
        <w:spacing w:after="160" w:line="280" w:lineRule="auto"/>
        <w:numPr>
          <w:ilvl w:val="0"/>
          <w:numId w:val="40"/>
        </w:numPr>
      </w:pPr>
      <w:r>
        <w:rPr>
          <w:rFonts w:ascii="Calibri" w:hAnsi="Calibri"/>
          <w:color w:val="17324D"/>
          <w:sz w:val="22"/>
        </w:rPr>
        <w:t xml:space="preserve">AWS, “AgentCore Identity credential providers”: </w:t>
      </w:r>
      <w:hyperlink r:id="rId21">
        <w:r>
          <w:rPr>
            <w:rFonts w:ascii="Calibri" w:hAnsi="Calibri"/>
            <w:color w:val="2E74B5"/>
            <w:u w:val="single"/>
          </w:rPr>
          <w:t>https://docs.aws.amazon.com/bedrock-agentcore/latest/devguide/identity-outbound-credential-provider.html</w:t>
        </w:r>
      </w:hyperlink>
    </w:p>
    <w:p>
      <w:pPr>
        <w:spacing w:after="160" w:line="280" w:lineRule="auto"/>
        <w:numPr>
          <w:ilvl w:val="0"/>
          <w:numId w:val="40"/>
        </w:numPr>
      </w:pPr>
      <w:r>
        <w:rPr>
          <w:rFonts w:ascii="Calibri" w:hAnsi="Calibri"/>
          <w:color w:val="17324D"/>
          <w:sz w:val="22"/>
        </w:rPr>
        <w:t xml:space="preserve">AWS, “Add observability to AgentCore resources”: </w:t>
      </w:r>
      <w:hyperlink r:id="rId22">
        <w:r>
          <w:rPr>
            <w:rFonts w:ascii="Calibri" w:hAnsi="Calibri"/>
            <w:color w:val="2E74B5"/>
            <w:u w:val="single"/>
          </w:rPr>
          <w:t>https://docs.aws.amazon.com/bedrock-agentcore/latest/devguide/observability-configure.html</w:t>
        </w:r>
      </w:hyperlink>
    </w:p>
    <w:p>
      <w:pPr>
        <w:spacing w:after="160" w:line="280" w:lineRule="auto"/>
        <w:numPr>
          <w:ilvl w:val="0"/>
          <w:numId w:val="40"/>
        </w:numPr>
      </w:pPr>
      <w:r>
        <w:rPr>
          <w:rFonts w:ascii="Calibri" w:hAnsi="Calibri"/>
          <w:color w:val="17324D"/>
          <w:sz w:val="22"/>
        </w:rPr>
        <w:t xml:space="preserve">Microsoft, “Microsoft Graph permissions reference”: </w:t>
      </w:r>
      <w:hyperlink r:id="rId23">
        <w:r>
          <w:rPr>
            <w:rFonts w:ascii="Calibri" w:hAnsi="Calibri"/>
            <w:color w:val="2E74B5"/>
            <w:u w:val="single"/>
          </w:rPr>
          <w:t>https://learn.microsoft.com/en-us/graph/permissions-reference</w:t>
        </w:r>
      </w:hyperlink>
    </w:p>
    <w:p>
      <w:pPr>
        <w:spacing w:after="160" w:line="280" w:lineRule="auto"/>
        <w:numPr>
          <w:ilvl w:val="0"/>
          <w:numId w:val="40"/>
        </w:numPr>
      </w:pPr>
      <w:r>
        <w:rPr>
          <w:rFonts w:ascii="Calibri" w:hAnsi="Calibri"/>
          <w:color w:val="17324D"/>
          <w:sz w:val="22"/>
        </w:rPr>
        <w:t xml:space="preserve">Microsoft, “OAuth 2.0 on-behalf-of flow”: </w:t>
      </w:r>
      <w:hyperlink r:id="rId24">
        <w:r>
          <w:rPr>
            <w:rFonts w:ascii="Calibri" w:hAnsi="Calibri"/>
            <w:color w:val="2E74B5"/>
            <w:u w:val="single"/>
          </w:rPr>
          <w:t>https://learn.microsoft.com/en-us/entra/identity-platform/v2-oauth2-on-behalf-of-flow</w:t>
        </w:r>
      </w:hyperlink>
    </w:p>
    <w:p>
      <w:pPr>
        <w:spacing w:after="160" w:line="280" w:lineRule="auto"/>
        <w:numPr>
          <w:ilvl w:val="0"/>
          <w:numId w:val="40"/>
        </w:numPr>
      </w:pPr>
      <w:r>
        <w:rPr>
          <w:rFonts w:ascii="Calibri" w:hAnsi="Calibri"/>
          <w:color w:val="17324D"/>
          <w:sz w:val="22"/>
        </w:rPr>
        <w:t xml:space="preserve">Microsoft, “Avoid getting throttled or blocked in SharePoint Online”: </w:t>
      </w:r>
      <w:hyperlink r:id="rId25">
        <w:r>
          <w:rPr>
            <w:rFonts w:ascii="Calibri" w:hAnsi="Calibri"/>
            <w:color w:val="2E74B5"/>
            <w:u w:val="single"/>
          </w:rPr>
          <w:t>https://learn.microsoft.com/en-us/sharepoint/dev/general-development/how-to-avoid-getting-throttled-or-blocked-in-sharepoint-online</w:t>
        </w:r>
      </w:hyperlink>
    </w:p>
    <w:p>
      <w:r>
        <w:rPr>
          <w:rFonts w:ascii="Calibri" w:hAnsi="Calibri"/>
          <w:color w:val="17324D"/>
          <w:sz w:val="22"/>
        </w:rPr>
        <w:t>External service capabilities must be rechecked in the selected AWS region and enterprise Microsoft tenant during implementation. This document reflects official documentation reviewed on 10 July 2026.</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6579"/>
        <w:sz w:val="17"/>
      </w:rPr>
      <w:t xml:space="preserve">Architecture, Security and Migration Review  |  </w:t>
    </w:r>
    <w:r>
      <w:fldChar w:fldCharType="begin"/>
      <w:instrText xml:space="preserve">PAGE</w:instrText>
      <w:fldChar w:fldCharType="separate"/>
      <w:fldChar w:fldCharType="end"/>
    </w:r>
    <w:r>
      <w:rPr>
        <w:rFonts w:ascii="Calibri" w:hAnsi="Calibri"/>
        <w:color w:val="526579"/>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Bdr>
        <w:bottom w:val="single" w:sz="4" w:space="5" w:color="C7D0D9"/>
      </w:pBdr>
    </w:pPr>
    <w:r>
      <w:rPr>
        <w:rFonts w:ascii="Calibri" w:hAnsi="Calibri"/>
        <w:b/>
        <w:color w:val="526579"/>
        <w:sz w:val="17"/>
      </w:rPr>
      <w:t>ENTERPRISE MCP PLATFORM</w:t>
    </w:r>
    <w:r>
      <w:rPr>
        <w:rFonts w:ascii="Calibri" w:hAnsi="Calibri"/>
        <w:b/>
        <w:color w:val="526579"/>
        <w:sz w:val="17"/>
      </w:rPr>
      <w:tab/>
      <w:t>INTERNAL - DRAFT FOR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720"/>
        </w:tabs>
        <w:ind w:left="720" w:hanging="360"/>
      </w:pPr>
      <w:rPr>
        <w:rFonts w:ascii="Calibri" w:hAnsi="Calibri"/>
        <w:sz w:val="22"/>
      </w:rPr>
    </w:lvl>
  </w:abstractNum>
  <w:abstractNum w:abstractNumId="10">
    <w:multiLevelType w:val="singleLevel"/>
    <w:lvl w:ilvl="0">
      <w:start w:val="1"/>
      <w:numFmt w:val="bullet"/>
      <w:lvlText w:val="•"/>
      <w:lvlJc w:val="left"/>
      <w:pPr>
        <w:tabs>
          <w:tab w:val="num" w:pos="720"/>
        </w:tabs>
        <w:ind w:left="720" w:hanging="360"/>
      </w:pPr>
      <w:rPr>
        <w:rFonts w:ascii="Calibri" w:hAnsi="Calibri"/>
        <w:sz w:val="22"/>
      </w:rPr>
    </w:lvl>
  </w:abstractNum>
  <w:abstractNum w:abstractNumId="11">
    <w:multiLevelType w:val="singleLevel"/>
    <w:lvl w:ilvl="0">
      <w:start w:val="1"/>
      <w:numFmt w:val="bullet"/>
      <w:lvlText w:val="•"/>
      <w:lvlJc w:val="left"/>
      <w:pPr>
        <w:tabs>
          <w:tab w:val="num" w:pos="720"/>
        </w:tabs>
        <w:ind w:left="720" w:hanging="360"/>
      </w:pPr>
      <w:rPr>
        <w:rFonts w:ascii="Calibri" w:hAnsi="Calibri"/>
        <w:sz w:val="22"/>
      </w:rPr>
    </w:lvl>
  </w:abstractNum>
  <w:abstractNum w:abstractNumId="12">
    <w:multiLevelType w:val="singleLevel"/>
    <w:lvl w:ilvl="0">
      <w:start w:val="1"/>
      <w:numFmt w:val="decimal"/>
      <w:lvlText w:val="%1."/>
      <w:lvlJc w:val="left"/>
      <w:pPr>
        <w:tabs>
          <w:tab w:val="num" w:pos="720"/>
        </w:tabs>
        <w:ind w:left="720" w:hanging="360"/>
      </w:pPr>
      <w:rPr>
        <w:rFonts w:ascii="Calibri" w:hAnsi="Calibri"/>
        <w:sz w:val="22"/>
      </w:rPr>
    </w:lvl>
  </w:abstractNum>
  <w:abstractNum w:abstractNumId="13">
    <w:multiLevelType w:val="singleLevel"/>
    <w:lvl w:ilvl="0">
      <w:start w:val="1"/>
      <w:numFmt w:val="bullet"/>
      <w:lvlText w:val="•"/>
      <w:lvlJc w:val="left"/>
      <w:pPr>
        <w:tabs>
          <w:tab w:val="num" w:pos="720"/>
        </w:tabs>
        <w:ind w:left="720" w:hanging="360"/>
      </w:pPr>
      <w:rPr>
        <w:rFonts w:ascii="Calibri" w:hAnsi="Calibri"/>
        <w:sz w:val="22"/>
      </w:rPr>
    </w:lvl>
  </w:abstractNum>
  <w:abstractNum w:abstractNumId="14">
    <w:multiLevelType w:val="singleLevel"/>
    <w:lvl w:ilvl="0">
      <w:start w:val="1"/>
      <w:numFmt w:val="bullet"/>
      <w:lvlText w:val="•"/>
      <w:lvlJc w:val="left"/>
      <w:pPr>
        <w:tabs>
          <w:tab w:val="num" w:pos="720"/>
        </w:tabs>
        <w:ind w:left="720" w:hanging="360"/>
      </w:pPr>
      <w:rPr>
        <w:rFonts w:ascii="Calibri" w:hAnsi="Calibri"/>
        <w:sz w:val="22"/>
      </w:rPr>
    </w:lvl>
  </w:abstractNum>
  <w:abstractNum w:abstractNumId="15">
    <w:multiLevelType w:val="singleLevel"/>
    <w:lvl w:ilvl="0">
      <w:start w:val="1"/>
      <w:numFmt w:val="decimal"/>
      <w:lvlText w:val="%1."/>
      <w:lvlJc w:val="left"/>
      <w:pPr>
        <w:tabs>
          <w:tab w:val="num" w:pos="720"/>
        </w:tabs>
        <w:ind w:left="720" w:hanging="360"/>
      </w:pPr>
      <w:rPr>
        <w:rFonts w:ascii="Calibri" w:hAnsi="Calibri"/>
        <w:sz w:val="22"/>
      </w:rPr>
    </w:lvl>
  </w:abstractNum>
  <w:abstractNum w:abstractNumId="16">
    <w:multiLevelType w:val="singleLevel"/>
    <w:lvl w:ilvl="0">
      <w:start w:val="1"/>
      <w:numFmt w:val="bullet"/>
      <w:lvlText w:val="•"/>
      <w:lvlJc w:val="left"/>
      <w:pPr>
        <w:tabs>
          <w:tab w:val="num" w:pos="720"/>
        </w:tabs>
        <w:ind w:left="720" w:hanging="360"/>
      </w:pPr>
      <w:rPr>
        <w:rFonts w:ascii="Calibri" w:hAnsi="Calibri"/>
        <w:sz w:val="22"/>
      </w:rPr>
    </w:lvl>
  </w:abstractNum>
  <w:abstractNum w:abstractNumId="17">
    <w:multiLevelType w:val="singleLevel"/>
    <w:lvl w:ilvl="0">
      <w:start w:val="1"/>
      <w:numFmt w:val="decimal"/>
      <w:lvlText w:val="%1."/>
      <w:lvlJc w:val="left"/>
      <w:pPr>
        <w:tabs>
          <w:tab w:val="num" w:pos="720"/>
        </w:tabs>
        <w:ind w:left="720" w:hanging="360"/>
      </w:pPr>
      <w:rPr>
        <w:rFonts w:ascii="Calibri" w:hAnsi="Calibri"/>
        <w:sz w:val="22"/>
      </w:rPr>
    </w:lvl>
  </w:abstractNum>
  <w:abstractNum w:abstractNumId="18">
    <w:multiLevelType w:val="singleLevel"/>
    <w:lvl w:ilvl="0">
      <w:start w:val="1"/>
      <w:numFmt w:val="bullet"/>
      <w:lvlText w:val="•"/>
      <w:lvlJc w:val="left"/>
      <w:pPr>
        <w:tabs>
          <w:tab w:val="num" w:pos="720"/>
        </w:tabs>
        <w:ind w:left="720" w:hanging="360"/>
      </w:pPr>
      <w:rPr>
        <w:rFonts w:ascii="Calibri" w:hAnsi="Calibri"/>
        <w:sz w:val="22"/>
      </w:rPr>
    </w:lvl>
  </w:abstractNum>
  <w:abstractNum w:abstractNumId="19">
    <w:multiLevelType w:val="singleLevel"/>
    <w:lvl w:ilvl="0">
      <w:start w:val="1"/>
      <w:numFmt w:val="bullet"/>
      <w:lvlText w:val="•"/>
      <w:lvlJc w:val="left"/>
      <w:pPr>
        <w:tabs>
          <w:tab w:val="num" w:pos="720"/>
        </w:tabs>
        <w:ind w:left="720" w:hanging="360"/>
      </w:pPr>
      <w:rPr>
        <w:rFonts w:ascii="Calibri" w:hAnsi="Calibri"/>
        <w:sz w:val="22"/>
      </w:rPr>
    </w:lvl>
  </w:abstractNum>
  <w:abstractNum w:abstractNumId="20">
    <w:multiLevelType w:val="singleLevel"/>
    <w:lvl w:ilvl="0">
      <w:start w:val="1"/>
      <w:numFmt w:val="bullet"/>
      <w:lvlText w:val="•"/>
      <w:lvlJc w:val="left"/>
      <w:pPr>
        <w:tabs>
          <w:tab w:val="num" w:pos="720"/>
        </w:tabs>
        <w:ind w:left="720" w:hanging="360"/>
      </w:pPr>
      <w:rPr>
        <w:rFonts w:ascii="Calibri" w:hAnsi="Calibri"/>
        <w:sz w:val="22"/>
      </w:rPr>
    </w:lvl>
  </w:abstractNum>
  <w:abstractNum w:abstractNumId="21">
    <w:multiLevelType w:val="singleLevel"/>
    <w:lvl w:ilvl="0">
      <w:start w:val="1"/>
      <w:numFmt w:val="bullet"/>
      <w:lvlText w:val="•"/>
      <w:lvlJc w:val="left"/>
      <w:pPr>
        <w:tabs>
          <w:tab w:val="num" w:pos="720"/>
        </w:tabs>
        <w:ind w:left="720" w:hanging="360"/>
      </w:pPr>
      <w:rPr>
        <w:rFonts w:ascii="Calibri" w:hAnsi="Calibri"/>
        <w:sz w:val="22"/>
      </w:rPr>
    </w:lvl>
  </w:abstractNum>
  <w:abstractNum w:abstractNumId="22">
    <w:multiLevelType w:val="singleLevel"/>
    <w:lvl w:ilvl="0">
      <w:start w:val="1"/>
      <w:numFmt w:val="bullet"/>
      <w:lvlText w:val="•"/>
      <w:lvlJc w:val="left"/>
      <w:pPr>
        <w:tabs>
          <w:tab w:val="num" w:pos="720"/>
        </w:tabs>
        <w:ind w:left="720" w:hanging="360"/>
      </w:pPr>
      <w:rPr>
        <w:rFonts w:ascii="Calibri" w:hAnsi="Calibri"/>
        <w:sz w:val="22"/>
      </w:rPr>
    </w:lvl>
  </w:abstractNum>
  <w:abstractNum w:abstractNumId="23">
    <w:multiLevelType w:val="singleLevel"/>
    <w:lvl w:ilvl="0">
      <w:start w:val="1"/>
      <w:numFmt w:val="bullet"/>
      <w:lvlText w:val="•"/>
      <w:lvlJc w:val="left"/>
      <w:pPr>
        <w:tabs>
          <w:tab w:val="num" w:pos="720"/>
        </w:tabs>
        <w:ind w:left="720" w:hanging="360"/>
      </w:pPr>
      <w:rPr>
        <w:rFonts w:ascii="Calibri" w:hAnsi="Calibri"/>
        <w:sz w:val="22"/>
      </w:rPr>
    </w:lvl>
  </w:abstractNum>
  <w:abstractNum w:abstractNumId="24">
    <w:multiLevelType w:val="singleLevel"/>
    <w:lvl w:ilvl="0">
      <w:start w:val="1"/>
      <w:numFmt w:val="bullet"/>
      <w:lvlText w:val="•"/>
      <w:lvlJc w:val="left"/>
      <w:pPr>
        <w:tabs>
          <w:tab w:val="num" w:pos="720"/>
        </w:tabs>
        <w:ind w:left="720" w:hanging="360"/>
      </w:pPr>
      <w:rPr>
        <w:rFonts w:ascii="Calibri" w:hAnsi="Calibri"/>
        <w:sz w:val="22"/>
      </w:rPr>
    </w:lvl>
  </w:abstractNum>
  <w:abstractNum w:abstractNumId="25">
    <w:multiLevelType w:val="singleLevel"/>
    <w:lvl w:ilvl="0">
      <w:start w:val="1"/>
      <w:numFmt w:val="bullet"/>
      <w:lvlText w:val="•"/>
      <w:lvlJc w:val="left"/>
      <w:pPr>
        <w:tabs>
          <w:tab w:val="num" w:pos="720"/>
        </w:tabs>
        <w:ind w:left="720" w:hanging="360"/>
      </w:pPr>
      <w:rPr>
        <w:rFonts w:ascii="Calibri" w:hAnsi="Calibri"/>
        <w:sz w:val="22"/>
      </w:rPr>
    </w:lvl>
  </w:abstractNum>
  <w:abstractNum w:abstractNumId="26">
    <w:multiLevelType w:val="singleLevel"/>
    <w:lvl w:ilvl="0">
      <w:start w:val="1"/>
      <w:numFmt w:val="bullet"/>
      <w:lvlText w:val="•"/>
      <w:lvlJc w:val="left"/>
      <w:pPr>
        <w:tabs>
          <w:tab w:val="num" w:pos="720"/>
        </w:tabs>
        <w:ind w:left="720" w:hanging="360"/>
      </w:pPr>
      <w:rPr>
        <w:rFonts w:ascii="Calibri" w:hAnsi="Calibri"/>
        <w:sz w:val="22"/>
      </w:rPr>
    </w:lvl>
  </w:abstractNum>
  <w:abstractNum w:abstractNumId="27">
    <w:multiLevelType w:val="singleLevel"/>
    <w:lvl w:ilvl="0">
      <w:start w:val="1"/>
      <w:numFmt w:val="bullet"/>
      <w:lvlText w:val="•"/>
      <w:lvlJc w:val="left"/>
      <w:pPr>
        <w:tabs>
          <w:tab w:val="num" w:pos="720"/>
        </w:tabs>
        <w:ind w:left="720" w:hanging="360"/>
      </w:pPr>
      <w:rPr>
        <w:rFonts w:ascii="Calibri" w:hAnsi="Calibri"/>
        <w:sz w:val="22"/>
      </w:rPr>
    </w:lvl>
  </w:abstractNum>
  <w:abstractNum w:abstractNumId="28">
    <w:multiLevelType w:val="singleLevel"/>
    <w:lvl w:ilvl="0">
      <w:start w:val="1"/>
      <w:numFmt w:val="bullet"/>
      <w:lvlText w:val="•"/>
      <w:lvlJc w:val="left"/>
      <w:pPr>
        <w:tabs>
          <w:tab w:val="num" w:pos="720"/>
        </w:tabs>
        <w:ind w:left="720" w:hanging="360"/>
      </w:pPr>
      <w:rPr>
        <w:rFonts w:ascii="Calibri" w:hAnsi="Calibri"/>
        <w:sz w:val="22"/>
      </w:rPr>
    </w:lvl>
  </w:abstractNum>
  <w:abstractNum w:abstractNumId="29">
    <w:multiLevelType w:val="singleLevel"/>
    <w:lvl w:ilvl="0">
      <w:start w:val="1"/>
      <w:numFmt w:val="bullet"/>
      <w:lvlText w:val="•"/>
      <w:lvlJc w:val="left"/>
      <w:pPr>
        <w:tabs>
          <w:tab w:val="num" w:pos="720"/>
        </w:tabs>
        <w:ind w:left="720" w:hanging="360"/>
      </w:pPr>
      <w:rPr>
        <w:rFonts w:ascii="Calibri" w:hAnsi="Calibri"/>
        <w:sz w:val="22"/>
      </w:rPr>
    </w:lvl>
  </w:abstractNum>
  <w:abstractNum w:abstractNumId="30">
    <w:multiLevelType w:val="singleLevel"/>
    <w:lvl w:ilvl="0">
      <w:start w:val="1"/>
      <w:numFmt w:val="bullet"/>
      <w:lvlText w:val="•"/>
      <w:lvlJc w:val="left"/>
      <w:pPr>
        <w:tabs>
          <w:tab w:val="num" w:pos="720"/>
        </w:tabs>
        <w:ind w:left="720" w:hanging="360"/>
      </w:pPr>
      <w:rPr>
        <w:rFonts w:ascii="Calibri" w:hAnsi="Calibri"/>
        <w:sz w:val="22"/>
      </w:rPr>
    </w:lvl>
  </w:abstractNum>
  <w:abstractNum w:abstractNumId="31">
    <w:multiLevelType w:val="singleLevel"/>
    <w:lvl w:ilvl="0">
      <w:start w:val="1"/>
      <w:numFmt w:val="bullet"/>
      <w:lvlText w:val="•"/>
      <w:lvlJc w:val="left"/>
      <w:pPr>
        <w:tabs>
          <w:tab w:val="num" w:pos="720"/>
        </w:tabs>
        <w:ind w:left="720" w:hanging="360"/>
      </w:pPr>
      <w:rPr>
        <w:rFonts w:ascii="Calibri" w:hAnsi="Calibri"/>
        <w:sz w:val="22"/>
      </w:rPr>
    </w:lvl>
  </w:abstractNum>
  <w:abstractNum w:abstractNumId="32">
    <w:multiLevelType w:val="singleLevel"/>
    <w:lvl w:ilvl="0">
      <w:start w:val="1"/>
      <w:numFmt w:val="bullet"/>
      <w:lvlText w:val="•"/>
      <w:lvlJc w:val="left"/>
      <w:pPr>
        <w:tabs>
          <w:tab w:val="num" w:pos="720"/>
        </w:tabs>
        <w:ind w:left="720" w:hanging="360"/>
      </w:pPr>
      <w:rPr>
        <w:rFonts w:ascii="Calibri" w:hAnsi="Calibri"/>
        <w:sz w:val="22"/>
      </w:rPr>
    </w:lvl>
  </w:abstractNum>
  <w:abstractNum w:abstractNumId="33">
    <w:multiLevelType w:val="singleLevel"/>
    <w:lvl w:ilvl="0">
      <w:start w:val="1"/>
      <w:numFmt w:val="bullet"/>
      <w:lvlText w:val="•"/>
      <w:lvlJc w:val="left"/>
      <w:pPr>
        <w:tabs>
          <w:tab w:val="num" w:pos="720"/>
        </w:tabs>
        <w:ind w:left="720" w:hanging="360"/>
      </w:pPr>
      <w:rPr>
        <w:rFonts w:ascii="Calibri" w:hAnsi="Calibri"/>
        <w:sz w:val="22"/>
      </w:rPr>
    </w:lvl>
  </w:abstractNum>
  <w:abstractNum w:abstractNumId="34">
    <w:multiLevelType w:val="singleLevel"/>
    <w:lvl w:ilvl="0">
      <w:start w:val="1"/>
      <w:numFmt w:val="bullet"/>
      <w:lvlText w:val="•"/>
      <w:lvlJc w:val="left"/>
      <w:pPr>
        <w:tabs>
          <w:tab w:val="num" w:pos="720"/>
        </w:tabs>
        <w:ind w:left="720" w:hanging="360"/>
      </w:pPr>
      <w:rPr>
        <w:rFonts w:ascii="Calibri" w:hAnsi="Calibri"/>
        <w:sz w:val="22"/>
      </w:rPr>
    </w:lvl>
  </w:abstractNum>
  <w:abstractNum w:abstractNumId="35">
    <w:multiLevelType w:val="singleLevel"/>
    <w:lvl w:ilvl="0">
      <w:start w:val="1"/>
      <w:numFmt w:val="bullet"/>
      <w:lvlText w:val="•"/>
      <w:lvlJc w:val="left"/>
      <w:pPr>
        <w:tabs>
          <w:tab w:val="num" w:pos="720"/>
        </w:tabs>
        <w:ind w:left="720" w:hanging="360"/>
      </w:pPr>
      <w:rPr>
        <w:rFonts w:ascii="Calibri" w:hAnsi="Calibri"/>
        <w:sz w:val="22"/>
      </w:rPr>
    </w:lvl>
  </w:abstractNum>
  <w:abstractNum w:abstractNumId="36">
    <w:multiLevelType w:val="singleLevel"/>
    <w:lvl w:ilvl="0">
      <w:start w:val="1"/>
      <w:numFmt w:val="bullet"/>
      <w:lvlText w:val="•"/>
      <w:lvlJc w:val="left"/>
      <w:pPr>
        <w:tabs>
          <w:tab w:val="num" w:pos="720"/>
        </w:tabs>
        <w:ind w:left="720" w:hanging="360"/>
      </w:pPr>
      <w:rPr>
        <w:rFonts w:ascii="Calibri" w:hAnsi="Calibri"/>
        <w:sz w:val="22"/>
      </w:rPr>
    </w:lvl>
  </w:abstractNum>
  <w:abstractNum w:abstractNumId="37">
    <w:multiLevelType w:val="singleLevel"/>
    <w:lvl w:ilvl="0">
      <w:start w:val="1"/>
      <w:numFmt w:val="decimal"/>
      <w:lvlText w:val="%1."/>
      <w:lvlJc w:val="left"/>
      <w:pPr>
        <w:tabs>
          <w:tab w:val="num" w:pos="720"/>
        </w:tabs>
        <w:ind w:left="720" w:hanging="360"/>
      </w:pPr>
      <w:rPr>
        <w:rFonts w:ascii="Calibri" w:hAnsi="Calibri"/>
        <w:sz w:val="22"/>
      </w:rPr>
    </w:lvl>
  </w:abstractNum>
  <w:abstractNum w:abstractNumId="38">
    <w:multiLevelType w:val="singleLevel"/>
    <w:lvl w:ilvl="0">
      <w:start w:val="1"/>
      <w:numFmt w:val="bullet"/>
      <w:lvlText w:val="•"/>
      <w:lvlJc w:val="left"/>
      <w:pPr>
        <w:tabs>
          <w:tab w:val="num" w:pos="720"/>
        </w:tabs>
        <w:ind w:left="720" w:hanging="360"/>
      </w:pPr>
      <w:rPr>
        <w:rFonts w:ascii="Calibri" w:hAnsi="Calibri"/>
        <w:sz w:val="22"/>
      </w:rPr>
    </w:lvl>
  </w:abstractNum>
  <w:abstractNum w:abstractNumId="39">
    <w:multiLevelType w:val="singleLevel"/>
    <w:lvl w:ilvl="0">
      <w:start w:val="1"/>
      <w:numFmt w:val="bullet"/>
      <w:lvlText w:val="•"/>
      <w:lvlJc w:val="left"/>
      <w:pPr>
        <w:tabs>
          <w:tab w:val="num" w:pos="720"/>
        </w:tabs>
        <w:ind w:left="720" w:hanging="360"/>
      </w:pPr>
      <w:rPr>
        <w:rFonts w:ascii="Calibri" w:hAnsi="Calibri"/>
        <w:sz w:val="22"/>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7324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160"/>
    </w:pPr>
    <w:rPr>
      <w:rFonts w:ascii="Calibri" w:hAnsi="Calibri"/>
      <w:b/>
      <w:bCs/>
      <w:i/>
      <w:color w:val="5265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docs.aws.amazon.com/bedrock-agentcore/latest/devguide/runtime-mcp.html" TargetMode="External"/><Relationship Id="rId15" Type="http://schemas.openxmlformats.org/officeDocument/2006/relationships/hyperlink" Target="https://docs.aws.amazon.com/bedrock-agentcore/latest/devguide/gateway-target-MCPservers.html" TargetMode="External"/><Relationship Id="rId16" Type="http://schemas.openxmlformats.org/officeDocument/2006/relationships/hyperlink" Target="https://docs.aws.amazon.com/bedrock-agentcore/latest/devguide/inbound-jwt-authorizer.html" TargetMode="External"/><Relationship Id="rId17" Type="http://schemas.openxmlformats.org/officeDocument/2006/relationships/hyperlink" Target="https://docs.aws.amazon.com/bedrock-agentcore/latest/devguide/policy.html" TargetMode="External"/><Relationship Id="rId18" Type="http://schemas.openxmlformats.org/officeDocument/2006/relationships/hyperlink" Target="https://docs.aws.amazon.com/bedrock-agentcore/latest/devguide/resource-based-policies.html" TargetMode="External"/><Relationship Id="rId19" Type="http://schemas.openxmlformats.org/officeDocument/2006/relationships/hyperlink" Target="https://docs.aws.amazon.com/bedrock-agentcore/latest/devguide/vpc-interface-endpoints.html" TargetMode="External"/><Relationship Id="rId20" Type="http://schemas.openxmlformats.org/officeDocument/2006/relationships/hyperlink" Target="https://docs.aws.amazon.com/bedrock-agentcore/latest/devguide/gateway-headers.html" TargetMode="External"/><Relationship Id="rId21" Type="http://schemas.openxmlformats.org/officeDocument/2006/relationships/hyperlink" Target="https://docs.aws.amazon.com/bedrock-agentcore/latest/devguide/identity-outbound-credential-provider.html" TargetMode="External"/><Relationship Id="rId22" Type="http://schemas.openxmlformats.org/officeDocument/2006/relationships/hyperlink" Target="https://docs.aws.amazon.com/bedrock-agentcore/latest/devguide/observability-configure.html" TargetMode="External"/><Relationship Id="rId23" Type="http://schemas.openxmlformats.org/officeDocument/2006/relationships/hyperlink" Target="https://learn.microsoft.com/en-us/graph/permissions-reference" TargetMode="External"/><Relationship Id="rId24" Type="http://schemas.openxmlformats.org/officeDocument/2006/relationships/hyperlink" Target="https://learn.microsoft.com/en-us/entra/identity-platform/v2-oauth2-on-behalf-of-flow" TargetMode="External"/><Relationship Id="rId25" Type="http://schemas.openxmlformats.org/officeDocument/2006/relationships/hyperlink" Target="https://learn.microsoft.com/en-us/sharepoint/dev/general-development/how-to-avoid-getting-throttled-or-blocked-in-sharepoint-on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MCP Platform on AWS - Architecture, Security and Migration Review</dc:title>
  <dc:subject>Internal architecture review and conditional approval pack</dc:subject>
  <dc:creator>Cloud Platform Team</dc:creator>
  <cp:keywords>MCP, AgentCore, Gateway, Runtime, Entra, SharePoint, threat model, migration</cp:keywords>
  <dc:description>Generated from the repository review source.</dc:description>
  <cp:lastModifiedBy/>
  <cp:revision>1</cp:revision>
  <dcterms:created xsi:type="dcterms:W3CDTF">2013-12-23T23:15:00Z</dcterms:created>
  <dcterms:modified xsi:type="dcterms:W3CDTF">2013-12-23T23:15:00Z</dcterms:modified>
  <cp:category/>
</cp:coreProperties>
</file>