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AB43E">
      <w:pPr>
        <w:pBdr>
          <w:bottom w:val="single" w:color="2563EB" w:sz="8" w:space="0"/>
        </w:pBdr>
        <w:spacing w:before="320" w:after="160"/>
      </w:pPr>
      <w:r>
        <w:rPr>
          <w:rFonts w:ascii="微软雅黑" w:hAnsi="微软雅黑" w:eastAsia="微软雅黑" w:cs="微软雅黑"/>
          <w:b/>
          <w:bCs/>
          <w:color w:val="1A3A5C"/>
          <w:sz w:val="36"/>
          <w:szCs w:val="36"/>
        </w:rPr>
        <w:t>「智巡」——劳动关系AI治理生态平台</w:t>
      </w:r>
    </w:p>
    <w:p w14:paraId="5B7E9E72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AI+人力资源服务全球创新创意大赛 · 赛道四参赛方案</w:t>
      </w:r>
    </w:p>
    <w:p w14:paraId="468BAE08">
      <w:pPr>
        <w:pBdr>
          <w:bottom w:val="single" w:color="D1D5DB" w:sz="6" w:space="0"/>
        </w:pBdr>
        <w:spacing w:before="100" w:after="100"/>
      </w:pPr>
    </w:p>
    <w:p w14:paraId="49AE9873">
      <w:pPr>
        <w:pBdr>
          <w:bottom w:val="single" w:color="2563EB" w:sz="8" w:space="0"/>
        </w:pBdr>
        <w:spacing w:before="320" w:after="160"/>
      </w:pPr>
      <w:r>
        <w:rPr>
          <w:rFonts w:ascii="微软雅黑" w:hAnsi="微软雅黑" w:eastAsia="微软雅黑" w:cs="微软雅黑"/>
          <w:b/>
          <w:bCs/>
          <w:color w:val="1A3A5C"/>
          <w:sz w:val="28"/>
          <w:szCs w:val="28"/>
        </w:rPr>
        <w:t>一、一句话定位</w:t>
      </w:r>
    </w:p>
    <w:p w14:paraId="4915B269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以Agent为数字专员，以大模型为风险大脑，构建劳动关系风险的"发现—定位—分析—分层处置—反馈优化"全链路智能治理生态。</w:t>
      </w:r>
    </w:p>
    <w:p w14:paraId="633AB065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不是又一个政务信息系统，不是又一个数据大屏。是一批有岗位、有分工、有协作关系的"AI数字专员"，在人工关键节点把关下，参与劳动关系治理——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从"事后救火"到"事前防火"，从"工具辅助"到"数字专员参与治理"。</w:t>
      </w:r>
    </w:p>
    <w:p w14:paraId="1553CC2A">
      <w:pPr>
        <w:pBdr>
          <w:bottom w:val="single" w:color="D1D5DB" w:sz="6" w:space="0"/>
        </w:pBdr>
        <w:spacing w:before="100" w:after="100"/>
      </w:pPr>
    </w:p>
    <w:p w14:paraId="65E2BB20">
      <w:pPr>
        <w:pBdr>
          <w:bottom w:val="single" w:color="2563EB" w:sz="8" w:space="0"/>
        </w:pBdr>
        <w:spacing w:before="320" w:after="160"/>
      </w:pPr>
      <w:r>
        <w:rPr>
          <w:rFonts w:ascii="微软雅黑" w:hAnsi="微软雅黑" w:eastAsia="微软雅黑" w:cs="微软雅黑"/>
          <w:b/>
          <w:bCs/>
          <w:color w:val="1A3A5C"/>
          <w:sz w:val="28"/>
          <w:szCs w:val="28"/>
        </w:rPr>
        <w:t>二、赛道对位</w:t>
      </w:r>
    </w:p>
    <w:tbl>
      <w:tblPr>
        <w:tblStyle w:val="11"/>
        <w:tblW w:w="5000" w:type="pct"/>
        <w:tblInd w:w="0" w:type="dxa"/>
        <w:tblBorders>
          <w:top w:val="single" w:color="D1D5DB" w:sz="0" w:space="0"/>
          <w:left w:val="single" w:color="D1D5DB" w:sz="0" w:space="0"/>
          <w:bottom w:val="single" w:color="D1D5DB" w:sz="0" w:space="0"/>
          <w:right w:val="single" w:color="D1D5DB" w:sz="0" w:space="0"/>
          <w:insideH w:val="single" w:color="D1D5DB" w:sz="0" w:space="0"/>
          <w:insideV w:val="single" w:color="D1D5DB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29"/>
        <w:gridCol w:w="4829"/>
      </w:tblGrid>
      <w:tr w14:paraId="39BEAE20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pct"/>
            <w:shd w:val="solid" w:color="1E40AF" w:fill="1E40AF"/>
          </w:tcPr>
          <w:p w14:paraId="4A22756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2500" w:type="pct"/>
            <w:shd w:val="solid" w:color="1E40AF" w:fill="1E40AF"/>
          </w:tcPr>
          <w:p w14:paraId="6708A7B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D13272D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6C3EF089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赛道</w:t>
            </w:r>
          </w:p>
        </w:tc>
        <w:tc>
          <w:tcPr>
            <w:tcW w:w="2500" w:type="pct"/>
          </w:tcPr>
          <w:p w14:paraId="27F7472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赛道四：AI+政务服务</w:t>
            </w:r>
          </w:p>
        </w:tc>
      </w:tr>
      <w:tr w14:paraId="375457B9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solid" w:color="F0F4FF" w:fill="F0F4FF"/>
          </w:tcPr>
          <w:p w14:paraId="7C00B7B6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赛道覆盖场景</w:t>
            </w:r>
          </w:p>
        </w:tc>
        <w:tc>
          <w:tcPr>
            <w:tcW w:w="2500" w:type="pct"/>
            <w:shd w:val="solid" w:color="F0F4FF" w:fill="F0F4FF"/>
          </w:tcPr>
          <w:p w14:paraId="3087C0DA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AI赋能就业服务、技能培训数字化、</w:t>
            </w:r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劳动关系智能风控</w:t>
            </w:r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、中外劳务合规AI风控、智慧社保、零工经济监管数字化</w:t>
            </w:r>
          </w:p>
        </w:tc>
      </w:tr>
      <w:tr w14:paraId="5EEA0D8C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0E0476CF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精准对位</w:t>
            </w:r>
          </w:p>
        </w:tc>
        <w:tc>
          <w:tcPr>
            <w:tcW w:w="2500" w:type="pct"/>
          </w:tcPr>
          <w:p w14:paraId="68D3892D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赛道原文明确包含"劳动关系智能风控"，产品与赛道</w:t>
            </w:r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天然对位，非硬凑</w:t>
            </w:r>
          </w:p>
        </w:tc>
      </w:tr>
    </w:tbl>
    <w:p w14:paraId="5E39E158">
      <w:pPr>
        <w:spacing w:after="120"/>
      </w:pPr>
    </w:p>
    <w:p w14:paraId="3E2054C5">
      <w:pPr>
        <w:pBdr>
          <w:bottom w:val="single" w:color="D1D5DB" w:sz="6" w:space="0"/>
        </w:pBdr>
        <w:spacing w:before="100" w:after="100"/>
      </w:pPr>
    </w:p>
    <w:p w14:paraId="44F7929A">
      <w:pPr>
        <w:pBdr>
          <w:bottom w:val="single" w:color="2563EB" w:sz="8" w:space="0"/>
        </w:pBdr>
        <w:spacing w:before="320" w:after="160"/>
      </w:pPr>
      <w:r>
        <w:rPr>
          <w:rFonts w:ascii="微软雅黑" w:hAnsi="微软雅黑" w:eastAsia="微软雅黑" w:cs="微软雅黑"/>
          <w:b/>
          <w:bCs/>
          <w:color w:val="1A3A5C"/>
          <w:sz w:val="28"/>
          <w:szCs w:val="28"/>
        </w:rPr>
        <w:t>三、行业痛点：为什么这件事非做不可</w:t>
      </w:r>
    </w:p>
    <w:p w14:paraId="39847FEA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数据不说谎</w:t>
      </w:r>
    </w:p>
    <w:tbl>
      <w:tblPr>
        <w:tblStyle w:val="11"/>
        <w:tblW w:w="5000" w:type="pct"/>
        <w:tblInd w:w="0" w:type="dxa"/>
        <w:tblBorders>
          <w:top w:val="single" w:color="D1D5DB" w:sz="0" w:space="0"/>
          <w:left w:val="single" w:color="D1D5DB" w:sz="0" w:space="0"/>
          <w:bottom w:val="single" w:color="D1D5DB" w:sz="0" w:space="0"/>
          <w:right w:val="single" w:color="D1D5DB" w:sz="0" w:space="0"/>
          <w:insideH w:val="single" w:color="D1D5DB" w:sz="0" w:space="0"/>
          <w:insideV w:val="single" w:color="D1D5DB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9"/>
        <w:gridCol w:w="3219"/>
        <w:gridCol w:w="3220"/>
      </w:tblGrid>
      <w:tr w14:paraId="2D044E05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</w:tblPrEx>
        <w:trPr>
          <w:tblHeader/>
        </w:trPr>
        <w:tc>
          <w:tcPr>
            <w:tcW w:w="1650" w:type="pct"/>
            <w:shd w:val="solid" w:color="1E40AF" w:fill="1E40AF"/>
          </w:tcPr>
          <w:p w14:paraId="482D9A2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1650" w:type="pct"/>
            <w:shd w:val="solid" w:color="1E40AF" w:fill="1E40AF"/>
          </w:tcPr>
          <w:p w14:paraId="31F4A6F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数值</w:t>
            </w:r>
          </w:p>
        </w:tc>
        <w:tc>
          <w:tcPr>
            <w:tcW w:w="1650" w:type="pct"/>
            <w:shd w:val="solid" w:color="1E40AF" w:fill="1E40AF"/>
          </w:tcPr>
          <w:p w14:paraId="15BE68E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来源</w:t>
            </w:r>
          </w:p>
        </w:tc>
      </w:tr>
      <w:tr w14:paraId="09CF44D7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58EDD85A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2024年全国劳动人事争议案件</w:t>
            </w:r>
          </w:p>
        </w:tc>
        <w:tc>
          <w:tcPr>
            <w:tcW w:w="1650" w:type="pct"/>
          </w:tcPr>
          <w:p w14:paraId="16093F47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425.7万件</w:t>
            </w:r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（涉及劳动者454.9万人）</w:t>
            </w:r>
          </w:p>
        </w:tc>
        <w:tc>
          <w:tcPr>
            <w:tcW w:w="1650" w:type="pct"/>
          </w:tcPr>
          <w:p w14:paraId="74D743F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人社部2024年度统计公报</w:t>
            </w:r>
          </w:p>
        </w:tc>
      </w:tr>
      <w:tr w14:paraId="15700DA2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09E7004E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同比增长</w:t>
            </w:r>
          </w:p>
        </w:tc>
        <w:tc>
          <w:tcPr>
            <w:tcW w:w="1650" w:type="pct"/>
            <w:shd w:val="solid" w:color="F0F4FF" w:fill="F0F4FF"/>
          </w:tcPr>
          <w:p w14:paraId="7B78106A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+10.6%</w:t>
            </w:r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（2023年385万件）</w:t>
            </w:r>
          </w:p>
        </w:tc>
        <w:tc>
          <w:tcPr>
            <w:tcW w:w="1650" w:type="pct"/>
            <w:shd w:val="solid" w:color="F0F4FF" w:fill="F0F4FF"/>
          </w:tcPr>
          <w:p w14:paraId="563040C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同上</w:t>
            </w:r>
          </w:p>
        </w:tc>
      </w:tr>
      <w:tr w14:paraId="4F3721F8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116AE948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2025年法院劳动争议一审案件</w:t>
            </w:r>
          </w:p>
        </w:tc>
        <w:tc>
          <w:tcPr>
            <w:tcW w:w="1650" w:type="pct"/>
          </w:tcPr>
          <w:p w14:paraId="17764F8D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同比</w:t>
            </w:r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+37.5%</w:t>
            </w:r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（1-9月64.8万件）</w:t>
            </w:r>
          </w:p>
        </w:tc>
        <w:tc>
          <w:tcPr>
            <w:tcW w:w="1650" w:type="pct"/>
          </w:tcPr>
          <w:p w14:paraId="5B6CC216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最高人民法院2025年10月公布</w:t>
            </w:r>
          </w:p>
        </w:tc>
      </w:tr>
      <w:tr w14:paraId="2681C7A2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28629E6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年度结案金额</w:t>
            </w:r>
          </w:p>
        </w:tc>
        <w:tc>
          <w:tcPr>
            <w:tcW w:w="1650" w:type="pct"/>
            <w:shd w:val="solid" w:color="F0F4FF" w:fill="F0F4FF"/>
          </w:tcPr>
          <w:p w14:paraId="0562BD3F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934.7亿元</w:t>
            </w:r>
          </w:p>
        </w:tc>
        <w:tc>
          <w:tcPr>
            <w:tcW w:w="1650" w:type="pct"/>
            <w:shd w:val="solid" w:color="F0F4FF" w:fill="F0F4FF"/>
          </w:tcPr>
          <w:p w14:paraId="7640AA80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人社部2024年度统计公报</w:t>
            </w:r>
          </w:p>
        </w:tc>
      </w:tr>
      <w:tr w14:paraId="00F98C04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48C1C46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全国中小企业数量</w:t>
            </w:r>
          </w:p>
        </w:tc>
        <w:tc>
          <w:tcPr>
            <w:tcW w:w="1650" w:type="pct"/>
          </w:tcPr>
          <w:p w14:paraId="19E27F2B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6000万+户</w:t>
            </w:r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（贡献80%+城镇就业）</w:t>
            </w:r>
          </w:p>
        </w:tc>
        <w:tc>
          <w:tcPr>
            <w:tcW w:w="1650" w:type="pct"/>
          </w:tcPr>
          <w:p w14:paraId="047CC657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工信部2024年度数据</w:t>
            </w:r>
          </w:p>
        </w:tc>
      </w:tr>
    </w:tbl>
    <w:p w14:paraId="7E6EF9B2">
      <w:pPr>
        <w:spacing w:after="120"/>
      </w:pPr>
    </w:p>
    <w:p w14:paraId="2F78738F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趋势判断：劳动争议案件自2021年后持续加速增长，2025年增速进一步恶化。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 xml:space="preserve"> 这不是周期波动，是结构性压力——经济转型期用工模式变化、灵活就业激增、企业经营压力传导，都在推高劳动关系的风险水位。</w:t>
      </w:r>
    </w:p>
    <w:p w14:paraId="71F90C85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核心矛盾</w:t>
      </w:r>
    </w:p>
    <w:p w14:paraId="19EDBBFF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当前劳动关系治理存在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三个结构性矛盾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>：</w:t>
      </w:r>
    </w:p>
    <w:p w14:paraId="546E7066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矛盾一：风险总是"事后出场"</w:t>
      </w:r>
    </w:p>
    <w:p w14:paraId="35B8ABF8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仲裁开了才知道矛盾已爆发，信访来了才知道问题已激化，舆情上热搜才知道事情已闹大。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政府永远在"救火"，不在"防火"。</w:t>
      </w:r>
    </w:p>
    <w:p w14:paraId="6A4A1E97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矛盾二：基层人力永远不够</w:t>
      </w:r>
    </w:p>
    <w:p w14:paraId="5E7A945E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一个区级人社局劳动监察+仲裁编制通常十几个到几十个人，要覆盖辖区内数万到数十万家企业。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靠加人解决不了，需要新的生产力工具。</w:t>
      </w:r>
    </w:p>
    <w:p w14:paraId="507738A7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矛盾三：政府和企业信息不对称</w:t>
      </w:r>
    </w:p>
    <w:p w14:paraId="4D02FF87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政府知道风险在哪，但发现时已经晚了；企业不知道自己有风险，等仲裁通知到了才恍然大悟。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监管和被监管之间缺乏一个"提前预警"的中间层。</w:t>
      </w:r>
    </w:p>
    <w:p w14:paraId="6AB451E5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政策窗口</w:t>
      </w:r>
    </w:p>
    <w:p w14:paraId="7594C37E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2025年，人社部正式发布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《关于加快推进"人工智能+人社"应用发展的实施意见》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>，明确推动AI在人社领域的深度应用。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政策窗口已开，市场需要能落地的产品。</w:t>
      </w:r>
    </w:p>
    <w:p w14:paraId="314551BE">
      <w:pPr>
        <w:pBdr>
          <w:bottom w:val="single" w:color="D1D5DB" w:sz="6" w:space="0"/>
        </w:pBdr>
        <w:spacing w:before="100" w:after="100"/>
      </w:pPr>
    </w:p>
    <w:p w14:paraId="66332D51">
      <w:pPr>
        <w:pBdr>
          <w:bottom w:val="single" w:color="2563EB" w:sz="8" w:space="0"/>
        </w:pBdr>
        <w:spacing w:before="320" w:after="160"/>
      </w:pPr>
      <w:r>
        <w:rPr>
          <w:rFonts w:ascii="微软雅黑" w:hAnsi="微软雅黑" w:eastAsia="微软雅黑" w:cs="微软雅黑"/>
          <w:b/>
          <w:bCs/>
          <w:color w:val="1A3A5C"/>
          <w:sz w:val="28"/>
          <w:szCs w:val="28"/>
        </w:rPr>
        <w:t>四、核心创新：从"工具"到"数字专员"的范式变革</w:t>
      </w:r>
    </w:p>
    <w:p w14:paraId="59C9F29A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我们不做的事</w:t>
      </w:r>
    </w:p>
    <w:p w14:paraId="08F4FE9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不做"又一个数据大屏"——大屏只展示，不分析、不决策、不行动</w:t>
      </w:r>
    </w:p>
    <w:p w14:paraId="43825541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不做"又一个关键词预警系统"——关键词匹配无法理解案件背后的真实矛盾</w:t>
      </w:r>
    </w:p>
    <w:p w14:paraId="51D3C61E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不做"又一个政务信息化项目"——信息化解决的是"效率"，我们要解决的是"生产力"</w:t>
      </w:r>
    </w:p>
    <w:p w14:paraId="5F378366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我们做的事</w:t>
      </w:r>
    </w:p>
    <w:p w14:paraId="3B314601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用Agent构建一批"数字专员"，在人工关键节点把关下，参与劳动关系治理。</w:t>
      </w:r>
    </w:p>
    <w:p w14:paraId="3E8DD03F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这不是修辞——每个Agent都有明确的岗位职责、协作关系和输出标准：</w:t>
      </w:r>
    </w:p>
    <w:tbl>
      <w:tblPr>
        <w:tblStyle w:val="11"/>
        <w:tblW w:w="5000" w:type="pct"/>
        <w:tblInd w:w="0" w:type="dxa"/>
        <w:tblBorders>
          <w:top w:val="single" w:color="D1D5DB" w:sz="0" w:space="0"/>
          <w:left w:val="single" w:color="D1D5DB" w:sz="0" w:space="0"/>
          <w:bottom w:val="single" w:color="D1D5DB" w:sz="0" w:space="0"/>
          <w:right w:val="single" w:color="D1D5DB" w:sz="0" w:space="0"/>
          <w:insideH w:val="single" w:color="D1D5DB" w:sz="0" w:space="0"/>
          <w:insideV w:val="single" w:color="D1D5DB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9"/>
        <w:gridCol w:w="3219"/>
        <w:gridCol w:w="3220"/>
      </w:tblGrid>
      <w:tr w14:paraId="03404B80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50" w:type="pct"/>
            <w:shd w:val="solid" w:color="1E40AF" w:fill="1E40AF"/>
          </w:tcPr>
          <w:p w14:paraId="37C8B68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数字专员</w:t>
            </w:r>
          </w:p>
        </w:tc>
        <w:tc>
          <w:tcPr>
            <w:tcW w:w="1650" w:type="pct"/>
            <w:shd w:val="solid" w:color="1E40AF" w:fill="1E40AF"/>
          </w:tcPr>
          <w:p w14:paraId="0C3F51D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岗位职责</w:t>
            </w:r>
          </w:p>
        </w:tc>
        <w:tc>
          <w:tcPr>
            <w:tcW w:w="1650" w:type="pct"/>
            <w:shd w:val="solid" w:color="1E40AF" w:fill="1E40AF"/>
          </w:tcPr>
          <w:p w14:paraId="74A07D8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等价于人类角色</w:t>
            </w:r>
          </w:p>
        </w:tc>
      </w:tr>
      <w:tr w14:paraId="6C063FA2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55CA5A38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风险发现专员</w:t>
            </w:r>
          </w:p>
        </w:tc>
        <w:tc>
          <w:tcPr>
            <w:tcW w:w="1650" w:type="pct"/>
          </w:tcPr>
          <w:p w14:paraId="78F00DF7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24小时监控全量信号源，异常第一时间报告</w:t>
            </w:r>
          </w:p>
        </w:tc>
        <w:tc>
          <w:tcPr>
            <w:tcW w:w="1650" w:type="pct"/>
          </w:tcPr>
          <w:p w14:paraId="49946728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信息巡查员</w:t>
            </w:r>
          </w:p>
        </w:tc>
      </w:tr>
      <w:tr w14:paraId="62832D67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191BAEF9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风险定位专员</w:t>
            </w:r>
          </w:p>
        </w:tc>
        <w:tc>
          <w:tcPr>
            <w:tcW w:w="1650" w:type="pct"/>
            <w:shd w:val="solid" w:color="F0F4FF" w:fill="F0F4FF"/>
          </w:tcPr>
          <w:p w14:paraId="1E6F66B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精准到行业、区域、企业、风险类型和级别</w:t>
            </w:r>
          </w:p>
        </w:tc>
        <w:tc>
          <w:tcPr>
            <w:tcW w:w="1650" w:type="pct"/>
            <w:shd w:val="solid" w:color="F0F4FF" w:fill="F0F4FF"/>
          </w:tcPr>
          <w:p w14:paraId="110CFE70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风险分析师</w:t>
            </w:r>
          </w:p>
        </w:tc>
      </w:tr>
      <w:tr w14:paraId="7FEBA942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317F605F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趋势研判专员</w:t>
            </w:r>
          </w:p>
        </w:tc>
        <w:tc>
          <w:tcPr>
            <w:tcW w:w="1650" w:type="pct"/>
          </w:tcPr>
          <w:p w14:paraId="04A5F7E8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多源数据交叉分析，预判风险走向，评估影响面</w:t>
            </w:r>
          </w:p>
        </w:tc>
        <w:tc>
          <w:tcPr>
            <w:tcW w:w="1650" w:type="pct"/>
          </w:tcPr>
          <w:p w14:paraId="19A9D49E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高级分析师</w:t>
            </w:r>
          </w:p>
        </w:tc>
      </w:tr>
      <w:tr w14:paraId="596664ED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0E47F73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培训指导专员</w:t>
            </w:r>
          </w:p>
        </w:tc>
        <w:tc>
          <w:tcPr>
            <w:tcW w:w="1650" w:type="pct"/>
            <w:shd w:val="solid" w:color="F0F4FF" w:fill="F0F4FF"/>
          </w:tcPr>
          <w:p w14:paraId="79065E67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对风险企业推送定制化合规培训和操作指导</w:t>
            </w:r>
          </w:p>
        </w:tc>
        <w:tc>
          <w:tcPr>
            <w:tcW w:w="1650" w:type="pct"/>
            <w:shd w:val="solid" w:color="F0F4FF" w:fill="F0F4FF"/>
          </w:tcPr>
          <w:p w14:paraId="2C6EB767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培训顾问</w:t>
            </w:r>
          </w:p>
        </w:tc>
      </w:tr>
      <w:tr w14:paraId="40F42A8F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29D12D87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提前干预专员</w:t>
            </w:r>
          </w:p>
        </w:tc>
        <w:tc>
          <w:tcPr>
            <w:tcW w:w="1650" w:type="pct"/>
          </w:tcPr>
          <w:p w14:paraId="7032661B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对高风险企业发出预警，建议介入方式，跟踪处置结果</w:t>
            </w:r>
          </w:p>
        </w:tc>
        <w:tc>
          <w:tcPr>
            <w:tcW w:w="1650" w:type="pct"/>
          </w:tcPr>
          <w:p w14:paraId="201A15E6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风控专员</w:t>
            </w:r>
          </w:p>
        </w:tc>
      </w:tr>
      <w:tr w14:paraId="3F8721A8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3BC909DA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政策参谋专员</w:t>
            </w:r>
          </w:p>
        </w:tc>
        <w:tc>
          <w:tcPr>
            <w:tcW w:w="1650" w:type="pct"/>
            <w:shd w:val="solid" w:color="F0F4FF" w:fill="F0F4FF"/>
          </w:tcPr>
          <w:p w14:paraId="267CF245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基于全量风险态势，辅助领导判断政策调整方向</w:t>
            </w:r>
          </w:p>
        </w:tc>
        <w:tc>
          <w:tcPr>
            <w:tcW w:w="1650" w:type="pct"/>
            <w:shd w:val="solid" w:color="F0F4FF" w:fill="F0F4FF"/>
          </w:tcPr>
          <w:p w14:paraId="20D77825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政策研究员</w:t>
            </w:r>
          </w:p>
        </w:tc>
      </w:tr>
      <w:tr w14:paraId="48D7E2BB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266D199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企业合规专员</w:t>
            </w:r>
          </w:p>
        </w:tc>
        <w:tc>
          <w:tcPr>
            <w:tcW w:w="1650" w:type="pct"/>
          </w:tcPr>
          <w:p w14:paraId="7441C3E1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为企业提供持续合规顾问服务，把"监管"变"赋能"</w:t>
            </w:r>
          </w:p>
        </w:tc>
        <w:tc>
          <w:tcPr>
            <w:tcW w:w="1650" w:type="pct"/>
          </w:tcPr>
          <w:p w14:paraId="2EFB08D2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企业法务顾问</w:t>
            </w:r>
          </w:p>
        </w:tc>
      </w:tr>
    </w:tbl>
    <w:p w14:paraId="04805CF4">
      <w:pPr>
        <w:spacing w:after="120"/>
      </w:pPr>
    </w:p>
    <w:p w14:paraId="4C2740C8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关键设计原则：人工始终在环（Human-in-the-loop）。</w:t>
      </w:r>
    </w:p>
    <w:p w14:paraId="0E614A66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所有Agent的输出在关键节点都需要人工确认。不是机器替代人决策，是机器帮人把信息筛好、把分析做好、把建议备好——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人来拍板。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 xml:space="preserve"> 这既符合政府治理的合规要求，也回答了评委最可能问的问题："AI会不会乱来？"</w:t>
      </w:r>
    </w:p>
    <w:p w14:paraId="79056568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范式对比</w:t>
      </w:r>
    </w:p>
    <w:tbl>
      <w:tblPr>
        <w:tblStyle w:val="11"/>
        <w:tblW w:w="5000" w:type="pct"/>
        <w:tblInd w:w="0" w:type="dxa"/>
        <w:tblBorders>
          <w:top w:val="single" w:color="D1D5DB" w:sz="0" w:space="0"/>
          <w:left w:val="single" w:color="D1D5DB" w:sz="0" w:space="0"/>
          <w:bottom w:val="single" w:color="D1D5DB" w:sz="0" w:space="0"/>
          <w:right w:val="single" w:color="D1D5DB" w:sz="0" w:space="0"/>
          <w:insideH w:val="single" w:color="D1D5DB" w:sz="0" w:space="0"/>
          <w:insideV w:val="single" w:color="D1D5DB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9"/>
        <w:gridCol w:w="3219"/>
        <w:gridCol w:w="3220"/>
      </w:tblGrid>
      <w:tr w14:paraId="4303D8EB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50" w:type="pct"/>
            <w:shd w:val="solid" w:color="1E40AF" w:fill="1E40AF"/>
          </w:tcPr>
          <w:p w14:paraId="0B703D0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1650" w:type="pct"/>
            <w:shd w:val="solid" w:color="1E40AF" w:fill="1E40AF"/>
          </w:tcPr>
          <w:p w14:paraId="3442230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传统方案</w:t>
            </w:r>
          </w:p>
        </w:tc>
        <w:tc>
          <w:tcPr>
            <w:tcW w:w="1650" w:type="pct"/>
            <w:shd w:val="solid" w:color="1E40AF" w:fill="1E40AF"/>
          </w:tcPr>
          <w:p w14:paraId="703FC47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我们的方案</w:t>
            </w:r>
          </w:p>
        </w:tc>
      </w:tr>
      <w:tr w14:paraId="745833E4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04732455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AI的角色</w:t>
            </w:r>
          </w:p>
        </w:tc>
        <w:tc>
          <w:tcPr>
            <w:tcW w:w="1650" w:type="pct"/>
          </w:tcPr>
          <w:p w14:paraId="1BE62800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工具：人用它来查数据、做分析</w:t>
            </w:r>
          </w:p>
        </w:tc>
        <w:tc>
          <w:tcPr>
            <w:tcW w:w="1650" w:type="pct"/>
          </w:tcPr>
          <w:p w14:paraId="58C93D70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专员：有岗位、有分工、有协作</w:t>
            </w:r>
          </w:p>
        </w:tc>
      </w:tr>
      <w:tr w14:paraId="17D983B0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1849F34F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数据处理</w:t>
            </w:r>
          </w:p>
        </w:tc>
        <w:tc>
          <w:tcPr>
            <w:tcW w:w="1650" w:type="pct"/>
            <w:shd w:val="solid" w:color="F0F4FF" w:fill="F0F4FF"/>
          </w:tcPr>
          <w:p w14:paraId="4D971F5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单一来源、关键词匹配</w:t>
            </w:r>
          </w:p>
        </w:tc>
        <w:tc>
          <w:tcPr>
            <w:tcW w:w="1650" w:type="pct"/>
            <w:shd w:val="solid" w:color="F0F4FF" w:fill="F0F4FF"/>
          </w:tcPr>
          <w:p w14:paraId="1F736C25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多源交叉、语义级理解</w:t>
            </w:r>
          </w:p>
        </w:tc>
      </w:tr>
      <w:tr w14:paraId="08AC959A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31131741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风险发现</w:t>
            </w:r>
          </w:p>
        </w:tc>
        <w:tc>
          <w:tcPr>
            <w:tcW w:w="1650" w:type="pct"/>
          </w:tcPr>
          <w:p w14:paraId="70AA8881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事后统计、事后报告</w:t>
            </w:r>
          </w:p>
        </w:tc>
        <w:tc>
          <w:tcPr>
            <w:tcW w:w="1650" w:type="pct"/>
          </w:tcPr>
          <w:p w14:paraId="71F93516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实时监控、提前预判</w:t>
            </w:r>
          </w:p>
        </w:tc>
      </w:tr>
      <w:tr w14:paraId="24D710EB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78A77A6D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处置方式</w:t>
            </w:r>
          </w:p>
        </w:tc>
        <w:tc>
          <w:tcPr>
            <w:tcW w:w="1650" w:type="pct"/>
            <w:shd w:val="solid" w:color="F0F4FF" w:fill="F0F4FF"/>
          </w:tcPr>
          <w:p w14:paraId="7F8669B5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人看数据→人做判断→人执行</w:t>
            </w:r>
          </w:p>
        </w:tc>
        <w:tc>
          <w:tcPr>
            <w:tcW w:w="1650" w:type="pct"/>
            <w:shd w:val="solid" w:color="F0F4FF" w:fill="F0F4FF"/>
          </w:tcPr>
          <w:p w14:paraId="6337511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专员备好方案→人确认→专员执行→结果回流</w:t>
            </w:r>
          </w:p>
        </w:tc>
      </w:tr>
      <w:tr w14:paraId="6946602B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79D476F5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系统进化</w:t>
            </w:r>
          </w:p>
        </w:tc>
        <w:tc>
          <w:tcPr>
            <w:tcW w:w="1650" w:type="pct"/>
          </w:tcPr>
          <w:p w14:paraId="56A639E9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静态系统，需人工迭代</w:t>
            </w:r>
          </w:p>
        </w:tc>
        <w:tc>
          <w:tcPr>
            <w:tcW w:w="1650" w:type="pct"/>
          </w:tcPr>
          <w:p w14:paraId="70EFA96F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处置效果回流，系统越用越聪明</w:t>
            </w:r>
          </w:p>
        </w:tc>
      </w:tr>
    </w:tbl>
    <w:p w14:paraId="756CEA94">
      <w:pPr>
        <w:spacing w:after="120"/>
      </w:pPr>
    </w:p>
    <w:p w14:paraId="42E9A4DB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一句话：别人用AI做一个更好的工具，我们用AI造一批新的专员。</w:t>
      </w:r>
    </w:p>
    <w:p w14:paraId="4B174B88">
      <w:pPr>
        <w:pBdr>
          <w:bottom w:val="single" w:color="D1D5DB" w:sz="6" w:space="0"/>
        </w:pBdr>
        <w:spacing w:before="100" w:after="100"/>
      </w:pPr>
    </w:p>
    <w:p w14:paraId="544C4072">
      <w:pPr>
        <w:pBdr>
          <w:bottom w:val="single" w:color="2563EB" w:sz="8" w:space="0"/>
        </w:pBdr>
        <w:spacing w:before="320" w:after="160"/>
      </w:pPr>
      <w:r>
        <w:rPr>
          <w:rFonts w:ascii="微软雅黑" w:hAnsi="微软雅黑" w:eastAsia="微软雅黑" w:cs="微软雅黑"/>
          <w:b/>
          <w:bCs/>
          <w:color w:val="1A3A5C"/>
          <w:sz w:val="28"/>
          <w:szCs w:val="28"/>
        </w:rPr>
        <w:t>五、产品架构</w:t>
      </w:r>
    </w:p>
    <w:p w14:paraId="11BE8740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四层架构</w:t>
      </w:r>
    </w:p>
    <w:p w14:paraId="2458FC21">
      <w:pPr>
        <w:pBdr>
          <w:left w:val="single" w:color="2563EB" w:sz="6" w:space="0"/>
        </w:pBdr>
        <w:shd w:val="solid" w:color="F3F4F6" w:fill="F3F4F6"/>
        <w:spacing w:before="120" w:after="120"/>
      </w:pPr>
      <w:r>
        <w:rPr>
          <w:rFonts w:ascii="Consolas" w:hAnsi="Consolas" w:eastAsia="Consolas" w:cs="Consolas"/>
          <w:color w:val="1F2937"/>
          <w:sz w:val="18"/>
          <w:szCs w:val="18"/>
        </w:rPr>
        <w:t>┌──────────────────────────────────────────────────┐
│              反馈优化层（自进化）                    │
│   处置效果评估 · 服务流程优化 · 政策效果反馈 · 模型迭代  │
├──────────────────────────────────────────────────┤
│              执行层（Agent集群 · 分层处置）           │
│                                                    │
│   发现 → 定位 → 分析 → 分层处置                      │
│                         │                          │
│          ┌──────────────┼──────────────┐           │
│          │              │              │            │
│     关注监控        培训指导       提前干预          │
│    （低风险，持续    （中风险，     （高风险，       │
│      跟踪信号）      赋能自纠）     主动介入）       │
│          │              │              │            │
│          └──────────────┼──────────────┘           │
│                    政策建议  合规服务                │
│               （区域性风险）  （持续陪伴）            │
│                                                    │
│   （7个数字专员协作，人工关键节点把关）                │
├──────────────────────────────────────────────────┤
│              智能层（大模型风险大脑）                 │
│   语义理解 · 多源关联 · 趋势预判 · 建议生成           │
├──────────────────────────────────────────────────┤
│              数据层（多源信号采集）                   │
│   仲裁 · 监察 · 信访 · 舆情 · 社保 · 招聘            │
│   （数据向量化、分级、权限分发、本地化存储）            │
└──────────────────────────────────────────────────┘</w:t>
      </w:r>
    </w:p>
    <w:p w14:paraId="1A4B68FD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数据层：以风险发生为驱动</w:t>
      </w:r>
    </w:p>
    <w:p w14:paraId="6148D853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不从"合规检查清单"出发，从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风险已经发生的信号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>出发：</w:t>
      </w:r>
    </w:p>
    <w:p w14:paraId="1DA27497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仲裁案件数据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>——矛盾已到对簿公堂程度</w:t>
      </w:r>
    </w:p>
    <w:p w14:paraId="0A9BDA56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劳动监察投诉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>——劳动者已开始找政府</w:t>
      </w:r>
    </w:p>
    <w:p w14:paraId="1F1B9D74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信访数据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>——矛盾正在向上传导</w:t>
      </w:r>
    </w:p>
    <w:p w14:paraId="238D98A3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网络舆情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>——矛盾已或即将公开化</w:t>
      </w:r>
    </w:p>
    <w:p w14:paraId="30EC63A6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可扩展信号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>：社保断缴、招聘异常、裁判文书、企业舆情等</w:t>
      </w:r>
    </w:p>
    <w:p w14:paraId="501FE57D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每一类单独看都是"事后信息"，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交叉在一起，就能描绘风险全貌和走向。</w:t>
      </w:r>
    </w:p>
    <w:p w14:paraId="60905612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智能层：不做关键词，做语义理解</w:t>
      </w:r>
    </w:p>
    <w:p w14:paraId="39829859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理解案件背后的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真实诉求和矛盾焦点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>，而非表面的案由分类</w:t>
      </w:r>
    </w:p>
    <w:p w14:paraId="35D9F950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多源数据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关联分析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>，发现人眼难以察觉的风险传导链条</w:t>
      </w:r>
    </w:p>
    <w:p w14:paraId="135815EE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趋势预判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>：从"这个区域仲裁量增加了"到"这个区域下季度可能爆发群体性事件"</w:t>
      </w:r>
    </w:p>
    <w:p w14:paraId="225010A2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自动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生成处置建议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>，不是只给数据让领导自己判断</w:t>
      </w:r>
    </w:p>
    <w:p w14:paraId="24A5D9A6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定位维度：六维交叉的精准风险画像</w:t>
      </w:r>
    </w:p>
    <w:p w14:paraId="7F5BD098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风险定位不是一句"风险在XX区"——是六个维度交叉刻画，精准到"哪个区域、哪个行业、哪家企业、什么类型的风险、什么等级、处于什么阶段"：</w:t>
      </w:r>
    </w:p>
    <w:tbl>
      <w:tblPr>
        <w:tblStyle w:val="11"/>
        <w:tblW w:w="5000" w:type="pct"/>
        <w:tblInd w:w="0" w:type="dxa"/>
        <w:tblBorders>
          <w:top w:val="single" w:color="D1D5DB" w:sz="0" w:space="0"/>
          <w:left w:val="single" w:color="D1D5DB" w:sz="0" w:space="0"/>
          <w:bottom w:val="single" w:color="D1D5DB" w:sz="0" w:space="0"/>
          <w:right w:val="single" w:color="D1D5DB" w:sz="0" w:space="0"/>
          <w:insideH w:val="single" w:color="D1D5DB" w:sz="0" w:space="0"/>
          <w:insideV w:val="single" w:color="D1D5DB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4"/>
        <w:gridCol w:w="2414"/>
        <w:gridCol w:w="2415"/>
        <w:gridCol w:w="2415"/>
      </w:tblGrid>
      <w:tr w14:paraId="2E58A073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solid" w:color="1E40AF" w:fill="1E40AF"/>
          </w:tcPr>
          <w:p w14:paraId="652C401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定位维度</w:t>
            </w:r>
          </w:p>
        </w:tc>
        <w:tc>
          <w:tcPr>
            <w:tcW w:w="1250" w:type="pct"/>
            <w:shd w:val="solid" w:color="1E40AF" w:fill="1E40AF"/>
          </w:tcPr>
          <w:p w14:paraId="4B292F4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回答的问题</w:t>
            </w:r>
          </w:p>
        </w:tc>
        <w:tc>
          <w:tcPr>
            <w:tcW w:w="1250" w:type="pct"/>
            <w:shd w:val="solid" w:color="1E40AF" w:fill="1E40AF"/>
          </w:tcPr>
          <w:p w14:paraId="3431786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政府具体得到什么</w:t>
            </w:r>
          </w:p>
        </w:tc>
        <w:tc>
          <w:tcPr>
            <w:tcW w:w="1250" w:type="pct"/>
            <w:shd w:val="solid" w:color="1E40AF" w:fill="1E40AF"/>
          </w:tcPr>
          <w:p w14:paraId="75D2F19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举例</w:t>
            </w:r>
          </w:p>
        </w:tc>
      </w:tr>
      <w:tr w14:paraId="564EFA9F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029A515A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空间定位</w:t>
            </w:r>
          </w:p>
        </w:tc>
        <w:tc>
          <w:tcPr>
            <w:tcW w:w="1250" w:type="pct"/>
          </w:tcPr>
          <w:p w14:paraId="4EA9CCA2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风险集中在哪里</w:t>
            </w:r>
          </w:p>
        </w:tc>
        <w:tc>
          <w:tcPr>
            <w:tcW w:w="1250" w:type="pct"/>
          </w:tcPr>
          <w:p w14:paraId="7DE92CFD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风险热力地图，精准到区/街道/园区级</w:t>
            </w:r>
          </w:p>
        </w:tc>
        <w:tc>
          <w:tcPr>
            <w:tcW w:w="1250" w:type="pct"/>
          </w:tcPr>
          <w:p w14:paraId="71107C89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"XX街道本月风险信号密度是全区均值的3.2倍"</w:t>
            </w:r>
          </w:p>
        </w:tc>
      </w:tr>
      <w:tr w14:paraId="5E17A481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solid" w:color="F0F4FF" w:fill="F0F4FF"/>
          </w:tcPr>
          <w:p w14:paraId="2008456B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行业定位</w:t>
            </w:r>
          </w:p>
        </w:tc>
        <w:tc>
          <w:tcPr>
            <w:tcW w:w="1250" w:type="pct"/>
            <w:shd w:val="solid" w:color="F0F4FF" w:fill="F0F4FF"/>
          </w:tcPr>
          <w:p w14:paraId="706F390A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哪个行业风险高发</w:t>
            </w:r>
          </w:p>
        </w:tc>
        <w:tc>
          <w:tcPr>
            <w:tcW w:w="1250" w:type="pct"/>
            <w:shd w:val="solid" w:color="F0F4FF" w:fill="F0F4FF"/>
          </w:tcPr>
          <w:p w14:paraId="26CCE2A5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行业风险排行，匹配针对性监管资源</w:t>
            </w:r>
          </w:p>
        </w:tc>
        <w:tc>
          <w:tcPr>
            <w:tcW w:w="1250" w:type="pct"/>
            <w:shd w:val="solid" w:color="F0F4FF" w:fill="F0F4FF"/>
          </w:tcPr>
          <w:p w14:paraId="07B8CB1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"建筑业欠薪信号占本月总量的47%，环比+15%"</w:t>
            </w:r>
          </w:p>
        </w:tc>
      </w:tr>
      <w:tr w14:paraId="31C4B3C5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6DA68C0F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企业定位</w:t>
            </w:r>
          </w:p>
        </w:tc>
        <w:tc>
          <w:tcPr>
            <w:tcW w:w="1250" w:type="pct"/>
          </w:tcPr>
          <w:p w14:paraId="1DC2C679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哪家企业是高风险主体</w:t>
            </w:r>
          </w:p>
        </w:tc>
        <w:tc>
          <w:tcPr>
            <w:tcW w:w="1250" w:type="pct"/>
          </w:tcPr>
          <w:p w14:paraId="7A2ECE91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企业风险画像，一企一档</w:t>
            </w:r>
          </w:p>
        </w:tc>
        <w:tc>
          <w:tcPr>
            <w:tcW w:w="1250" w:type="pct"/>
          </w:tcPr>
          <w:p w14:paraId="4E2B0817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"XX公司近30天：仲裁3件+信访2次+舆情1条，风险等级：高"</w:t>
            </w:r>
          </w:p>
        </w:tc>
      </w:tr>
      <w:tr w14:paraId="03E0559C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solid" w:color="F0F4FF" w:fill="F0F4FF"/>
          </w:tcPr>
          <w:p w14:paraId="002F1784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风险类型定位</w:t>
            </w:r>
          </w:p>
        </w:tc>
        <w:tc>
          <w:tcPr>
            <w:tcW w:w="1250" w:type="pct"/>
            <w:shd w:val="solid" w:color="F0F4FF" w:fill="F0F4FF"/>
          </w:tcPr>
          <w:p w14:paraId="21C1AB16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是什么类型的风险</w:t>
            </w:r>
          </w:p>
        </w:tc>
        <w:tc>
          <w:tcPr>
            <w:tcW w:w="1250" w:type="pct"/>
            <w:shd w:val="solid" w:color="F0F4FF" w:fill="F0F4FF"/>
          </w:tcPr>
          <w:p w14:paraId="0F8B8207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风险类型分布图，匹配处置资源</w:t>
            </w:r>
          </w:p>
        </w:tc>
        <w:tc>
          <w:tcPr>
            <w:tcW w:w="1250" w:type="pct"/>
            <w:shd w:val="solid" w:color="F0F4FF" w:fill="F0F4FF"/>
          </w:tcPr>
          <w:p w14:paraId="08B5346A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"欠薪风险62%、社保纠纷21%、裁员争议17%"</w:t>
            </w:r>
          </w:p>
        </w:tc>
      </w:tr>
      <w:tr w14:paraId="6F015F02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07B507FC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风险等级定位</w:t>
            </w:r>
          </w:p>
        </w:tc>
        <w:tc>
          <w:tcPr>
            <w:tcW w:w="1250" w:type="pct"/>
          </w:tcPr>
          <w:p w14:paraId="24B94F0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风险有多严重</w:t>
            </w:r>
          </w:p>
        </w:tc>
        <w:tc>
          <w:tcPr>
            <w:tcW w:w="1250" w:type="pct"/>
          </w:tcPr>
          <w:p w14:paraId="744F1736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四级分级（低/中/高/紧急），触发不同响应机制</w:t>
            </w:r>
          </w:p>
        </w:tc>
        <w:tc>
          <w:tcPr>
            <w:tcW w:w="1250" w:type="pct"/>
          </w:tcPr>
          <w:p w14:paraId="43F7A276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"紧急级：已出现群体信访苗头，需24小时内介入"</w:t>
            </w:r>
          </w:p>
        </w:tc>
      </w:tr>
      <w:tr w14:paraId="7C6A3496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solid" w:color="F0F4FF" w:fill="F0F4FF"/>
          </w:tcPr>
          <w:p w14:paraId="754F2548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风险阶段定位</w:t>
            </w:r>
          </w:p>
        </w:tc>
        <w:tc>
          <w:tcPr>
            <w:tcW w:w="1250" w:type="pct"/>
            <w:shd w:val="solid" w:color="F0F4FF" w:fill="F0F4FF"/>
          </w:tcPr>
          <w:p w14:paraId="44BBB4F1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风险处于什么阶段</w:t>
            </w:r>
          </w:p>
        </w:tc>
        <w:tc>
          <w:tcPr>
            <w:tcW w:w="1250" w:type="pct"/>
            <w:shd w:val="solid" w:color="F0F4FF" w:fill="F0F4FF"/>
          </w:tcPr>
          <w:p w14:paraId="49DF0E5A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酝酿期→累积期→爆发期→传导期，决定介入策略和时机</w:t>
            </w:r>
          </w:p>
        </w:tc>
        <w:tc>
          <w:tcPr>
            <w:tcW w:w="1250" w:type="pct"/>
            <w:shd w:val="solid" w:color="F0F4FF" w:fill="F0F4FF"/>
          </w:tcPr>
          <w:p w14:paraId="38E2DDF2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"累积期：信号叠加中尚未公开化，介入窗口期约2-3周"</w:t>
            </w:r>
          </w:p>
        </w:tc>
      </w:tr>
    </w:tbl>
    <w:p w14:paraId="1DAF724E">
      <w:pPr>
        <w:spacing w:after="120"/>
      </w:pPr>
    </w:p>
    <w:p w14:paraId="706681D8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政府领导拿到的不是模糊的"风险较高"，是一张"六维风险定位卡"——</w:t>
      </w:r>
    </w:p>
    <w:p w14:paraId="29381ACF">
      <w:pPr>
        <w:pBdr>
          <w:left w:val="single" w:color="D97706" w:sz="12" w:space="0"/>
        </w:pBdr>
        <w:shd w:val="solid" w:color="FFF7ED" w:fill="FFF7ED"/>
        <w:spacing w:before="120" w:after="120"/>
        <w:ind w:left="720"/>
      </w:pPr>
      <w:r>
        <w:rPr>
          <w:rFonts w:ascii="微软雅黑" w:hAnsi="微软雅黑" w:eastAsia="微软雅黑" w:cs="微软雅黑"/>
          <w:i/>
          <w:iCs/>
          <w:color w:val="D97706"/>
          <w:sz w:val="22"/>
          <w:szCs w:val="22"/>
        </w:rPr>
        <w:t>"XX街道、建筑业、XX公司、欠薪风险、高级、累积期，建议窗口期2周"</w:t>
      </w:r>
    </w:p>
    <w:p w14:paraId="0D80F639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这种颗粒度的信息，过去需要一个科室花一周调研才能拿到。数字专员实时给出。</w:t>
      </w:r>
    </w:p>
    <w:p w14:paraId="0C3B27F1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分析维度：从"是什么"到"为什么"到"会怎样"再到"怎么办"</w:t>
      </w:r>
    </w:p>
    <w:p w14:paraId="33D01C62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分析是定位的深化。定位告诉你"风险在哪"，分析告诉你"为什么会这样""接下来会怎样""该怎么办"：</w:t>
      </w:r>
    </w:p>
    <w:tbl>
      <w:tblPr>
        <w:tblStyle w:val="11"/>
        <w:tblW w:w="5000" w:type="pct"/>
        <w:tblInd w:w="0" w:type="dxa"/>
        <w:tblBorders>
          <w:top w:val="single" w:color="D1D5DB" w:sz="0" w:space="0"/>
          <w:left w:val="single" w:color="D1D5DB" w:sz="0" w:space="0"/>
          <w:bottom w:val="single" w:color="D1D5DB" w:sz="0" w:space="0"/>
          <w:right w:val="single" w:color="D1D5DB" w:sz="0" w:space="0"/>
          <w:insideH w:val="single" w:color="D1D5DB" w:sz="0" w:space="0"/>
          <w:insideV w:val="single" w:color="D1D5DB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4"/>
        <w:gridCol w:w="2414"/>
        <w:gridCol w:w="2415"/>
        <w:gridCol w:w="2415"/>
      </w:tblGrid>
      <w:tr w14:paraId="3B0E5744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solid" w:color="1E40AF" w:fill="1E40AF"/>
          </w:tcPr>
          <w:p w14:paraId="53DBD45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分析维度</w:t>
            </w:r>
          </w:p>
        </w:tc>
        <w:tc>
          <w:tcPr>
            <w:tcW w:w="1250" w:type="pct"/>
            <w:shd w:val="solid" w:color="1E40AF" w:fill="1E40AF"/>
          </w:tcPr>
          <w:p w14:paraId="68FAB0B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回答的问题</w:t>
            </w:r>
          </w:p>
        </w:tc>
        <w:tc>
          <w:tcPr>
            <w:tcW w:w="1250" w:type="pct"/>
            <w:shd w:val="solid" w:color="1E40AF" w:fill="1E40AF"/>
          </w:tcPr>
          <w:p w14:paraId="3A95CA4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政府具体得到什么</w:t>
            </w:r>
          </w:p>
        </w:tc>
        <w:tc>
          <w:tcPr>
            <w:tcW w:w="1250" w:type="pct"/>
            <w:shd w:val="solid" w:color="1E40AF" w:fill="1E40AF"/>
          </w:tcPr>
          <w:p w14:paraId="362EE1C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举例</w:t>
            </w:r>
          </w:p>
        </w:tc>
      </w:tr>
      <w:tr w14:paraId="57A0D344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756E7023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根因分析</w:t>
            </w:r>
          </w:p>
        </w:tc>
        <w:tc>
          <w:tcPr>
            <w:tcW w:w="1250" w:type="pct"/>
          </w:tcPr>
          <w:p w14:paraId="2974F706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为什么这个区域/行业/企业风险集中</w:t>
            </w:r>
          </w:p>
        </w:tc>
        <w:tc>
          <w:tcPr>
            <w:tcW w:w="1250" w:type="pct"/>
          </w:tcPr>
          <w:p w14:paraId="27739D4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风险归因报告，不是表面现象，是深层原因</w:t>
            </w:r>
          </w:p>
        </w:tc>
        <w:tc>
          <w:tcPr>
            <w:tcW w:w="1250" w:type="pct"/>
          </w:tcPr>
          <w:p w14:paraId="6944F120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"根因：该区域制造业集中→近期订单萎缩→企业资金链紧张→欠薪传导链形成"</w:t>
            </w:r>
          </w:p>
        </w:tc>
      </w:tr>
      <w:tr w14:paraId="7C8225ED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solid" w:color="F0F4FF" w:fill="F0F4FF"/>
          </w:tcPr>
          <w:p w14:paraId="72E26C02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关联传导分析</w:t>
            </w:r>
          </w:p>
        </w:tc>
        <w:tc>
          <w:tcPr>
            <w:tcW w:w="1250" w:type="pct"/>
            <w:shd w:val="solid" w:color="F0F4FF" w:fill="F0F4FF"/>
          </w:tcPr>
          <w:p w14:paraId="7E4F7FC2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多源数据之间的因果链条</w:t>
            </w:r>
          </w:p>
        </w:tc>
        <w:tc>
          <w:tcPr>
            <w:tcW w:w="1250" w:type="pct"/>
            <w:shd w:val="solid" w:color="F0F4FF" w:fill="F0F4FF"/>
          </w:tcPr>
          <w:p w14:paraId="5ECF8F98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风险传导路径图，发现人眼难察觉的关联</w:t>
            </w:r>
          </w:p>
        </w:tc>
        <w:tc>
          <w:tcPr>
            <w:tcW w:w="1250" w:type="pct"/>
            <w:shd w:val="solid" w:color="F0F4FF" w:fill="F0F4FF"/>
          </w:tcPr>
          <w:p w14:paraId="47F149CF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"社保断缴信号→2-3周→仲裁激增→1-2周→信访出现→舆情爆发"</w:t>
            </w:r>
          </w:p>
        </w:tc>
      </w:tr>
      <w:tr w14:paraId="147ADA35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47E5A64B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趋势预判</w:t>
            </w:r>
          </w:p>
        </w:tc>
        <w:tc>
          <w:tcPr>
            <w:tcW w:w="1250" w:type="pct"/>
          </w:tcPr>
          <w:p w14:paraId="3E2019AD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按当前趋势，接下来会发生什么</w:t>
            </w:r>
          </w:p>
        </w:tc>
        <w:tc>
          <w:tcPr>
            <w:tcW w:w="1250" w:type="pct"/>
          </w:tcPr>
          <w:p w14:paraId="3E055192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风险水位预测曲线+预警阈值触发</w:t>
            </w:r>
          </w:p>
        </w:tc>
        <w:tc>
          <w:tcPr>
            <w:tcW w:w="1250" w:type="pct"/>
          </w:tcPr>
          <w:p w14:paraId="60DEBB99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"按当前增速，该区域下月仲裁量将超历史峰值30%，群体性事件概率上升"</w:t>
            </w:r>
          </w:p>
        </w:tc>
      </w:tr>
      <w:tr w14:paraId="63FD6E9C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solid" w:color="F0F4FF" w:fill="F0F4FF"/>
          </w:tcPr>
          <w:p w14:paraId="31677DFB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影响面评估</w:t>
            </w:r>
          </w:p>
        </w:tc>
        <w:tc>
          <w:tcPr>
            <w:tcW w:w="1250" w:type="pct"/>
            <w:shd w:val="solid" w:color="F0F4FF" w:fill="F0F4FF"/>
          </w:tcPr>
          <w:p w14:paraId="4D3BA730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涉及多少企业、多少劳动者</w:t>
            </w:r>
          </w:p>
        </w:tc>
        <w:tc>
          <w:tcPr>
            <w:tcW w:w="1250" w:type="pct"/>
            <w:shd w:val="solid" w:color="F0F4FF" w:fill="F0F4FF"/>
          </w:tcPr>
          <w:p w14:paraId="5CFC7FD0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风险影响面量化评估报告</w:t>
            </w:r>
          </w:p>
        </w:tc>
        <w:tc>
          <w:tcPr>
            <w:tcW w:w="1250" w:type="pct"/>
            <w:shd w:val="solid" w:color="F0F4FF" w:fill="F0F4FF"/>
          </w:tcPr>
          <w:p w14:paraId="1702EABA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"预计波及企业23家、劳动者约1500人、潜在经济风险约800万元"</w:t>
            </w:r>
          </w:p>
        </w:tc>
      </w:tr>
      <w:tr w14:paraId="62DEE54F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2E552AF4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同类比对</w:t>
            </w:r>
          </w:p>
        </w:tc>
        <w:tc>
          <w:tcPr>
            <w:tcW w:w="1250" w:type="pct"/>
          </w:tcPr>
          <w:p w14:paraId="21ED4FF0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类似风险历史上怎么处理的</w:t>
            </w:r>
          </w:p>
        </w:tc>
        <w:tc>
          <w:tcPr>
            <w:tcW w:w="1250" w:type="pct"/>
          </w:tcPr>
          <w:p w14:paraId="636AE44F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处置先例参考，站在经验肩膀上决策</w:t>
            </w:r>
          </w:p>
        </w:tc>
        <w:tc>
          <w:tcPr>
            <w:tcW w:w="1250" w:type="pct"/>
          </w:tcPr>
          <w:p w14:paraId="2E5DAB57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"2023年XX区出现过类似信号组合，采用劳动监察约谈+专项培训，效果：风险下降72%"</w:t>
            </w:r>
          </w:p>
        </w:tc>
      </w:tr>
      <w:tr w14:paraId="6F31B2CA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solid" w:color="F0F4FF" w:fill="F0F4FF"/>
          </w:tcPr>
          <w:p w14:paraId="7E987EEA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处置建议</w:t>
            </w:r>
          </w:p>
        </w:tc>
        <w:tc>
          <w:tcPr>
            <w:tcW w:w="1250" w:type="pct"/>
            <w:shd w:val="solid" w:color="F0F4FF" w:fill="F0F4FF"/>
          </w:tcPr>
          <w:p w14:paraId="68E0D918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系统建议怎么处理</w:t>
            </w:r>
          </w:p>
        </w:tc>
        <w:tc>
          <w:tcPr>
            <w:tcW w:w="1250" w:type="pct"/>
            <w:shd w:val="solid" w:color="F0F4FF" w:fill="F0F4FF"/>
          </w:tcPr>
          <w:p w14:paraId="67F28B13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不是"请领导决策"，是"建议方案A/B/C+优先级排序"</w:t>
            </w:r>
          </w:p>
        </w:tc>
        <w:tc>
          <w:tcPr>
            <w:tcW w:w="1250" w:type="pct"/>
            <w:shd w:val="solid" w:color="F0F4FF" w:fill="F0F4FF"/>
          </w:tcPr>
          <w:p w14:paraId="0B3A177E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"建议：①监察约谈（3天内）②推送合规培训（本周）③持续监控信号变化"</w:t>
            </w:r>
          </w:p>
        </w:tc>
      </w:tr>
    </w:tbl>
    <w:p w14:paraId="7F88D05F">
      <w:pPr>
        <w:spacing w:after="120"/>
      </w:pPr>
    </w:p>
    <w:p w14:paraId="6DB40649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分析的本质——帮政府把决策所需的信息全部备好。</w:t>
      </w:r>
    </w:p>
    <w:p w14:paraId="574444FB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根因是什么、会怎样发展、影响多大、历史上怎么处理的、建议怎么办。领导要做的，是从备好的方案里拍板，而不是从零开始调研。</w:t>
      </w:r>
    </w:p>
    <w:p w14:paraId="11BD0B0F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这就是"数字专员"和"工具"的根本区别：工具给你数据让你自己判断，专员把分析做完把建议备好让你决策。</w:t>
      </w:r>
    </w:p>
    <w:p w14:paraId="0D1204EA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分层处置：不是"一刀切"，是按风险等级精准施策</w:t>
      </w:r>
    </w:p>
    <w:tbl>
      <w:tblPr>
        <w:tblStyle w:val="11"/>
        <w:tblW w:w="5000" w:type="pct"/>
        <w:tblInd w:w="0" w:type="dxa"/>
        <w:tblBorders>
          <w:top w:val="single" w:color="D1D5DB" w:sz="0" w:space="0"/>
          <w:left w:val="single" w:color="D1D5DB" w:sz="0" w:space="0"/>
          <w:bottom w:val="single" w:color="D1D5DB" w:sz="0" w:space="0"/>
          <w:right w:val="single" w:color="D1D5DB" w:sz="0" w:space="0"/>
          <w:insideH w:val="single" w:color="D1D5DB" w:sz="0" w:space="0"/>
          <w:insideV w:val="single" w:color="D1D5DB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4"/>
        <w:gridCol w:w="2414"/>
        <w:gridCol w:w="2415"/>
        <w:gridCol w:w="2415"/>
      </w:tblGrid>
      <w:tr w14:paraId="61EC779D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solid" w:color="1E40AF" w:fill="1E40AF"/>
          </w:tcPr>
          <w:p w14:paraId="62B21CA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风险等级</w:t>
            </w:r>
          </w:p>
        </w:tc>
        <w:tc>
          <w:tcPr>
            <w:tcW w:w="1250" w:type="pct"/>
            <w:shd w:val="solid" w:color="1E40AF" w:fill="1E40AF"/>
          </w:tcPr>
          <w:p w14:paraId="24FF22A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处置手段</w:t>
            </w:r>
          </w:p>
        </w:tc>
        <w:tc>
          <w:tcPr>
            <w:tcW w:w="1250" w:type="pct"/>
            <w:shd w:val="solid" w:color="1E40AF" w:fill="1E40AF"/>
          </w:tcPr>
          <w:p w14:paraId="7E70295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数字专员</w:t>
            </w:r>
          </w:p>
        </w:tc>
        <w:tc>
          <w:tcPr>
            <w:tcW w:w="1250" w:type="pct"/>
            <w:shd w:val="solid" w:color="1E40AF" w:fill="1E40AF"/>
          </w:tcPr>
          <w:p w14:paraId="4C84B09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目标</w:t>
            </w:r>
          </w:p>
        </w:tc>
      </w:tr>
      <w:tr w14:paraId="30313B54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16DDE7D5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低风险</w:t>
            </w:r>
          </w:p>
        </w:tc>
        <w:tc>
          <w:tcPr>
            <w:tcW w:w="1250" w:type="pct"/>
          </w:tcPr>
          <w:p w14:paraId="1C3FF30B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关注监控</w:t>
            </w:r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——标记为重点跟踪对象，提升监控频率</w:t>
            </w:r>
          </w:p>
        </w:tc>
        <w:tc>
          <w:tcPr>
            <w:tcW w:w="1250" w:type="pct"/>
          </w:tcPr>
          <w:p w14:paraId="4862592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风险发现+定位专员</w:t>
            </w:r>
          </w:p>
        </w:tc>
        <w:tc>
          <w:tcPr>
            <w:tcW w:w="1250" w:type="pct"/>
          </w:tcPr>
          <w:p w14:paraId="6B8C840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持续观察，不贸然介入</w:t>
            </w:r>
          </w:p>
        </w:tc>
      </w:tr>
      <w:tr w14:paraId="3E289A87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solid" w:color="F0F4FF" w:fill="F0F4FF"/>
          </w:tcPr>
          <w:p w14:paraId="11E5AFA2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中风险</w:t>
            </w:r>
          </w:p>
        </w:tc>
        <w:tc>
          <w:tcPr>
            <w:tcW w:w="1250" w:type="pct"/>
            <w:shd w:val="solid" w:color="F0F4FF" w:fill="F0F4FF"/>
          </w:tcPr>
          <w:p w14:paraId="11EE1958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培训指导</w:t>
            </w:r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——推送定制化合规培训和操作建议</w:t>
            </w:r>
          </w:p>
        </w:tc>
        <w:tc>
          <w:tcPr>
            <w:tcW w:w="1250" w:type="pct"/>
            <w:shd w:val="solid" w:color="F0F4FF" w:fill="F0F4FF"/>
          </w:tcPr>
          <w:p w14:paraId="272FBFC5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培训指导专员</w:t>
            </w:r>
          </w:p>
        </w:tc>
        <w:tc>
          <w:tcPr>
            <w:tcW w:w="1250" w:type="pct"/>
            <w:shd w:val="solid" w:color="F0F4FF" w:fill="F0F4FF"/>
          </w:tcPr>
          <w:p w14:paraId="24516FB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赋能企业自我纠正</w:t>
            </w:r>
          </w:p>
        </w:tc>
      </w:tr>
      <w:tr w14:paraId="76B8723B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13009B9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高风险</w:t>
            </w:r>
          </w:p>
        </w:tc>
        <w:tc>
          <w:tcPr>
            <w:tcW w:w="1250" w:type="pct"/>
          </w:tcPr>
          <w:p w14:paraId="375C5E7D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提前干预</w:t>
            </w:r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——发出预警，建议介入方式，跟踪结果</w:t>
            </w:r>
          </w:p>
        </w:tc>
        <w:tc>
          <w:tcPr>
            <w:tcW w:w="1250" w:type="pct"/>
          </w:tcPr>
          <w:p w14:paraId="19237EB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提前干预专员</w:t>
            </w:r>
          </w:p>
        </w:tc>
        <w:tc>
          <w:tcPr>
            <w:tcW w:w="1250" w:type="pct"/>
          </w:tcPr>
          <w:p w14:paraId="2435761F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主动介入，防止矛盾升级</w:t>
            </w:r>
          </w:p>
        </w:tc>
      </w:tr>
      <w:tr w14:paraId="79D397EF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solid" w:color="F0F4FF" w:fill="F0F4FF"/>
          </w:tcPr>
          <w:p w14:paraId="56898129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区域性/系统性</w:t>
            </w:r>
          </w:p>
        </w:tc>
        <w:tc>
          <w:tcPr>
            <w:tcW w:w="1250" w:type="pct"/>
            <w:shd w:val="solid" w:color="F0F4FF" w:fill="F0F4FF"/>
          </w:tcPr>
          <w:p w14:paraId="4D6ECFBF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政策建议</w:t>
            </w:r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——基于全量态势，辅助政策调整</w:t>
            </w:r>
          </w:p>
        </w:tc>
        <w:tc>
          <w:tcPr>
            <w:tcW w:w="1250" w:type="pct"/>
            <w:shd w:val="solid" w:color="F0F4FF" w:fill="F0F4FF"/>
          </w:tcPr>
          <w:p w14:paraId="576A7D1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政策参谋专员</w:t>
            </w:r>
          </w:p>
        </w:tc>
        <w:tc>
          <w:tcPr>
            <w:tcW w:w="1250" w:type="pct"/>
            <w:shd w:val="solid" w:color="F0F4FF" w:fill="F0F4FF"/>
          </w:tcPr>
          <w:p w14:paraId="7BE91F9A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从个案到制度层面解决</w:t>
            </w:r>
          </w:p>
        </w:tc>
      </w:tr>
      <w:tr w14:paraId="17FC4B75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710B47CA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持续服务</w:t>
            </w:r>
          </w:p>
        </w:tc>
        <w:tc>
          <w:tcPr>
            <w:tcW w:w="1250" w:type="pct"/>
          </w:tcPr>
          <w:p w14:paraId="09F68040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合规服务</w:t>
            </w:r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——企业合规专员长期陪伴</w:t>
            </w:r>
          </w:p>
        </w:tc>
        <w:tc>
          <w:tcPr>
            <w:tcW w:w="1250" w:type="pct"/>
          </w:tcPr>
          <w:p w14:paraId="25ADA22B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企业合规专员</w:t>
            </w:r>
          </w:p>
        </w:tc>
        <w:tc>
          <w:tcPr>
            <w:tcW w:w="1250" w:type="pct"/>
          </w:tcPr>
          <w:p w14:paraId="0F98E54B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把"监管"变"赋能"</w:t>
            </w:r>
          </w:p>
        </w:tc>
      </w:tr>
    </w:tbl>
    <w:p w14:paraId="1732DEDE">
      <w:pPr>
        <w:spacing w:after="120"/>
      </w:pPr>
    </w:p>
    <w:p w14:paraId="2BF975DD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关键：处置不是终点，而是反馈的起点。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 xml:space="preserve"> 不同处置手段的效果会回流到系统，指导下一次的风险分级和处置策略选择。</w:t>
      </w:r>
    </w:p>
    <w:p w14:paraId="59382ED5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业务闭环与反馈优化</w:t>
      </w:r>
    </w:p>
    <w:p w14:paraId="6AFE957C">
      <w:pPr>
        <w:pBdr>
          <w:left w:val="single" w:color="2563EB" w:sz="6" w:space="0"/>
        </w:pBdr>
        <w:shd w:val="solid" w:color="F3F4F6" w:fill="F3F4F6"/>
        <w:spacing w:before="120" w:after="120"/>
      </w:pPr>
      <w:r>
        <w:rPr>
          <w:rFonts w:ascii="Consolas" w:hAnsi="Consolas" w:eastAsia="Consolas" w:cs="Consolas"/>
          <w:color w:val="1F2937"/>
          <w:sz w:val="18"/>
          <w:szCs w:val="18"/>
        </w:rPr>
        <w:t>发现 → 定位 → 分析 → 分层处置 → 反馈优化
                                ↓
                    ┌───────────┴───────────┐
                    │                       │
              处置效果评估              政策效果反馈
              （哪种手段有效？）      （政策调整后风险降了吗？）
                    │                       │
                    └───────────┬───────────┘
                                ↓
                    服务流程优化 + 模型迭代
                    下一次发现更早、分级更准、处置更精准</w:t>
      </w:r>
    </w:p>
    <w:p w14:paraId="06BAC9D2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反馈优化不只是一个技术概念——它意味着系统会"学习"什么样的处置手段对什么样的风险最有效，并持续改进自身的服务流程。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 xml:space="preserve"> 这不是交付即定型的静态产品。</w:t>
      </w:r>
    </w:p>
    <w:p w14:paraId="2727A133">
      <w:pPr>
        <w:pBdr>
          <w:bottom w:val="single" w:color="D1D5DB" w:sz="6" w:space="0"/>
        </w:pBdr>
        <w:spacing w:before="100" w:after="100"/>
      </w:pPr>
    </w:p>
    <w:p w14:paraId="3F84DE43">
      <w:pPr>
        <w:pBdr>
          <w:bottom w:val="single" w:color="2563EB" w:sz="8" w:space="0"/>
        </w:pBdr>
        <w:spacing w:before="320" w:after="160"/>
      </w:pPr>
      <w:r>
        <w:rPr>
          <w:rFonts w:ascii="微软雅黑" w:hAnsi="微软雅黑" w:eastAsia="微软雅黑" w:cs="微软雅黑"/>
          <w:b/>
          <w:bCs/>
          <w:color w:val="1A3A5C"/>
          <w:sz w:val="28"/>
          <w:szCs w:val="28"/>
        </w:rPr>
        <w:t>六、技术可行性：不是PPT概念，是已验证的底座</w:t>
      </w:r>
    </w:p>
    <w:p w14:paraId="2D903B1B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核心AI能力已在企业真实场景中跑通：</w:t>
      </w:r>
    </w:p>
    <w:tbl>
      <w:tblPr>
        <w:tblStyle w:val="11"/>
        <w:tblW w:w="5000" w:type="pct"/>
        <w:tblInd w:w="0" w:type="dxa"/>
        <w:tblBorders>
          <w:top w:val="single" w:color="D1D5DB" w:sz="0" w:space="0"/>
          <w:left w:val="single" w:color="D1D5DB" w:sz="0" w:space="0"/>
          <w:bottom w:val="single" w:color="D1D5DB" w:sz="0" w:space="0"/>
          <w:right w:val="single" w:color="D1D5DB" w:sz="0" w:space="0"/>
          <w:insideH w:val="single" w:color="D1D5DB" w:sz="0" w:space="0"/>
          <w:insideV w:val="single" w:color="D1D5DB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9"/>
        <w:gridCol w:w="3219"/>
        <w:gridCol w:w="3220"/>
      </w:tblGrid>
      <w:tr w14:paraId="7D1BA0C3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50" w:type="pct"/>
            <w:shd w:val="solid" w:color="1E40AF" w:fill="1E40AF"/>
          </w:tcPr>
          <w:p w14:paraId="0B1B529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能力</w:t>
            </w:r>
          </w:p>
        </w:tc>
        <w:tc>
          <w:tcPr>
            <w:tcW w:w="1650" w:type="pct"/>
            <w:shd w:val="solid" w:color="1E40AF" w:fill="1E40AF"/>
          </w:tcPr>
          <w:p w14:paraId="386515D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验证状态</w:t>
            </w:r>
          </w:p>
        </w:tc>
        <w:tc>
          <w:tcPr>
            <w:tcW w:w="1650" w:type="pct"/>
            <w:shd w:val="solid" w:color="1E40AF" w:fill="1E40AF"/>
          </w:tcPr>
          <w:p w14:paraId="7CBA428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对本项目的意义</w:t>
            </w:r>
          </w:p>
        </w:tc>
      </w:tr>
      <w:tr w14:paraId="0CE7BDF4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2B36FF5A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数据向量化</w:t>
            </w:r>
          </w:p>
        </w:tc>
        <w:tc>
          <w:tcPr>
            <w:tcW w:w="1650" w:type="pct"/>
          </w:tcPr>
          <w:p w14:paraId="29304CE5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✅ 已验证</w:t>
            </w:r>
          </w:p>
        </w:tc>
        <w:tc>
          <w:tcPr>
            <w:tcW w:w="1650" w:type="pct"/>
          </w:tcPr>
          <w:p w14:paraId="63AEC5C2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能将仲裁文书、信访记录、舆情文本等非结构化数据转为机器可理解的格式</w:t>
            </w:r>
          </w:p>
        </w:tc>
      </w:tr>
      <w:tr w14:paraId="0C8A35D9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307AEAB5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数据分级</w:t>
            </w:r>
          </w:p>
        </w:tc>
        <w:tc>
          <w:tcPr>
            <w:tcW w:w="1650" w:type="pct"/>
            <w:shd w:val="solid" w:color="F0F4FF" w:fill="F0F4FF"/>
          </w:tcPr>
          <w:p w14:paraId="542BE672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✅ 已验证</w:t>
            </w:r>
          </w:p>
        </w:tc>
        <w:tc>
          <w:tcPr>
            <w:tcW w:w="1650" w:type="pct"/>
            <w:shd w:val="solid" w:color="F0F4FF" w:fill="F0F4FF"/>
          </w:tcPr>
          <w:p w14:paraId="16AB360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不同敏感度的数据自动分级，该谁看谁才能看</w:t>
            </w:r>
          </w:p>
        </w:tc>
      </w:tr>
      <w:tr w14:paraId="2E1E8C8C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330DE75A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权限分发</w:t>
            </w:r>
          </w:p>
        </w:tc>
        <w:tc>
          <w:tcPr>
            <w:tcW w:w="1650" w:type="pct"/>
          </w:tcPr>
          <w:p w14:paraId="4EA2657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✅ 已验证</w:t>
            </w:r>
          </w:p>
        </w:tc>
        <w:tc>
          <w:tcPr>
            <w:tcW w:w="1650" w:type="pct"/>
          </w:tcPr>
          <w:p w14:paraId="1E994202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政府不同部门看到不同层级数据，跨部门协作权限可控</w:t>
            </w:r>
          </w:p>
        </w:tc>
      </w:tr>
      <w:tr w14:paraId="505F620C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2CCA273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Agent协作</w:t>
            </w:r>
          </w:p>
        </w:tc>
        <w:tc>
          <w:tcPr>
            <w:tcW w:w="1650" w:type="pct"/>
            <w:shd w:val="solid" w:color="F0F4FF" w:fill="F0F4FF"/>
          </w:tcPr>
          <w:p w14:paraId="78D0011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✅ 已验证</w:t>
            </w:r>
          </w:p>
        </w:tc>
        <w:tc>
          <w:tcPr>
            <w:tcW w:w="1650" w:type="pct"/>
            <w:shd w:val="solid" w:color="F0F4FF" w:fill="F0F4FF"/>
          </w:tcPr>
          <w:p w14:paraId="2A89EDAF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多个数字专员配合工作，不是各干各的</w:t>
            </w:r>
          </w:p>
        </w:tc>
      </w:tr>
      <w:tr w14:paraId="009DFFB7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561AF46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人工关键节点</w:t>
            </w:r>
          </w:p>
        </w:tc>
        <w:tc>
          <w:tcPr>
            <w:tcW w:w="1650" w:type="pct"/>
          </w:tcPr>
          <w:p w14:paraId="24F77AE1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✅ 已验证</w:t>
            </w:r>
          </w:p>
        </w:tc>
        <w:tc>
          <w:tcPr>
            <w:tcW w:w="1650" w:type="pct"/>
          </w:tcPr>
          <w:p w14:paraId="4748D1D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关键决策留给人，机器不越权</w:t>
            </w:r>
          </w:p>
        </w:tc>
      </w:tr>
      <w:tr w14:paraId="64848F52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5D3D68CD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数据私有化</w:t>
            </w:r>
          </w:p>
        </w:tc>
        <w:tc>
          <w:tcPr>
            <w:tcW w:w="1650" w:type="pct"/>
            <w:shd w:val="solid" w:color="F0F4FF" w:fill="F0F4FF"/>
          </w:tcPr>
          <w:p w14:paraId="72085E71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✅ 已验证</w:t>
            </w:r>
          </w:p>
        </w:tc>
        <w:tc>
          <w:tcPr>
            <w:tcW w:w="1650" w:type="pct"/>
            <w:shd w:val="solid" w:color="F0F4FF" w:fill="F0F4FF"/>
          </w:tcPr>
          <w:p w14:paraId="77A78F4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数据本地化部署，不出域，不泄露，合规可控</w:t>
            </w:r>
          </w:p>
        </w:tc>
      </w:tr>
    </w:tbl>
    <w:p w14:paraId="01EA7AE7">
      <w:pPr>
        <w:spacing w:after="120"/>
      </w:pPr>
    </w:p>
    <w:p w14:paraId="1D05910C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技术路径：四层防护 + 闭环优化</w:t>
      </w:r>
    </w:p>
    <w:p w14:paraId="3EC3B4CF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这不是"从零开始"的技术探索，而是已在企业真实场景中验证过的技术路径，迁移到劳动关系治理领域。</w:t>
      </w:r>
    </w:p>
    <w:p w14:paraId="606B99E0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路径一：数据安全——多级分级 + 动态路由</w:t>
      </w:r>
    </w:p>
    <w:p w14:paraId="6B38885B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按数据敏感度进行多级分级管理（级数可根据政策要求和业务实际灵活定义），每一级对应独立的处理策略和路由通道：</w:t>
      </w:r>
    </w:p>
    <w:tbl>
      <w:tblPr>
        <w:tblStyle w:val="11"/>
        <w:tblW w:w="5000" w:type="pct"/>
        <w:tblInd w:w="0" w:type="dxa"/>
        <w:tblBorders>
          <w:top w:val="single" w:color="D1D5DB" w:sz="0" w:space="0"/>
          <w:left w:val="single" w:color="D1D5DB" w:sz="0" w:space="0"/>
          <w:bottom w:val="single" w:color="D1D5DB" w:sz="0" w:space="0"/>
          <w:right w:val="single" w:color="D1D5DB" w:sz="0" w:space="0"/>
          <w:insideH w:val="single" w:color="D1D5DB" w:sz="0" w:space="0"/>
          <w:insideV w:val="single" w:color="D1D5DB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9"/>
        <w:gridCol w:w="3219"/>
        <w:gridCol w:w="3220"/>
      </w:tblGrid>
      <w:tr w14:paraId="4F0A008B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50" w:type="pct"/>
            <w:shd w:val="solid" w:color="1E40AF" w:fill="1E40AF"/>
          </w:tcPr>
          <w:p w14:paraId="775A5B9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分级维度</w:t>
            </w:r>
          </w:p>
        </w:tc>
        <w:tc>
          <w:tcPr>
            <w:tcW w:w="1650" w:type="pct"/>
            <w:shd w:val="solid" w:color="1E40AF" w:fill="1E40AF"/>
          </w:tcPr>
          <w:p w14:paraId="38BB971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1650" w:type="pct"/>
            <w:shd w:val="solid" w:color="1E40AF" w:fill="1E40AF"/>
          </w:tcPr>
          <w:p w14:paraId="76A545E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处理策略</w:t>
            </w:r>
          </w:p>
        </w:tc>
      </w:tr>
      <w:tr w14:paraId="04F57351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46D6F36E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公开级</w:t>
            </w:r>
          </w:p>
        </w:tc>
        <w:tc>
          <w:tcPr>
            <w:tcW w:w="1650" w:type="pct"/>
          </w:tcPr>
          <w:p w14:paraId="5FFE2A25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公开政策、法规、统计数据</w:t>
            </w:r>
          </w:p>
        </w:tc>
        <w:tc>
          <w:tcPr>
            <w:tcW w:w="1650" w:type="pct"/>
          </w:tcPr>
          <w:p w14:paraId="436B3A02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无限制访问</w:t>
            </w:r>
          </w:p>
        </w:tc>
      </w:tr>
      <w:tr w14:paraId="60109D7B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4E23D3E5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内部级</w:t>
            </w:r>
          </w:p>
        </w:tc>
        <w:tc>
          <w:tcPr>
            <w:tcW w:w="1650" w:type="pct"/>
            <w:shd w:val="solid" w:color="F0F4FF" w:fill="F0F4FF"/>
          </w:tcPr>
          <w:p w14:paraId="69A32EDA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内部工作数据、分析报告</w:t>
            </w:r>
          </w:p>
        </w:tc>
        <w:tc>
          <w:tcPr>
            <w:tcW w:w="1650" w:type="pct"/>
            <w:shd w:val="solid" w:color="F0F4FF" w:fill="F0F4FF"/>
          </w:tcPr>
          <w:p w14:paraId="0AE0B37B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权限控制，内部流转</w:t>
            </w:r>
          </w:p>
        </w:tc>
      </w:tr>
      <w:tr w14:paraId="382EA56C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4BE998CF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敏感级</w:t>
            </w:r>
          </w:p>
        </w:tc>
        <w:tc>
          <w:tcPr>
            <w:tcW w:w="1650" w:type="pct"/>
          </w:tcPr>
          <w:p w14:paraId="7E23037E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企业信息、案件摘要</w:t>
            </w:r>
          </w:p>
        </w:tc>
        <w:tc>
          <w:tcPr>
            <w:tcW w:w="1650" w:type="pct"/>
          </w:tcPr>
          <w:p w14:paraId="21DFE648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强制脱敏/匿名化后处理</w:t>
            </w:r>
          </w:p>
        </w:tc>
      </w:tr>
      <w:tr w14:paraId="22273885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6C422569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核心级</w:t>
            </w:r>
          </w:p>
        </w:tc>
        <w:tc>
          <w:tcPr>
            <w:tcW w:w="1650" w:type="pct"/>
            <w:shd w:val="solid" w:color="F0F4FF" w:fill="F0F4FF"/>
          </w:tcPr>
          <w:p w14:paraId="7FF62640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涉密数据、个人隐私</w:t>
            </w:r>
          </w:p>
        </w:tc>
        <w:tc>
          <w:tcPr>
            <w:tcW w:w="1650" w:type="pct"/>
            <w:shd w:val="solid" w:color="F0F4FF" w:fill="F0F4FF"/>
          </w:tcPr>
          <w:p w14:paraId="63EC725E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物理隔离，仅限内网推理</w:t>
            </w:r>
          </w:p>
        </w:tc>
      </w:tr>
      <w:tr w14:paraId="1E696990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2E7A45F1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（可扩展）</w:t>
            </w:r>
          </w:p>
        </w:tc>
        <w:tc>
          <w:tcPr>
            <w:tcW w:w="1650" w:type="pct"/>
          </w:tcPr>
          <w:p w14:paraId="501A3C05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按业务需要灵活增加分级</w:t>
            </w:r>
          </w:p>
        </w:tc>
        <w:tc>
          <w:tcPr>
            <w:tcW w:w="1650" w:type="pct"/>
          </w:tcPr>
          <w:p w14:paraId="42FF2AA7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对应独立处理通道</w:t>
            </w:r>
          </w:p>
        </w:tc>
      </w:tr>
    </w:tbl>
    <w:p w14:paraId="5BADD526">
      <w:pPr>
        <w:spacing w:after="120"/>
      </w:pPr>
    </w:p>
    <w:p w14:paraId="493FE65A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核心原则：分级路由——送入大模型的数据按密级自动判断走哪条处理通道。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 xml:space="preserve"> 敏感数据强制脱敏/匿名化，核心数据物理隔离不出内网。分级标准可根据政策要求动态调整，不锁定固定级数。</w:t>
      </w:r>
    </w:p>
    <w:p w14:paraId="2CD5C1C2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路径二：AI可信——确定性引擎 + 概率性推理 + 人在回路</w:t>
      </w:r>
    </w:p>
    <w:p w14:paraId="15F0A640">
      <w:pPr>
        <w:pBdr>
          <w:left w:val="single" w:color="2563EB" w:sz="6" w:space="0"/>
        </w:pBdr>
        <w:shd w:val="solid" w:color="F3F4F6" w:fill="F3F4F6"/>
        <w:spacing w:before="120" w:after="120"/>
      </w:pPr>
      <w:r>
        <w:rPr>
          <w:rFonts w:ascii="Consolas" w:hAnsi="Consolas" w:eastAsia="Consolas" w:cs="Consolas"/>
          <w:color w:val="1F2937"/>
          <w:sz w:val="18"/>
          <w:szCs w:val="18"/>
        </w:rPr>
        <w:t>规则引擎预审（确定性校验：格式、逻辑、数值范围、必填项）
    ↓ 过滤低级错误，拦截无效输入
大模型 + RAG检索增强（概率性推理：语义理解、多源关联、风险研判）
    ↓ 输出结构化结果（风险点 + 置信度评分 + 引用溯源）
人工确认（Human-in-the-loop：查看原文 + AI分析 + 依据来源，拍板决策）
    ↓ 确认 / 驳回 / 修正
结果回流知识库 + 提示词优化
    ↓ 强化反馈，持续学习，优化下一次推理表现</w:t>
      </w:r>
    </w:p>
    <w:p w14:paraId="4D253ADA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这不是"AI说了算"——是"AI备好分析，人来拍板"。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 xml:space="preserve"> 确定性引擎拦截低级错误，大模型做深度语义分析，人工在关键节点把关，确认结果作为强化反馈回流系统。四步闭环，每一步有日志、可审计、可追溯。</w:t>
      </w:r>
    </w:p>
    <w:p w14:paraId="0A21FE31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路径三：知识积累——RAG架构 + 持续学习</w:t>
      </w:r>
    </w:p>
    <w:p w14:paraId="4C0A189B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将法规、政策、历史案例、处置经验向量化存储，构建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劳动风险领域私有知识库</w:t>
      </w:r>
    </w:p>
    <w:p w14:paraId="5F33DC92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每次推理前，先通过向量检索（RAG）召回相关条文和历史案例作为上下文，大幅提升回答准确性和可溯源性</w:t>
      </w:r>
    </w:p>
    <w:p w14:paraId="7FCA712A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人工确认的处置结果持续回流，知识库不断丰富，提示词（Prompt）持续优化</w:t>
      </w:r>
    </w:p>
    <w:p w14:paraId="00841AB3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系统不是交付即定型——每一次使用都在积累经验，每一次处置都在强化模型判断力</w:t>
      </w:r>
    </w:p>
    <w:p w14:paraId="1FACAC5C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路径四：部署——私有化 + 混合算力调度</w:t>
      </w:r>
    </w:p>
    <w:p w14:paraId="230F934A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核心数据和敏感推理在内网完成，数据物理隔离，向量存储不出域</w:t>
      </w:r>
    </w:p>
    <w:p w14:paraId="0D95554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非敏感场景可灵活调度外部算力资源，兼顾安全与效率</w:t>
      </w:r>
    </w:p>
    <w:p w14:paraId="0FBD3BD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分级路由机制：根据数据密级自动选择内网推理或外部API调用</w:t>
      </w:r>
    </w:p>
    <w:p w14:paraId="5390BDD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支持与现有政务系统API对接，不要求推翻重建，平滑接入</w:t>
      </w:r>
    </w:p>
    <w:p w14:paraId="7FEC198F">
      <w:pPr>
        <w:pBdr>
          <w:left w:val="single" w:color="D97706" w:sz="12" w:space="0"/>
        </w:pBdr>
        <w:shd w:val="solid" w:color="FFF7ED" w:fill="FFF7ED"/>
        <w:spacing w:before="120" w:after="120"/>
        <w:ind w:left="720"/>
      </w:pPr>
      <w:r>
        <w:rPr>
          <w:rFonts w:ascii="微软雅黑" w:hAnsi="微软雅黑" w:eastAsia="微软雅黑" w:cs="微软雅黑"/>
          <w:b/>
          <w:bCs/>
          <w:i/>
          <w:iCs/>
          <w:color w:val="D97706"/>
          <w:sz w:val="22"/>
          <w:szCs w:val="22"/>
        </w:rPr>
        <w:t>技术不是门槛。真正的门槛是——有没有真正懂劳动关系的人来设计这套系统的"判断逻辑"。而这恰恰是我们最不缺的。</w:t>
      </w:r>
    </w:p>
    <w:p w14:paraId="39EB57F4">
      <w:pPr>
        <w:pBdr>
          <w:bottom w:val="single" w:color="D1D5DB" w:sz="6" w:space="0"/>
        </w:pBdr>
        <w:spacing w:before="100" w:after="100"/>
      </w:pPr>
    </w:p>
    <w:p w14:paraId="282492C9">
      <w:pPr>
        <w:pBdr>
          <w:bottom w:val="single" w:color="2563EB" w:sz="8" w:space="0"/>
        </w:pBdr>
        <w:spacing w:before="320" w:after="160"/>
      </w:pPr>
      <w:r>
        <w:rPr>
          <w:rFonts w:ascii="微软雅黑" w:hAnsi="微软雅黑" w:eastAsia="微软雅黑" w:cs="微软雅黑"/>
          <w:b/>
          <w:bCs/>
          <w:color w:val="1A3A5C"/>
          <w:sz w:val="28"/>
          <w:szCs w:val="28"/>
        </w:rPr>
        <w:t>七、应用价值：三方生态共生</w:t>
      </w:r>
    </w:p>
    <w:p w14:paraId="7F86A174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本产品不只是政府工具，是连接三方的治理生态：</w:t>
      </w:r>
    </w:p>
    <w:p w14:paraId="4CA78B2B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政府端：从"救火队"到"防火队"</w:t>
      </w:r>
    </w:p>
    <w:tbl>
      <w:tblPr>
        <w:tblStyle w:val="11"/>
        <w:tblW w:w="5000" w:type="pct"/>
        <w:tblInd w:w="0" w:type="dxa"/>
        <w:tblBorders>
          <w:top w:val="single" w:color="D1D5DB" w:sz="0" w:space="0"/>
          <w:left w:val="single" w:color="D1D5DB" w:sz="0" w:space="0"/>
          <w:bottom w:val="single" w:color="D1D5DB" w:sz="0" w:space="0"/>
          <w:right w:val="single" w:color="D1D5DB" w:sz="0" w:space="0"/>
          <w:insideH w:val="single" w:color="D1D5DB" w:sz="0" w:space="0"/>
          <w:insideV w:val="single" w:color="D1D5DB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9"/>
        <w:gridCol w:w="3219"/>
        <w:gridCol w:w="3220"/>
      </w:tblGrid>
      <w:tr w14:paraId="2CCB123E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50" w:type="pct"/>
            <w:shd w:val="solid" w:color="1E40AF" w:fill="1E40AF"/>
          </w:tcPr>
          <w:p w14:paraId="15DF32D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转变</w:t>
            </w:r>
          </w:p>
        </w:tc>
        <w:tc>
          <w:tcPr>
            <w:tcW w:w="1650" w:type="pct"/>
            <w:shd w:val="solid" w:color="1E40AF" w:fill="1E40AF"/>
          </w:tcPr>
          <w:p w14:paraId="663411E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从</w:t>
            </w:r>
          </w:p>
        </w:tc>
        <w:tc>
          <w:tcPr>
            <w:tcW w:w="1650" w:type="pct"/>
            <w:shd w:val="solid" w:color="1E40AF" w:fill="1E40AF"/>
          </w:tcPr>
          <w:p w14:paraId="52A3D28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到</w:t>
            </w:r>
          </w:p>
        </w:tc>
      </w:tr>
      <w:tr w14:paraId="653FF430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6B9DB1CF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风险发现</w:t>
            </w:r>
          </w:p>
        </w:tc>
        <w:tc>
          <w:tcPr>
            <w:tcW w:w="1650" w:type="pct"/>
          </w:tcPr>
          <w:p w14:paraId="4531D8BE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事后统计</w:t>
            </w:r>
          </w:p>
        </w:tc>
        <w:tc>
          <w:tcPr>
            <w:tcW w:w="1650" w:type="pct"/>
          </w:tcPr>
          <w:p w14:paraId="77E6221B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实时监控、提前预判</w:t>
            </w:r>
          </w:p>
        </w:tc>
      </w:tr>
      <w:tr w14:paraId="46460267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37B5EC5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政策制定</w:t>
            </w:r>
          </w:p>
        </w:tc>
        <w:tc>
          <w:tcPr>
            <w:tcW w:w="1650" w:type="pct"/>
            <w:shd w:val="solid" w:color="F0F4FF" w:fill="F0F4FF"/>
          </w:tcPr>
          <w:p w14:paraId="01D29FF1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经验+周期调研</w:t>
            </w:r>
          </w:p>
        </w:tc>
        <w:tc>
          <w:tcPr>
            <w:tcW w:w="1650" w:type="pct"/>
            <w:shd w:val="solid" w:color="F0F4FF" w:fill="F0F4FF"/>
          </w:tcPr>
          <w:p w14:paraId="4014022E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实时风险态势图驱动</w:t>
            </w:r>
          </w:p>
        </w:tc>
      </w:tr>
      <w:tr w14:paraId="1CB044C6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10F16748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基层治理</w:t>
            </w:r>
          </w:p>
        </w:tc>
        <w:tc>
          <w:tcPr>
            <w:tcW w:w="1650" w:type="pct"/>
          </w:tcPr>
          <w:p w14:paraId="780AEBE3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人海战术</w:t>
            </w:r>
          </w:p>
        </w:tc>
        <w:tc>
          <w:tcPr>
            <w:tcW w:w="1650" w:type="pct"/>
          </w:tcPr>
          <w:p w14:paraId="63EAD9E3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数字专员赋能</w:t>
            </w:r>
          </w:p>
        </w:tc>
      </w:tr>
      <w:tr w14:paraId="4B10E49D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0B8D82B1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政府角色</w:t>
            </w:r>
          </w:p>
        </w:tc>
        <w:tc>
          <w:tcPr>
            <w:tcW w:w="1650" w:type="pct"/>
            <w:shd w:val="solid" w:color="F0F4FF" w:fill="F0F4FF"/>
          </w:tcPr>
          <w:p w14:paraId="1E0A810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监管者（盯着罚）</w:t>
            </w:r>
          </w:p>
        </w:tc>
        <w:tc>
          <w:tcPr>
            <w:tcW w:w="1650" w:type="pct"/>
            <w:shd w:val="solid" w:color="F0F4FF" w:fill="F0F4FF"/>
          </w:tcPr>
          <w:p w14:paraId="6AE2FFC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赋能者（提前告知怎么改）</w:t>
            </w:r>
          </w:p>
        </w:tc>
      </w:tr>
    </w:tbl>
    <w:p w14:paraId="55672E78">
      <w:pPr>
        <w:spacing w:after="120"/>
      </w:pPr>
    </w:p>
    <w:p w14:paraId="7A1E8959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企业端：从"被动应付"到"主动合规"</w:t>
      </w:r>
    </w:p>
    <w:p w14:paraId="1B4BF839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提前知道自己的劳动风险在哪，不用等仲裁通知才恍然大悟</w:t>
      </w:r>
    </w:p>
    <w:p w14:paraId="4D2AF83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7×24小时在线的"合规专员Agent"随时给建议，不用养一个法务团队</w:t>
      </w:r>
    </w:p>
    <w:p w14:paraId="7864C632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减少劳动争议带来的直接损失和声誉风险</w:t>
      </w:r>
    </w:p>
    <w:p w14:paraId="2BF8E3A9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社会端：劳动关系稳定是社会稳定的基石</w:t>
      </w:r>
    </w:p>
    <w:p w14:paraId="6ADFDA32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如果系统能让一个区域的群体性劳动争议下降10%，意味着多少个家庭避免了失业和纠纷？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这不仅是效率问题，是民生问题。</w:t>
      </w:r>
    </w:p>
    <w:p w14:paraId="02843698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对应大赛主题"从服务配套向生态共生转型"——我们不是在做配套，是在构建三方共生的新生态。</w:t>
      </w:r>
    </w:p>
    <w:p w14:paraId="05E0B6A1">
      <w:pPr>
        <w:pBdr>
          <w:bottom w:val="single" w:color="D1D5DB" w:sz="6" w:space="0"/>
        </w:pBdr>
        <w:spacing w:before="100" w:after="100"/>
      </w:pPr>
    </w:p>
    <w:p w14:paraId="2CF7B512">
      <w:pPr>
        <w:pBdr>
          <w:bottom w:val="single" w:color="2563EB" w:sz="8" w:space="0"/>
        </w:pBdr>
        <w:spacing w:before="320" w:after="160"/>
      </w:pPr>
      <w:r>
        <w:rPr>
          <w:rFonts w:ascii="微软雅黑" w:hAnsi="微软雅黑" w:eastAsia="微软雅黑" w:cs="微软雅黑"/>
          <w:b/>
          <w:bCs/>
          <w:color w:val="1A3A5C"/>
          <w:sz w:val="28"/>
          <w:szCs w:val="28"/>
        </w:rPr>
        <w:t>八、市场规模与商业模式</w:t>
      </w:r>
    </w:p>
    <w:p w14:paraId="4445BC6A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市场规模</w:t>
      </w:r>
    </w:p>
    <w:tbl>
      <w:tblPr>
        <w:tblStyle w:val="11"/>
        <w:tblW w:w="5000" w:type="pct"/>
        <w:tblInd w:w="0" w:type="dxa"/>
        <w:tblBorders>
          <w:top w:val="single" w:color="D1D5DB" w:sz="0" w:space="0"/>
          <w:left w:val="single" w:color="D1D5DB" w:sz="0" w:space="0"/>
          <w:bottom w:val="single" w:color="D1D5DB" w:sz="0" w:space="0"/>
          <w:right w:val="single" w:color="D1D5DB" w:sz="0" w:space="0"/>
          <w:insideH w:val="single" w:color="D1D5DB" w:sz="0" w:space="0"/>
          <w:insideV w:val="single" w:color="D1D5DB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9"/>
        <w:gridCol w:w="3219"/>
        <w:gridCol w:w="3220"/>
      </w:tblGrid>
      <w:tr w14:paraId="46AAC45A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50" w:type="pct"/>
            <w:shd w:val="solid" w:color="1E40AF" w:fill="1E40AF"/>
          </w:tcPr>
          <w:p w14:paraId="7F6D416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1650" w:type="pct"/>
            <w:shd w:val="solid" w:color="1E40AF" w:fill="1E40AF"/>
          </w:tcPr>
          <w:p w14:paraId="743C285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</w:t>
            </w:r>
          </w:p>
        </w:tc>
        <w:tc>
          <w:tcPr>
            <w:tcW w:w="1650" w:type="pct"/>
            <w:shd w:val="solid" w:color="1E40AF" w:fill="1E40AF"/>
          </w:tcPr>
          <w:p w14:paraId="10B9D33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对应市场</w:t>
            </w:r>
          </w:p>
        </w:tc>
      </w:tr>
      <w:tr w14:paraId="52D73437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0D9A73E8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全国地市级人社部门</w:t>
            </w:r>
          </w:p>
        </w:tc>
        <w:tc>
          <w:tcPr>
            <w:tcW w:w="1650" w:type="pct"/>
          </w:tcPr>
          <w:p w14:paraId="253BE31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~330个</w:t>
            </w:r>
          </w:p>
        </w:tc>
        <w:tc>
          <w:tcPr>
            <w:tcW w:w="1650" w:type="pct"/>
          </w:tcPr>
          <w:p w14:paraId="545DF275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政府端目标客户</w:t>
            </w:r>
          </w:p>
        </w:tc>
      </w:tr>
      <w:tr w14:paraId="0BE651B6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3B0B6416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全国区县级人社部门</w:t>
            </w:r>
          </w:p>
        </w:tc>
        <w:tc>
          <w:tcPr>
            <w:tcW w:w="1650" w:type="pct"/>
            <w:shd w:val="solid" w:color="F0F4FF" w:fill="F0F4FF"/>
          </w:tcPr>
          <w:p w14:paraId="5E0E88B7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~2800个</w:t>
            </w:r>
          </w:p>
        </w:tc>
        <w:tc>
          <w:tcPr>
            <w:tcW w:w="1650" w:type="pct"/>
            <w:shd w:val="solid" w:color="F0F4FF" w:fill="F0F4FF"/>
          </w:tcPr>
          <w:p w14:paraId="513B79EE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政府端纵深市场</w:t>
            </w:r>
          </w:p>
        </w:tc>
      </w:tr>
      <w:tr w14:paraId="2A0F8D8E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4CBF7E30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全国中小企业</w:t>
            </w:r>
          </w:p>
        </w:tc>
        <w:tc>
          <w:tcPr>
            <w:tcW w:w="1650" w:type="pct"/>
          </w:tcPr>
          <w:p w14:paraId="43E53CE3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6000万+户</w:t>
            </w:r>
          </w:p>
        </w:tc>
        <w:tc>
          <w:tcPr>
            <w:tcW w:w="1650" w:type="pct"/>
          </w:tcPr>
          <w:p w14:paraId="5644BF7E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企业端潜在用户</w:t>
            </w:r>
          </w:p>
        </w:tc>
      </w:tr>
      <w:tr w14:paraId="39633036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6339FD79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年度劳动争议案件</w:t>
            </w:r>
          </w:p>
        </w:tc>
        <w:tc>
          <w:tcPr>
            <w:tcW w:w="1650" w:type="pct"/>
            <w:shd w:val="solid" w:color="F0F4FF" w:fill="F0F4FF"/>
          </w:tcPr>
          <w:p w14:paraId="3FF3B505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425.7万件且持续增长</w:t>
            </w:r>
          </w:p>
        </w:tc>
        <w:tc>
          <w:tcPr>
            <w:tcW w:w="1650" w:type="pct"/>
            <w:shd w:val="solid" w:color="F0F4FF" w:fill="F0F4FF"/>
          </w:tcPr>
          <w:p w14:paraId="36130669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风险数据源持续丰富</w:t>
            </w:r>
          </w:p>
        </w:tc>
      </w:tr>
      <w:tr w14:paraId="1A1DCCEA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5E53186F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年度结案金额</w:t>
            </w:r>
          </w:p>
        </w:tc>
        <w:tc>
          <w:tcPr>
            <w:tcW w:w="1650" w:type="pct"/>
          </w:tcPr>
          <w:p w14:paraId="2E55C558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934.7亿元</w:t>
            </w:r>
          </w:p>
        </w:tc>
        <w:tc>
          <w:tcPr>
            <w:tcW w:w="1650" w:type="pct"/>
          </w:tcPr>
          <w:p w14:paraId="7FC4B1A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风控价值的直接经济度量</w:t>
            </w:r>
          </w:p>
        </w:tc>
      </w:tr>
      <w:tr w14:paraId="4341298E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6FA6E097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劳动争议增速</w:t>
            </w:r>
          </w:p>
        </w:tc>
        <w:tc>
          <w:tcPr>
            <w:tcW w:w="1650" w:type="pct"/>
            <w:shd w:val="solid" w:color="F0F4FF" w:fill="F0F4FF"/>
          </w:tcPr>
          <w:p w14:paraId="67DEAF3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2025年法院受理同比+37.5%</w:t>
            </w:r>
          </w:p>
        </w:tc>
        <w:tc>
          <w:tcPr>
            <w:tcW w:w="1650" w:type="pct"/>
            <w:shd w:val="solid" w:color="F0F4FF" w:fill="F0F4FF"/>
          </w:tcPr>
          <w:p w14:paraId="6292F54E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市场需求在加速</w:t>
            </w:r>
          </w:p>
        </w:tc>
      </w:tr>
    </w:tbl>
    <w:p w14:paraId="14962D66">
      <w:pPr>
        <w:spacing w:after="120"/>
      </w:pPr>
    </w:p>
    <w:p w14:paraId="50567CD6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商业模式</w:t>
      </w:r>
    </w:p>
    <w:tbl>
      <w:tblPr>
        <w:tblStyle w:val="11"/>
        <w:tblW w:w="5000" w:type="pct"/>
        <w:tblInd w:w="0" w:type="dxa"/>
        <w:tblBorders>
          <w:top w:val="single" w:color="D1D5DB" w:sz="0" w:space="0"/>
          <w:left w:val="single" w:color="D1D5DB" w:sz="0" w:space="0"/>
          <w:bottom w:val="single" w:color="D1D5DB" w:sz="0" w:space="0"/>
          <w:right w:val="single" w:color="D1D5DB" w:sz="0" w:space="0"/>
          <w:insideH w:val="single" w:color="D1D5DB" w:sz="0" w:space="0"/>
          <w:insideV w:val="single" w:color="D1D5DB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9"/>
        <w:gridCol w:w="3219"/>
        <w:gridCol w:w="3220"/>
      </w:tblGrid>
      <w:tr w14:paraId="1695F075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50" w:type="pct"/>
            <w:shd w:val="solid" w:color="1E40AF" w:fill="1E40AF"/>
          </w:tcPr>
          <w:p w14:paraId="5B10B0A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收入来源</w:t>
            </w:r>
          </w:p>
        </w:tc>
        <w:tc>
          <w:tcPr>
            <w:tcW w:w="1650" w:type="pct"/>
            <w:shd w:val="solid" w:color="1E40AF" w:fill="1E40AF"/>
          </w:tcPr>
          <w:p w14:paraId="250CF0A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付费方</w:t>
            </w:r>
          </w:p>
        </w:tc>
        <w:tc>
          <w:tcPr>
            <w:tcW w:w="1650" w:type="pct"/>
            <w:shd w:val="solid" w:color="1E40AF" w:fill="1E40AF"/>
          </w:tcPr>
          <w:p w14:paraId="4028397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逻辑</w:t>
            </w:r>
          </w:p>
        </w:tc>
      </w:tr>
      <w:tr w14:paraId="19D27532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61B9A61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政府购买服务</w:t>
            </w:r>
          </w:p>
        </w:tc>
        <w:tc>
          <w:tcPr>
            <w:tcW w:w="1650" w:type="pct"/>
          </w:tcPr>
          <w:p w14:paraId="0EC6D380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人社部门</w:t>
            </w:r>
          </w:p>
        </w:tc>
        <w:tc>
          <w:tcPr>
            <w:tcW w:w="1650" w:type="pct"/>
          </w:tcPr>
          <w:p w14:paraId="7BA33F1A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风险预警+治理辅助，按年/按区域采购</w:t>
            </w:r>
          </w:p>
        </w:tc>
      </w:tr>
      <w:tr w14:paraId="41D109E4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F0F4FF" w:fill="F0F4FF"/>
          </w:tcPr>
          <w:p w14:paraId="71D2E859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企业SaaS订阅</w:t>
            </w:r>
          </w:p>
        </w:tc>
        <w:tc>
          <w:tcPr>
            <w:tcW w:w="1650" w:type="pct"/>
            <w:shd w:val="solid" w:color="F0F4FF" w:fill="F0F4FF"/>
          </w:tcPr>
          <w:p w14:paraId="0ADB95C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中小企业</w:t>
            </w:r>
          </w:p>
        </w:tc>
        <w:tc>
          <w:tcPr>
            <w:tcW w:w="1650" w:type="pct"/>
            <w:shd w:val="solid" w:color="F0F4FF" w:fill="F0F4FF"/>
          </w:tcPr>
          <w:p w14:paraId="79A32D1F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合规专员Agent服务，按月/按年订阅</w:t>
            </w:r>
          </w:p>
        </w:tc>
      </w:tr>
      <w:tr w14:paraId="12064087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21C08AA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数据增值服务</w:t>
            </w:r>
          </w:p>
        </w:tc>
        <w:tc>
          <w:tcPr>
            <w:tcW w:w="1650" w:type="pct"/>
          </w:tcPr>
          <w:p w14:paraId="13E6E287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产业园区/行业协会</w:t>
            </w:r>
          </w:p>
        </w:tc>
        <w:tc>
          <w:tcPr>
            <w:tcW w:w="1650" w:type="pct"/>
          </w:tcPr>
          <w:p w14:paraId="6B5EC67D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区域劳动风险态势报告，数据洞察</w:t>
            </w:r>
          </w:p>
        </w:tc>
      </w:tr>
    </w:tbl>
    <w:p w14:paraId="31B4F265">
      <w:pPr>
        <w:spacing w:after="120"/>
      </w:pPr>
    </w:p>
    <w:p w14:paraId="25BA3F77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推广路径</w:t>
      </w:r>
    </w:p>
    <w:p w14:paraId="1258C054">
      <w:pPr>
        <w:pBdr>
          <w:left w:val="single" w:color="2563EB" w:sz="6" w:space="0"/>
        </w:pBdr>
        <w:shd w:val="solid" w:color="F3F4F6" w:fill="F3F4F6"/>
        <w:spacing w:before="120" w:after="120"/>
      </w:pPr>
      <w:r>
        <w:rPr>
          <w:rFonts w:ascii="Consolas" w:hAnsi="Consolas" w:eastAsia="Consolas" w:cs="Consolas"/>
          <w:color w:val="1F2937"/>
          <w:sz w:val="18"/>
          <w:szCs w:val="18"/>
        </w:rPr>
        <w:t>阶段一：试点验证              阶段二：区域复制              阶段三：全国推广
（1个区域/1个区级人社局）  →   （省内推广，形成标杆）   →   （标准化输出，形成行业标准）
       ↓                          ↓                          ↓
  验证产品逻辑              借大赛配套政策落地            人社智库持续跟踪优化</w:t>
      </w:r>
    </w:p>
    <w:p w14:paraId="0DA0CB52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大赛配套权益恰好构成推广路径的关键支撑：</w:t>
      </w:r>
    </w:p>
    <w:p w14:paraId="467E6931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3年租金减免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 xml:space="preserve"> → 落地载体解决</w:t>
      </w:r>
    </w:p>
    <w:p w14:paraId="4A199732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产业基金跟投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 xml:space="preserve"> → 资金支持到位</w:t>
      </w:r>
    </w:p>
    <w:p w14:paraId="3FF056D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人社智库1-3年跟踪服务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 xml:space="preserve"> → 持续优化机制</w:t>
      </w:r>
    </w:p>
    <w:p w14:paraId="1A34E305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政策配套叠加扶持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 xml:space="preserve"> → 制度保障</w:t>
      </w:r>
    </w:p>
    <w:p w14:paraId="63805AD1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参赛不是终点，是推广路径的第一步。</w:t>
      </w:r>
    </w:p>
    <w:p w14:paraId="63EADE93">
      <w:pPr>
        <w:pBdr>
          <w:bottom w:val="single" w:color="D1D5DB" w:sz="6" w:space="0"/>
        </w:pBdr>
        <w:spacing w:before="100" w:after="100"/>
      </w:pPr>
    </w:p>
    <w:p w14:paraId="7917315F">
      <w:pPr>
        <w:pBdr>
          <w:bottom w:val="single" w:color="2563EB" w:sz="8" w:space="0"/>
        </w:pBdr>
        <w:spacing w:before="320" w:after="160"/>
      </w:pPr>
      <w:r>
        <w:rPr>
          <w:rFonts w:ascii="微软雅黑" w:hAnsi="微软雅黑" w:eastAsia="微软雅黑" w:cs="微软雅黑"/>
          <w:b/>
          <w:bCs/>
          <w:color w:val="1A3A5C"/>
          <w:sz w:val="28"/>
          <w:szCs w:val="28"/>
        </w:rPr>
        <w:t>九、团队实力</w:t>
      </w:r>
    </w:p>
    <w:p w14:paraId="635A6810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参赛主体：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XX人力资源服务有限公司旗下科技公司</w:t>
      </w:r>
    </w:p>
    <w:tbl>
      <w:tblPr>
        <w:tblStyle w:val="11"/>
        <w:tblW w:w="5000" w:type="pct"/>
        <w:tblInd w:w="0" w:type="dxa"/>
        <w:tblBorders>
          <w:top w:val="single" w:color="D1D5DB" w:sz="0" w:space="0"/>
          <w:left w:val="single" w:color="D1D5DB" w:sz="0" w:space="0"/>
          <w:bottom w:val="single" w:color="D1D5DB" w:sz="0" w:space="0"/>
          <w:right w:val="single" w:color="D1D5DB" w:sz="0" w:space="0"/>
          <w:insideH w:val="single" w:color="D1D5DB" w:sz="0" w:space="0"/>
          <w:insideV w:val="single" w:color="D1D5DB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29"/>
        <w:gridCol w:w="4829"/>
      </w:tblGrid>
      <w:tr w14:paraId="01CCB3D3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pct"/>
            <w:shd w:val="solid" w:color="1E40AF" w:fill="1E40AF"/>
          </w:tcPr>
          <w:p w14:paraId="600B4AA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2500" w:type="pct"/>
            <w:shd w:val="solid" w:color="1E40AF" w:fill="1E40AF"/>
          </w:tcPr>
          <w:p w14:paraId="77032D1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7DABEEB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22234BB1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行业基因</w:t>
            </w:r>
          </w:p>
        </w:tc>
        <w:tc>
          <w:tcPr>
            <w:tcW w:w="2500" w:type="pct"/>
          </w:tcPr>
          <w:p w14:paraId="2CCB32C0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母公司深耕人力资源服务领域多年，有大量劳动关系处理和政务服务的一线经验——在仲裁庭坐过、在监察现场跑过、在信访窗口接过案子。不是技术团队拍脑袋想出来的产品</w:t>
            </w:r>
          </w:p>
        </w:tc>
      </w:tr>
      <w:tr w14:paraId="1400B94F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solid" w:color="F0F4FF" w:fill="F0F4FF"/>
          </w:tcPr>
          <w:p w14:paraId="3892503D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政务理解</w:t>
            </w:r>
          </w:p>
        </w:tc>
        <w:tc>
          <w:tcPr>
            <w:tcW w:w="2500" w:type="pct"/>
            <w:shd w:val="solid" w:color="F0F4FF" w:fill="F0F4FF"/>
          </w:tcPr>
          <w:p w14:paraId="41F0FB04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熟悉政府治理逻辑、政策体系运作方式、基层人社部门的实际工作流程，设计出来的东西能落地、能对接、不外行</w:t>
            </w:r>
          </w:p>
        </w:tc>
      </w:tr>
      <w:tr w14:paraId="5C69CCD8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54765A38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技术验证</w:t>
            </w:r>
          </w:p>
        </w:tc>
        <w:tc>
          <w:tcPr>
            <w:tcW w:w="2500" w:type="pct"/>
          </w:tcPr>
          <w:p w14:paraId="30B8DBAF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核心AI落地能力已在企业真实场景跑通，六大关键能力全部验证通过</w:t>
            </w:r>
          </w:p>
        </w:tc>
      </w:tr>
      <w:tr w14:paraId="6A2B9ED1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solid" w:color="F0F4FF" w:fill="F0F4FF"/>
          </w:tcPr>
          <w:p w14:paraId="7B319D7F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业务理解</w:t>
            </w:r>
          </w:p>
        </w:tc>
        <w:tc>
          <w:tcPr>
            <w:tcW w:w="2500" w:type="pct"/>
            <w:shd w:val="solid" w:color="F0F4FF" w:fill="F0F4FF"/>
          </w:tcPr>
          <w:p w14:paraId="4CB63860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既懂政府治理逻辑，又懂企业合规痛点——是"懂业务的科技公司"，不是"懂技术的空降兵"</w:t>
            </w:r>
          </w:p>
        </w:tc>
      </w:tr>
      <w:tr w14:paraId="204C15F5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5DCBB07A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创新定位</w:t>
            </w:r>
          </w:p>
        </w:tc>
        <w:tc>
          <w:tcPr>
            <w:tcW w:w="2500" w:type="pct"/>
          </w:tcPr>
          <w:p w14:paraId="5FC458B8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"政府视角 + 大模型 + 数字专员"在劳动风控领域是真正的创新探索</w:t>
            </w:r>
          </w:p>
        </w:tc>
      </w:tr>
      <w:tr w14:paraId="038465D7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solid" w:color="F0F4FF" w:fill="F0F4FF"/>
          </w:tcPr>
          <w:p w14:paraId="3A00C346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组织保障</w:t>
            </w:r>
          </w:p>
        </w:tc>
        <w:tc>
          <w:tcPr>
            <w:tcW w:w="2500" w:type="pct"/>
            <w:shd w:val="solid" w:color="F0F4FF" w:fill="F0F4FF"/>
          </w:tcPr>
          <w:p w14:paraId="080EABD1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以</w:t>
            </w:r>
            <w:r>
              <w:rPr>
                <w:rFonts w:hint="eastAsia" w:ascii="微软雅黑" w:hAnsi="微软雅黑" w:eastAsia="微软雅黑" w:cs="微软雅黑"/>
                <w:color w:val="1F2937"/>
                <w:sz w:val="20"/>
                <w:szCs w:val="20"/>
                <w:lang w:val="en-US" w:eastAsia="zh-CN"/>
              </w:rPr>
              <w:t>XX公司</w:t>
            </w:r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为主体，兼具行业资源和技术能力，具备持续运营和市场化推广的组织载体</w:t>
            </w:r>
          </w:p>
        </w:tc>
      </w:tr>
    </w:tbl>
    <w:p w14:paraId="0020BA08">
      <w:pPr>
        <w:spacing w:after="120"/>
      </w:pPr>
    </w:p>
    <w:p w14:paraId="58689627">
      <w:pPr>
        <w:pBdr>
          <w:bottom w:val="single" w:color="D1D5DB" w:sz="6" w:space="0"/>
        </w:pBdr>
        <w:spacing w:before="100" w:after="100"/>
      </w:pPr>
    </w:p>
    <w:p w14:paraId="28CB99AE">
      <w:pPr>
        <w:pBdr>
          <w:bottom w:val="single" w:color="2563EB" w:sz="8" w:space="0"/>
        </w:pBdr>
        <w:spacing w:before="320" w:after="160"/>
      </w:pPr>
      <w:r>
        <w:rPr>
          <w:rFonts w:ascii="微软雅黑" w:hAnsi="微软雅黑" w:eastAsia="微软雅黑" w:cs="微软雅黑"/>
          <w:b/>
          <w:bCs/>
          <w:color w:val="1A3A5C"/>
          <w:sz w:val="28"/>
          <w:szCs w:val="28"/>
        </w:rPr>
        <w:t>十、参赛规划与时间线</w:t>
      </w:r>
    </w:p>
    <w:tbl>
      <w:tblPr>
        <w:tblStyle w:val="11"/>
        <w:tblW w:w="5000" w:type="pct"/>
        <w:tblInd w:w="0" w:type="dxa"/>
        <w:tblBorders>
          <w:top w:val="single" w:color="D1D5DB" w:sz="0" w:space="0"/>
          <w:left w:val="single" w:color="D1D5DB" w:sz="0" w:space="0"/>
          <w:bottom w:val="single" w:color="D1D5DB" w:sz="0" w:space="0"/>
          <w:right w:val="single" w:color="D1D5DB" w:sz="0" w:space="0"/>
          <w:insideH w:val="single" w:color="D1D5DB" w:sz="0" w:space="0"/>
          <w:insideV w:val="single" w:color="D1D5DB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29"/>
        <w:gridCol w:w="4829"/>
      </w:tblGrid>
      <w:tr w14:paraId="3726F8FC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pct"/>
            <w:shd w:val="solid" w:color="1E40AF" w:fill="1E40AF"/>
          </w:tcPr>
          <w:p w14:paraId="54F4411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2500" w:type="pct"/>
            <w:shd w:val="solid" w:color="1E40AF" w:fill="1E40AF"/>
          </w:tcPr>
          <w:p w14:paraId="164D1E0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动作</w:t>
            </w:r>
          </w:p>
        </w:tc>
      </w:tr>
      <w:tr w14:paraId="5D84EC48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0C1C7ED6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7月10-15日</w:t>
            </w:r>
          </w:p>
        </w:tc>
        <w:tc>
          <w:tcPr>
            <w:tcW w:w="2500" w:type="pct"/>
          </w:tcPr>
          <w:p w14:paraId="1F98144B">
            <w:r>
              <w:rPr>
                <w:rFonts w:ascii="微软雅黑" w:hAnsi="微软雅黑" w:eastAsia="微软雅黑" w:cs="微软雅黑"/>
                <w:b/>
                <w:bCs/>
                <w:color w:val="1F2937"/>
                <w:sz w:val="20"/>
                <w:szCs w:val="20"/>
              </w:rPr>
              <w:t>完成报名提交</w:t>
            </w:r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（截止7月15日，时间极其紧张）</w:t>
            </w:r>
          </w:p>
        </w:tc>
      </w:tr>
      <w:tr w14:paraId="1F663FB2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solid" w:color="F0F4FF" w:fill="F0F4FF"/>
          </w:tcPr>
          <w:p w14:paraId="79DBAC20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7月中旬</w:t>
            </w:r>
          </w:p>
        </w:tc>
        <w:tc>
          <w:tcPr>
            <w:tcW w:w="2500" w:type="pct"/>
            <w:shd w:val="solid" w:color="F0F4FF" w:fill="F0F4FF"/>
          </w:tcPr>
          <w:p w14:paraId="37BC828C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同步与潜在指导单位沟通，接受方案矫正</w:t>
            </w:r>
          </w:p>
        </w:tc>
      </w:tr>
      <w:tr w14:paraId="1F1AA768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133318B5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7月下旬</w:t>
            </w:r>
          </w:p>
        </w:tc>
        <w:tc>
          <w:tcPr>
            <w:tcW w:w="2500" w:type="pct"/>
          </w:tcPr>
          <w:p w14:paraId="4588C0DB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准备初赛材料，完善产品演示原型</w:t>
            </w:r>
          </w:p>
        </w:tc>
      </w:tr>
      <w:tr w14:paraId="6901FAE5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solid" w:color="F0F4FF" w:fill="F0F4FF"/>
          </w:tcPr>
          <w:p w14:paraId="32ED0EDA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8月上旬</w:t>
            </w:r>
          </w:p>
        </w:tc>
        <w:tc>
          <w:tcPr>
            <w:tcW w:w="2500" w:type="pct"/>
            <w:shd w:val="solid" w:color="F0F4FF" w:fill="F0F4FF"/>
          </w:tcPr>
          <w:p w14:paraId="09FAE5DF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复赛路演准备（8分钟路演+3分钟答辩）</w:t>
            </w:r>
          </w:p>
        </w:tc>
      </w:tr>
      <w:tr w14:paraId="47DE21C2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2EB64E53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8月中下旬</w:t>
            </w:r>
          </w:p>
        </w:tc>
        <w:tc>
          <w:tcPr>
            <w:tcW w:w="2500" w:type="pct"/>
          </w:tcPr>
          <w:p w14:paraId="3D88476D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总决赛冲刺（苏州线下8分钟+5分钟答辩）</w:t>
            </w:r>
          </w:p>
        </w:tc>
      </w:tr>
      <w:tr w14:paraId="38B76C8F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solid" w:color="F0F4FF" w:fill="F0F4FF"/>
          </w:tcPr>
          <w:p w14:paraId="40D62DCD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9月20日</w:t>
            </w:r>
          </w:p>
        </w:tc>
        <w:tc>
          <w:tcPr>
            <w:tcW w:w="2500" w:type="pct"/>
            <w:shd w:val="solid" w:color="F0F4FF" w:fill="F0F4FF"/>
          </w:tcPr>
          <w:p w14:paraId="41D370AE">
            <w:r>
              <w:rPr>
                <w:rFonts w:ascii="微软雅黑" w:hAnsi="微软雅黑" w:eastAsia="微软雅黑" w:cs="微软雅黑"/>
                <w:color w:val="1F2937"/>
                <w:sz w:val="20"/>
                <w:szCs w:val="20"/>
              </w:rPr>
              <w:t>颁奖</w:t>
            </w:r>
          </w:p>
        </w:tc>
      </w:tr>
    </w:tbl>
    <w:p w14:paraId="000F1517">
      <w:pPr>
        <w:spacing w:after="120"/>
      </w:pPr>
    </w:p>
    <w:p w14:paraId="6DF705D2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路演核心策略</w:t>
      </w:r>
    </w:p>
    <w:p w14:paraId="615345B0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8分钟路演的关键不是讲全，是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讲一个让评委记住的故事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>。</w:t>
      </w:r>
    </w:p>
    <w:p w14:paraId="400452D1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计划以一个完整的"风险预警→提前干预→避免群体性事件"的场景案例作为主线，贯穿"数据发现—Agent分析—人工确认—提前介入—结果反馈"全链路，让评委在8分钟内完整体验一次产品价值。</w:t>
      </w:r>
    </w:p>
    <w:p w14:paraId="52DFA030">
      <w:pPr>
        <w:pBdr>
          <w:bottom w:val="single" w:color="D1D5DB" w:sz="6" w:space="0"/>
        </w:pBdr>
        <w:spacing w:before="100" w:after="100"/>
      </w:pPr>
    </w:p>
    <w:p w14:paraId="7B5CB787">
      <w:pPr>
        <w:pBdr>
          <w:bottom w:val="single" w:color="2563EB" w:sz="8" w:space="0"/>
        </w:pBdr>
        <w:spacing w:before="320" w:after="160"/>
      </w:pPr>
      <w:r>
        <w:rPr>
          <w:rFonts w:ascii="微软雅黑" w:hAnsi="微软雅黑" w:eastAsia="微软雅黑" w:cs="微软雅黑"/>
          <w:b/>
          <w:bCs/>
          <w:color w:val="1A3A5C"/>
          <w:sz w:val="28"/>
          <w:szCs w:val="28"/>
        </w:rPr>
        <w:t>十一、我们希望得到的支持</w:t>
      </w:r>
    </w:p>
    <w:p w14:paraId="5624E459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以下支持的核心目的：让参赛方案更有竞争力，提高获奖概率。</w:t>
      </w:r>
    </w:p>
    <w:p w14:paraId="2A455303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1. 指导单位</w:t>
      </w:r>
    </w:p>
    <w:p w14:paraId="667108B3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希望相关政府部门/机构作为指导单位。价值不在于背书，在于——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指导的过程本身就是深度了解产品的过程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>，为赛后落地埋下种子。</w:t>
      </w:r>
    </w:p>
    <w:p w14:paraId="59AB20AB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2. 专家支持</w:t>
      </w:r>
    </w:p>
    <w:p w14:paraId="4C51089D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希望安排领域专家帮我们校准方案：</w:t>
      </w:r>
    </w:p>
    <w:p w14:paraId="09202F40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数据源接入的合规性</w:t>
      </w:r>
    </w:p>
    <w:p w14:paraId="5F80DC3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风险模型的逻辑准确性</w:t>
      </w:r>
    </w:p>
    <w:p w14:paraId="16FD695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跟现有政策体系的对接路径</w:t>
      </w:r>
    </w:p>
    <w:p w14:paraId="06300183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矫正的目的不是否定，是让我们在路演时经得起评委的每一个提问。</w:t>
      </w:r>
    </w:p>
    <w:p w14:paraId="7E357028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2563EB"/>
          <w:sz w:val="24"/>
          <w:szCs w:val="24"/>
        </w:rPr>
        <w:t>3. 数据支持</w:t>
      </w:r>
    </w:p>
    <w:p w14:paraId="71C16201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希望获得脱敏的历史数据用于训练和验证产品：</w:t>
      </w:r>
    </w:p>
    <w:p w14:paraId="20DA9829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仲裁案件脱敏样本</w:t>
      </w:r>
    </w:p>
    <w:p w14:paraId="60AB0BCA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监察投诉脱敏记录</w:t>
      </w:r>
    </w:p>
    <w:p w14:paraId="667E48F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信访数据脱敏摘要</w:t>
      </w:r>
    </w:p>
    <w:p w14:paraId="49F74300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承诺：严格脱敏，仅用于产品研发和参赛演示，不做任何其他用途。</w:t>
      </w:r>
    </w:p>
    <w:p w14:paraId="60AEC710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如暂时无法提供真实数据，也希望得到</w:t>
      </w: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数据字段和结构层面的指导</w:t>
      </w:r>
      <w:r>
        <w:rPr>
          <w:rFonts w:ascii="微软雅黑" w:hAnsi="微软雅黑" w:eastAsia="微软雅黑" w:cs="微软雅黑"/>
          <w:color w:val="1F2937"/>
          <w:sz w:val="22"/>
          <w:szCs w:val="22"/>
        </w:rPr>
        <w:t>——告诉我们真实数据长什么样，我们自行构造模拟数据验证逻辑。</w:t>
      </w:r>
    </w:p>
    <w:p w14:paraId="0D1E2E96">
      <w:pPr>
        <w:pBdr>
          <w:bottom w:val="single" w:color="D1D5DB" w:sz="6" w:space="0"/>
        </w:pBdr>
        <w:spacing w:before="100" w:after="100"/>
      </w:pPr>
    </w:p>
    <w:p w14:paraId="079967CF">
      <w:pPr>
        <w:pBdr>
          <w:bottom w:val="single" w:color="2563EB" w:sz="8" w:space="0"/>
        </w:pBdr>
        <w:spacing w:before="320" w:after="160"/>
      </w:pPr>
      <w:r>
        <w:rPr>
          <w:rFonts w:ascii="微软雅黑" w:hAnsi="微软雅黑" w:eastAsia="微软雅黑" w:cs="微软雅黑"/>
          <w:b/>
          <w:bCs/>
          <w:color w:val="1A3A5C"/>
          <w:sz w:val="28"/>
          <w:szCs w:val="28"/>
        </w:rPr>
        <w:t>结语</w:t>
      </w:r>
    </w:p>
    <w:p w14:paraId="6F803771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劳动争议每年425.7万件，且在加速增长。</w:t>
      </w:r>
    </w:p>
    <w:p w14:paraId="29AD70A3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每一件背后都是一个劳动者、一个家庭、一家企业。如果我们能让其中10%的风险被提前发现、提前干预——那是42万个少受伤害的家庭。</w:t>
      </w:r>
    </w:p>
    <w:p w14:paraId="01BE2B7F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F2937"/>
          <w:sz w:val="22"/>
          <w:szCs w:val="22"/>
        </w:rPr>
        <w:t>这不只是一场比赛。这是一个该被做出来的东西。</w:t>
      </w:r>
    </w:p>
    <w:p w14:paraId="050C3B68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而我们已经有了做出来的能力——技术底座已验证，行业经验已积累，团队已就位。</w:t>
      </w:r>
    </w:p>
    <w:p w14:paraId="7F1586C0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现在需要的，是一次被看见的机会。</w:t>
      </w:r>
    </w:p>
    <w:p w14:paraId="1EF28ADC">
      <w:pPr>
        <w:pBdr>
          <w:bottom w:val="single" w:color="D1D5DB" w:sz="6" w:space="0"/>
        </w:pBdr>
        <w:spacing w:before="100" w:after="100"/>
      </w:pPr>
    </w:p>
    <w:p w14:paraId="019DDE5E">
      <w:pPr>
        <w:spacing w:before="80" w:after="80"/>
      </w:pPr>
      <w:r>
        <w:rPr>
          <w:rFonts w:ascii="微软雅黑" w:hAnsi="微软雅黑" w:eastAsia="微软雅黑" w:cs="微软雅黑"/>
          <w:color w:val="1F2937"/>
          <w:sz w:val="22"/>
          <w:szCs w:val="22"/>
        </w:rPr>
        <w:t>*本方案可根据大赛要求和指导单位意见持续调整。*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F1652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1891</Words>
  <Characters>2376</Characters>
  <TotalTime>2</TotalTime>
  <ScaleCrop>false</ScaleCrop>
  <LinksUpToDate>false</LinksUpToDate>
  <CharactersWithSpaces>3064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2026-07-10T10:39:00Z</dcterms:created>
  <dc:creator>Un-named</dc:creator>
  <cp:lastModifiedBy>郭娜rona</cp:lastModifiedBy>
  <dcterms:modified xsi:type="dcterms:W3CDTF">2026-07-10T10:41:46Z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eyJoZGlkIjoiZDgzZTU5YmYyZTRmNDZlOTc0YzM1MWQ0Y2U4OTYyMTgiLCJ1c2VySWQiOiI0NjUyOTExNDkifQ==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A42AA82B306F4A069891E534050A1C2A_12</vt:lpwstr>
  </property>
</Properties>
</file>