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Lesson Plan: Spot the Phish</w:t>
      </w:r>
    </w:p>
    <w:p>
      <w:pPr>
        <w:jc w:val="center"/>
      </w:pPr>
      <w:r>
        <w:rPr>
          <w:rFonts w:ascii="Arial" w:hAnsi="Arial"/>
          <w:i/>
          <w:color w:val="464646"/>
          <w:sz w:val="20"/>
        </w:rPr>
        <w:t>Cybersecurity &amp; Digital Ethics Starter Kit | Grades 8-12</w:t>
      </w:r>
    </w:p>
    <w:p>
      <w:pPr>
        <w:pStyle w:val="Heading2"/>
      </w:pPr>
      <w:r>
        <w:t>Tennessee Standards Connection</w:t>
      </w:r>
    </w:p>
    <w:p>
      <w:pPr>
        <w:spacing w:after="80"/>
      </w:pPr>
      <w:r>
        <w:t>This lesson directly supports standards when students identify security risks, evaluate suspicious messages, explain safe responses, and connect phishing to data security and ethical technology use.</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13.1 - Social, Legal, and Ethical Issues: </w:t>
      </w:r>
      <w:r>
        <w:t>Students research social, legal, and ethical issues encountered by IT professionals and identify responsibilities when addressing technology problems.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14.2 - Security Breaches: </w:t>
      </w:r>
      <w:r>
        <w:t>Students demonstrate understanding of security breaches, enterprise-level security, encryption, protocols used to secure websites, and privacy considerations.</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tbl>
      <w:tblPr>
        <w:tblStyle w:val="TableGrid"/>
        <w:tblW w:type="auto" w:w="0"/>
        <w:jc w:val="center"/>
        <w:tblLook w:firstColumn="1" w:firstRow="1" w:lastColumn="0" w:lastRow="0" w:noHBand="0" w:noVBand="1" w:val="04A0"/>
      </w:tblPr>
      <w:tblGrid>
        <w:gridCol w:w="5112"/>
        <w:gridCol w:w="5112"/>
      </w:tblGrid>
      <w:tr>
        <w:tc>
          <w:tcPr>
            <w:tcW w:type="dxa" w:w="5112"/>
            <w:shd w:fill="E8EEF9"/>
          </w:tcPr>
          <w:p>
            <w:r/>
            <w:r>
              <w:rPr>
                <w:rFonts w:ascii="Arial" w:hAnsi="Arial"/>
                <w:b/>
                <w:sz w:val="18"/>
              </w:rPr>
              <w:t>Item</w:t>
            </w:r>
          </w:p>
        </w:tc>
        <w:tc>
          <w:tcPr>
            <w:tcW w:type="dxa" w:w="5112"/>
            <w:shd w:fill="E8EEF9"/>
          </w:tcPr>
          <w:p>
            <w:r/>
            <w:r>
              <w:rPr>
                <w:rFonts w:ascii="Arial" w:hAnsi="Arial"/>
                <w:b/>
                <w:sz w:val="18"/>
              </w:rPr>
              <w:t>Details</w:t>
            </w:r>
          </w:p>
        </w:tc>
      </w:tr>
      <w:tr>
        <w:tc>
          <w:tcPr>
            <w:tcW w:type="dxa" w:w="5112"/>
            <w:vAlign w:val="top"/>
          </w:tcPr>
          <w:p>
            <w:r/>
            <w:r>
              <w:rPr>
                <w:rFonts w:ascii="Arial" w:hAnsi="Arial"/>
                <w:b w:val="0"/>
                <w:sz w:val="18"/>
              </w:rPr>
              <w:t>Time</w:t>
            </w:r>
          </w:p>
        </w:tc>
        <w:tc>
          <w:tcPr>
            <w:tcW w:type="dxa" w:w="5112"/>
            <w:vAlign w:val="top"/>
          </w:tcPr>
          <w:p>
            <w:r/>
            <w:r>
              <w:rPr>
                <w:rFonts w:ascii="Arial" w:hAnsi="Arial"/>
                <w:b w:val="0"/>
                <w:sz w:val="18"/>
              </w:rPr>
              <w:t>45-60 minutes</w:t>
            </w:r>
          </w:p>
        </w:tc>
      </w:tr>
      <w:tr>
        <w:tc>
          <w:tcPr>
            <w:tcW w:type="dxa" w:w="5112"/>
            <w:vAlign w:val="top"/>
          </w:tcPr>
          <w:p>
            <w:r/>
            <w:r>
              <w:rPr>
                <w:rFonts w:ascii="Arial" w:hAnsi="Arial"/>
                <w:b w:val="0"/>
                <w:sz w:val="18"/>
              </w:rPr>
              <w:t>Subject Fit</w:t>
            </w:r>
          </w:p>
        </w:tc>
        <w:tc>
          <w:tcPr>
            <w:tcW w:type="dxa" w:w="5112"/>
            <w:vAlign w:val="top"/>
          </w:tcPr>
          <w:p>
            <w:r/>
            <w:r>
              <w:rPr>
                <w:rFonts w:ascii="Arial" w:hAnsi="Arial"/>
                <w:b w:val="0"/>
                <w:sz w:val="18"/>
              </w:rPr>
              <w:t>Cybersecurity, Computer Science Foundations, digital citizenship, advisory, business technology</w:t>
            </w:r>
          </w:p>
        </w:tc>
      </w:tr>
      <w:tr>
        <w:tc>
          <w:tcPr>
            <w:tcW w:type="dxa" w:w="5112"/>
            <w:vAlign w:val="top"/>
          </w:tcPr>
          <w:p>
            <w:r/>
            <w:r>
              <w:rPr>
                <w:rFonts w:ascii="Arial" w:hAnsi="Arial"/>
                <w:b w:val="0"/>
                <w:sz w:val="18"/>
              </w:rPr>
              <w:t>Essential Question</w:t>
            </w:r>
          </w:p>
        </w:tc>
        <w:tc>
          <w:tcPr>
            <w:tcW w:type="dxa" w:w="5112"/>
            <w:vAlign w:val="top"/>
          </w:tcPr>
          <w:p>
            <w:r/>
            <w:r>
              <w:rPr>
                <w:rFonts w:ascii="Arial" w:hAnsi="Arial"/>
                <w:b w:val="0"/>
                <w:sz w:val="18"/>
              </w:rPr>
              <w:t>How can I recognize suspicious messages before I click, reply, or share information?</w:t>
            </w:r>
          </w:p>
        </w:tc>
      </w:tr>
    </w:tbl>
    <w:p/>
    <w:p>
      <w:pPr>
        <w:pStyle w:val="Heading2"/>
      </w:pPr>
      <w:r>
        <w:t>Lesson Purpose</w:t>
      </w:r>
    </w:p>
    <w:p>
      <w:r>
        <w:t>Students learn how phishing attempts try to trick people into clicking links, opening attachments, sharing information, or taking urgent action. Students analyze fictional messages, identify red flags, and practice safe response routines.</w:t>
      </w:r>
    </w:p>
    <w:p>
      <w:pPr>
        <w:pStyle w:val="Heading2"/>
      </w:pPr>
      <w:r>
        <w:t>Learning Objectives</w:t>
      </w:r>
    </w:p>
    <w:p>
      <w:pPr>
        <w:pStyle w:val="ListBullet"/>
      </w:pPr>
      <w:r>
        <w:t>Define phishing in student-friendly language.</w:t>
      </w:r>
    </w:p>
    <w:p>
      <w:pPr>
        <w:pStyle w:val="ListBullet"/>
      </w:pPr>
      <w:r>
        <w:t>Identify common warning signs in suspicious messages.</w:t>
      </w:r>
    </w:p>
    <w:p>
      <w:pPr>
        <w:pStyle w:val="ListBullet"/>
      </w:pPr>
      <w:r>
        <w:t>Explain why phishing threatens confidentiality, availability, and integrity.</w:t>
      </w:r>
    </w:p>
    <w:p>
      <w:pPr>
        <w:pStyle w:val="ListBullet"/>
      </w:pPr>
      <w:r>
        <w:t>Choose safe responses such as pause, verify, report, and do not click.</w:t>
      </w:r>
    </w:p>
    <w:p>
      <w:pPr>
        <w:pStyle w:val="ListBullet"/>
      </w:pPr>
      <w:r>
        <w:t>Reflect on how attackers use urgency, fear, rewards, authority, and curiosity.</w:t>
      </w:r>
    </w:p>
    <w:p>
      <w:pPr>
        <w:pStyle w:val="Heading2"/>
      </w:pPr>
      <w:r>
        <w:t>Materials</w:t>
      </w:r>
    </w:p>
    <w:p>
      <w:pPr>
        <w:pStyle w:val="ListBullet"/>
      </w:pPr>
      <w:r>
        <w:t>Spot the Phish sample messages</w:t>
      </w:r>
    </w:p>
    <w:p>
      <w:pPr>
        <w:pStyle w:val="ListBullet"/>
      </w:pPr>
      <w:r>
        <w:t>Projector or shared screen</w:t>
      </w:r>
    </w:p>
    <w:p>
      <w:pPr>
        <w:pStyle w:val="ListBullet"/>
      </w:pPr>
      <w:r>
        <w:t>Red flag checklist</w:t>
      </w:r>
    </w:p>
    <w:p>
      <w:pPr>
        <w:pStyle w:val="ListBullet"/>
      </w:pPr>
      <w:r>
        <w:t>Exit ticket</w:t>
      </w:r>
    </w:p>
    <w:p>
      <w:pPr>
        <w:pStyle w:val="ListBullet"/>
      </w:pPr>
      <w:r>
        <w:t>Optional school-approved reporting process</w:t>
      </w:r>
    </w:p>
    <w:p>
      <w:pPr>
        <w:pStyle w:val="Heading2"/>
      </w:pPr>
      <w:r>
        <w:t>Lesson Flow</w:t>
      </w:r>
    </w:p>
    <w:p>
      <w:pPr>
        <w:pStyle w:val="Heading3"/>
      </w:pPr>
      <w:r>
        <w:t>1. Warm-Up: Would You Click? (5 minutes)</w:t>
      </w:r>
    </w:p>
    <w:p>
      <w:r>
        <w:t>Display a fictional message. Ask students what looks normal and what looks suspicious. Do not include real links or live examples.</w:t>
      </w:r>
    </w:p>
    <w:p>
      <w:pPr>
        <w:pStyle w:val="Heading3"/>
      </w:pPr>
      <w:r>
        <w:t>2. Mini-Lesson: What Phishing Tries to Do (10 minutes)</w:t>
      </w:r>
    </w:p>
    <w:p>
      <w:r>
        <w:t>Explain that phishing is a social engineering tactic. It often tries to create urgency, steal credentials, install malware, or collect sensitive information.</w:t>
      </w:r>
    </w:p>
    <w:p>
      <w:pPr>
        <w:pStyle w:val="Heading3"/>
      </w:pPr>
      <w:r>
        <w:t>3. Red Flag Checklist (10 minutes)</w:t>
      </w:r>
    </w:p>
    <w:p>
      <w:r>
        <w:t>Teach students to look for urgent language, mismatched sender details, unexpected attachments, suspicious links, unusual requests, poor fit with context, and requests for passwords or codes.</w:t>
      </w:r>
    </w:p>
    <w:p>
      <w:pPr>
        <w:pStyle w:val="Heading3"/>
      </w:pPr>
      <w:r>
        <w:t>4. Group Analysis (15-20 minutes)</w:t>
      </w:r>
    </w:p>
    <w:p>
      <w:r>
        <w:t>Students review fictional messages and mark red flags. They decide whether to trust, verify, report, or delete the message.</w:t>
      </w:r>
    </w:p>
    <w:p>
      <w:pPr>
        <w:pStyle w:val="Heading3"/>
      </w:pPr>
      <w:r>
        <w:t>5. Safe Response Practice (5-10 minutes)</w:t>
      </w:r>
    </w:p>
    <w:p>
      <w:r>
        <w:t>Students rewrite unsafe reactions into safe responses. Emphasize: pause, verify through a trusted channel, report if required, and never share private information.</w:t>
      </w:r>
    </w:p>
    <w:p>
      <w:pPr>
        <w:pStyle w:val="Heading3"/>
      </w:pPr>
      <w:r>
        <w:t>6. Exit Ticket (5 minutes)</w:t>
      </w:r>
    </w:p>
    <w:p>
      <w:r>
        <w:t>Students answer: One phishing red flag is... One safe response is... One thing I should never share in a message is...</w:t>
      </w:r>
    </w:p>
    <w:p>
      <w:pPr>
        <w:pStyle w:val="Heading2"/>
      </w:pPr>
      <w:r>
        <w:t>Sample Fictional Messages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9"/>
          </w:tcPr>
          <w:p>
            <w:r/>
            <w:r>
              <w:rPr>
                <w:rFonts w:ascii="Arial" w:hAnsi="Arial"/>
                <w:b/>
                <w:sz w:val="18"/>
              </w:rPr>
              <w:t>Scenario</w:t>
            </w:r>
          </w:p>
        </w:tc>
        <w:tc>
          <w:tcPr>
            <w:tcW w:type="dxa" w:w="3408"/>
            <w:shd w:fill="E8EEF9"/>
          </w:tcPr>
          <w:p>
            <w:r/>
            <w:r>
              <w:rPr>
                <w:rFonts w:ascii="Arial" w:hAnsi="Arial"/>
                <w:b/>
                <w:sz w:val="18"/>
              </w:rPr>
              <w:t>Message Summary</w:t>
            </w:r>
          </w:p>
        </w:tc>
        <w:tc>
          <w:tcPr>
            <w:tcW w:type="dxa" w:w="3408"/>
            <w:shd w:fill="E8EEF9"/>
          </w:tcPr>
          <w:p>
            <w:r/>
            <w:r>
              <w:rPr>
                <w:rFonts w:ascii="Arial" w:hAnsi="Arial"/>
                <w:b/>
                <w:sz w:val="18"/>
              </w:rPr>
              <w:t>Possible Red Flags</w:t>
            </w:r>
          </w:p>
        </w:tc>
      </w:tr>
      <w:tr>
        <w:tc>
          <w:tcPr>
            <w:tcW w:type="dxa" w:w="3408"/>
            <w:vAlign w:val="top"/>
          </w:tcPr>
          <w:p>
            <w:r/>
            <w:r>
              <w:rPr>
                <w:rFonts w:ascii="Arial" w:hAnsi="Arial"/>
                <w:b w:val="0"/>
                <w:sz w:val="18"/>
              </w:rPr>
              <w:t>Urgent Password Alert</w:t>
            </w:r>
          </w:p>
        </w:tc>
        <w:tc>
          <w:tcPr>
            <w:tcW w:type="dxa" w:w="3408"/>
            <w:vAlign w:val="top"/>
          </w:tcPr>
          <w:p>
            <w:r/>
            <w:r>
              <w:rPr>
                <w:rFonts w:ascii="Arial" w:hAnsi="Arial"/>
                <w:b w:val="0"/>
                <w:sz w:val="18"/>
              </w:rPr>
              <w:t>Your account will close in 10 minutes. Click this link to confirm your password.</w:t>
            </w:r>
          </w:p>
        </w:tc>
        <w:tc>
          <w:tcPr>
            <w:tcW w:type="dxa" w:w="3408"/>
            <w:vAlign w:val="top"/>
          </w:tcPr>
          <w:p>
            <w:r/>
            <w:r>
              <w:rPr>
                <w:rFonts w:ascii="Arial" w:hAnsi="Arial"/>
                <w:b w:val="0"/>
                <w:sz w:val="18"/>
              </w:rPr>
              <w:t>Urgency, password request, unknown link</w:t>
            </w:r>
          </w:p>
        </w:tc>
      </w:tr>
      <w:tr>
        <w:tc>
          <w:tcPr>
            <w:tcW w:type="dxa" w:w="3408"/>
            <w:vAlign w:val="top"/>
          </w:tcPr>
          <w:p>
            <w:r/>
            <w:r>
              <w:rPr>
                <w:rFonts w:ascii="Arial" w:hAnsi="Arial"/>
                <w:b w:val="0"/>
                <w:sz w:val="18"/>
              </w:rPr>
              <w:t>Prize Message</w:t>
            </w:r>
          </w:p>
        </w:tc>
        <w:tc>
          <w:tcPr>
            <w:tcW w:type="dxa" w:w="3408"/>
            <w:vAlign w:val="top"/>
          </w:tcPr>
          <w:p>
            <w:r/>
            <w:r>
              <w:rPr>
                <w:rFonts w:ascii="Arial" w:hAnsi="Arial"/>
                <w:b w:val="0"/>
                <w:sz w:val="18"/>
              </w:rPr>
              <w:t>You won a free phone. Reply with your birthday and address to claim it.</w:t>
            </w:r>
          </w:p>
        </w:tc>
        <w:tc>
          <w:tcPr>
            <w:tcW w:type="dxa" w:w="3408"/>
            <w:vAlign w:val="top"/>
          </w:tcPr>
          <w:p>
            <w:r/>
            <w:r>
              <w:rPr>
                <w:rFonts w:ascii="Arial" w:hAnsi="Arial"/>
                <w:b w:val="0"/>
                <w:sz w:val="18"/>
              </w:rPr>
              <w:t>Too-good-to-be-true reward, personal data request</w:t>
            </w:r>
          </w:p>
        </w:tc>
      </w:tr>
      <w:tr>
        <w:tc>
          <w:tcPr>
            <w:tcW w:type="dxa" w:w="3408"/>
            <w:vAlign w:val="top"/>
          </w:tcPr>
          <w:p>
            <w:r/>
            <w:r>
              <w:rPr>
                <w:rFonts w:ascii="Arial" w:hAnsi="Arial"/>
                <w:b w:val="0"/>
                <w:sz w:val="18"/>
              </w:rPr>
              <w:t>Fake School Notice</w:t>
            </w:r>
          </w:p>
        </w:tc>
        <w:tc>
          <w:tcPr>
            <w:tcW w:type="dxa" w:w="3408"/>
            <w:vAlign w:val="top"/>
          </w:tcPr>
          <w:p>
            <w:r/>
            <w:r>
              <w:rPr>
                <w:rFonts w:ascii="Arial" w:hAnsi="Arial"/>
                <w:b w:val="0"/>
                <w:sz w:val="18"/>
              </w:rPr>
              <w:t>Open the attached file to view your grade change.</w:t>
            </w:r>
          </w:p>
        </w:tc>
        <w:tc>
          <w:tcPr>
            <w:tcW w:type="dxa" w:w="3408"/>
            <w:vAlign w:val="top"/>
          </w:tcPr>
          <w:p>
            <w:r/>
            <w:r>
              <w:rPr>
                <w:rFonts w:ascii="Arial" w:hAnsi="Arial"/>
                <w:b w:val="0"/>
                <w:sz w:val="18"/>
              </w:rPr>
              <w:t>Unexpected attachment, emotional trigger</w:t>
            </w:r>
          </w:p>
        </w:tc>
      </w:tr>
    </w:tbl>
    <w:p/>
    <w:p>
      <w:pPr>
        <w:pStyle w:val="Heading2"/>
      </w:pPr>
      <w:r>
        <w:t>Assessment</w:t>
      </w:r>
    </w:p>
    <w:p>
      <w:pPr>
        <w:pStyle w:val="ListBullet"/>
      </w:pPr>
      <w:r>
        <w:t>Red flag analysis</w:t>
      </w:r>
    </w:p>
    <w:p>
      <w:pPr>
        <w:pStyle w:val="ListBullet"/>
      </w:pPr>
      <w:r>
        <w:t>Safe response explanation</w:t>
      </w:r>
    </w:p>
    <w:p>
      <w:pPr>
        <w:pStyle w:val="ListBullet"/>
      </w:pPr>
      <w:r>
        <w:t>Exit ticket reflection</w:t>
      </w:r>
    </w:p>
    <w:p>
      <w:pPr>
        <w:pStyle w:val="ListBullet"/>
      </w:pPr>
      <w:r>
        <w:t>Class discussion participation</w:t>
      </w:r>
    </w:p>
    <w:p>
      <w:pPr>
        <w:pStyle w:val="Heading2"/>
      </w:pPr>
      <w:r>
        <w:t>Teacher Notes</w:t>
      </w:r>
    </w:p>
    <w:p>
      <w:r>
        <w:t>Keep all examples fictional and defensive. Do not use real phishing links, real student accounts, or live suspicious websites. The goal is awareness, judgment, and safe response behavior.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