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b/>
          <w:bCs/>
          <w:color w:val="6d28d9"/>
          <w:sz w:val="72"/>
          <w:szCs w:val="72"/>
        </w:rPr>
        <w:t xml:space="preserve">FeynLearn</w:t>
      </w:r>
    </w:p>
    <w:p>
      <w:pPr>
        <w:spacing w:after="60" w:before="150"/>
        <w:jc w:val="center"/>
      </w:pPr>
      <w:r>
        <w:rPr>
          <w:b/>
          <w:bCs/>
          <w:color w:val="6d28d9"/>
          <w:sz w:val="24"/>
          <w:szCs w:val="24"/>
        </w:rPr>
        <w:t xml:space="preserve">Neuroaprendizado simples e efetivo</w:t>
      </w:r>
    </w:p>
    <w:p>
      <w:pPr>
        <w:spacing w:after="100" w:before="60"/>
        <w:jc w:val="center"/>
      </w:pPr>
      <w:r>
        <w:rPr>
          <w:color w:val="1a1a2e"/>
          <w:sz w:val="32"/>
          <w:szCs w:val="32"/>
        </w:rPr>
        <w:t xml:space="preserve">Plano de Marketing — Fase 1: Brasil / Inglês</w:t>
      </w:r>
    </w:p>
    <w:p>
      <w:pPr>
        <w:spacing w:after="2000" w:before="100"/>
        <w:jc w:val="center"/>
      </w:pPr>
      <w:r>
        <w:rPr>
          <w:i/>
          <w:iCs/>
          <w:color w:val="64748b"/>
          <w:sz w:val="24"/>
          <w:szCs w:val="24"/>
        </w:rPr>
        <w:t xml:space="preserve">Julho 2026</w:t>
      </w:r>
    </w:p>
    <w:p>
      <w:pPr>
        <w:jc w:val="center"/>
      </w:pPr>
      <w:r>
        <w:rPr>
          <w:i/>
          <w:iCs/>
          <w:color w:val="64748b"/>
          <w:sz w:val="22"/>
          <w:szCs w:val="22"/>
        </w:rPr>
        <w:t xml:space="preserve">"Você já aprendeu um idioma assim — o materno. O método FeynLearn recria esse ciclo natural, com IA no lugar da correção constante."</w:t>
      </w:r>
    </w:p>
    <w:p>
      <w:r>
        <w:br w:type="page"/>
      </w:r>
    </w:p>
    <w:p>
      <w:pPr>
        <w:pStyle w:val="Heading1"/>
        <w:pBdr>
          <w:bottom w:val="single" w:color="8b5cf6" w:sz="8" w:space="4"/>
        </w:pBdr>
        <w:spacing w:after="200" w:before="400"/>
      </w:pPr>
      <w:r>
        <w:rPr>
          <w:b/>
          <w:bCs/>
          <w:color w:val="6d28d9"/>
          <w:sz w:val="32"/>
          <w:szCs w:val="32"/>
        </w:rPr>
        <w:t xml:space="preserve">1. Sumário Executivo</w:t>
      </w:r>
    </w:p>
    <w:p>
      <w:pPr>
        <w:spacing w:after="160" w:line="300"/>
      </w:pPr>
      <w:r>
        <w:rPr>
          <w:color w:val="222222"/>
          <w:sz w:val="22"/>
          <w:szCs w:val="22"/>
        </w:rPr>
        <w:t xml:space="preserve">O FeynLearn é um método de aprendizado ativo — hoje aplicado ao inglês — baseado na Técnica Feynman: o usuário lê um conteúdo curto, explica com as próprias palavras (texto ou voz) e recebe feedback instantâneo de uma IA (GPT-4o-mini). O nome da marca não faz referência a nenhum idioma específico, o que é proposital: o método é a proposta de valor central, e o inglês é apenas a primeira aplicação. O produto combina aprendizado ativo com gamificação (XP, streaks, badges, níveis) e já possui base tecnológica pronta: autenticação, pagamentos via Mercado Pago (PIX/Boleto/Cartão), sincronização em nuvem e app mobile em desenvolvimento (Capacitor).</w:t>
      </w:r>
    </w:p>
    <w:p>
      <w:pPr>
        <w:spacing w:after="160" w:line="300"/>
      </w:pPr>
      <w:r>
        <w:rPr>
          <w:color w:val="222222"/>
          <w:sz w:val="22"/>
          <w:szCs w:val="22"/>
        </w:rPr>
        <w:t xml:space="preserve">Este plano define o posicionamento, o público-alvo prioritário, os canais de aquisição e um roteiro de 90 dias para lançar e validar tração no mercado brasileiro com o produto de inglês — a base tática dos próximos 90 dias. A Seção 9 detalha a visão de expansão de médio prazo para outros idiomas e mercados, e por que a comunicação deste plano já é escrita para não travar essa expansão.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2"/>
          <w:szCs w:val="22"/>
        </w:rPr>
        <w:t xml:space="preserve">Objetivo principal: validar product-market fit no Brasil e atingir as primeiras 1.000 instalações orgânicas + pagas em 90 dias.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2"/>
          <w:szCs w:val="22"/>
        </w:rPr>
        <w:t xml:space="preserve">Foco de canal: Instagram e TikTok (orgânico + pago), com conteúdo educativo curto (edutainment).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2"/>
          <w:szCs w:val="22"/>
        </w:rPr>
        <w:t xml:space="preserve">Argumento central de convencimento: você já aprendeu um idioma assim — o materno, explicando e sendo corrigido — e não decorando regras; o FeynLearn recria esse ciclo natural para o inglês, combatendo a "Ilusão de Conhecimento" que trava quem estuda de forma passiva.</w:t>
      </w:r>
    </w:p>
    <w:p>
      <w:pPr>
        <w:pStyle w:val="Heading1"/>
        <w:pBdr>
          <w:bottom w:val="single" w:color="8b5cf6" w:sz="8" w:space="4"/>
        </w:pBdr>
        <w:spacing w:after="200" w:before="400"/>
      </w:pPr>
      <w:r>
        <w:rPr>
          <w:b/>
          <w:bCs/>
          <w:color w:val="6d28d9"/>
          <w:sz w:val="32"/>
          <w:szCs w:val="32"/>
        </w:rPr>
        <w:t xml:space="preserve">2. Sobre o Produto</w:t>
      </w:r>
    </w:p>
    <w:p>
      <w:pPr>
        <w:pStyle w:val="Heading2"/>
        <w:spacing w:after="120" w:before="300"/>
      </w:pPr>
      <w:r>
        <w:rPr>
          <w:b/>
          <w:bCs/>
          <w:color w:val="1a1a2e"/>
          <w:sz w:val="26"/>
          <w:szCs w:val="26"/>
        </w:rPr>
        <w:t xml:space="preserve">2.1 O problema que resolve: a Ilusão de Conhecimento</w:t>
      </w:r>
    </w:p>
    <w:p>
      <w:pPr>
        <w:spacing w:after="160" w:line="300"/>
      </w:pPr>
      <w:r>
        <w:rPr>
          <w:color w:val="222222"/>
          <w:sz w:val="22"/>
          <w:szCs w:val="22"/>
        </w:rPr>
        <w:t xml:space="preserve">Quem estuda inglês com vídeos, flashcards e apps de repetição costuma sentir que "entende tudo" — e mesmo assim trava ao tentar montar uma frase. Esse fenômeno tem nome na psicologia cognitiva: Ilusão de Conhecimento (illusion of explanatory depth) — a sensação subjetiva de domínio que não corresponde à capacidade real de produzir o conteúdo. Reconhecer uma palavra numa alternativa de múltipla escolha é muito mais fácil do que gerá-la sozinho — e é exatamente essa lacuna que mantém milhões de brasileiros "eternos intermediários".</w:t>
      </w:r>
    </w:p>
    <w:p>
      <w:pPr>
        <w:spacing w:after="160" w:line="300"/>
      </w:pPr>
      <w:r>
        <w:rPr>
          <w:color w:val="222222"/>
          <w:sz w:val="22"/>
          <w:szCs w:val="22"/>
        </w:rPr>
        <w:t xml:space="preserve">A Técnica Feynman — criada pelo físico ganhador do Nobel Richard Feynman — resolve isso ao forçar a pessoa a explicar o conceito com suas próprias palavras, como se estivesse ensinando uma criança: qualquer lacuna de entendimento fica exposta na hora. O FeynLearn aplica esse princípio ao ensino de inglês.</w:t>
      </w:r>
    </w:p>
    <w:p>
      <w:pPr>
        <w:pStyle w:val="Heading2"/>
        <w:spacing w:after="120" w:before="300"/>
      </w:pPr>
      <w:r>
        <w:rPr>
          <w:b/>
          <w:bCs/>
          <w:color w:val="1a1a2e"/>
          <w:sz w:val="26"/>
          <w:szCs w:val="26"/>
        </w:rPr>
        <w:t xml:space="preserve">2.1.1 Por que funciona: um gancho antigo, confirmado pela ciência</w:t>
      </w:r>
    </w:p>
    <w:p>
      <w:pPr>
        <w:pBdr>
          <w:left w:val="single" w:color="8b5cf6" w:sz="16" w:space="8"/>
        </w:pBdr>
        <w:spacing w:after="200" w:before="100"/>
        <w:ind w:left="431"/>
      </w:pPr>
      <w:r>
        <w:rPr>
          <w:i/>
          <w:iCs/>
          <w:color w:val="6d28d9"/>
          <w:sz w:val="22"/>
          <w:szCs w:val="22"/>
        </w:rPr>
        <w:t xml:space="preserve">Você já aprendeu um idioma assim — o materno. Ninguém decorou regra de gramática antes de falar: você ouviu, tentou, errou, foi corrigido e repetiu. É o processo mais natural que existe de adquirir uma língua. O FeynLearn recria esse mesmo ciclo para o inglês — só que com IA no lugar da correção constante de um adulto por perto.</w:t>
      </w:r>
    </w:p>
    <w:p>
      <w:pPr>
        <w:spacing w:after="160" w:line="300"/>
      </w:pPr>
      <w:r>
        <w:rPr>
          <w:color w:val="222222"/>
          <w:sz w:val="22"/>
          <w:szCs w:val="22"/>
        </w:rPr>
        <w:t xml:space="preserve">Esse gancho funciona há milhares de anos — é assim que todo ser humano aprende sua primeira língua, muito antes de qualquer estudo científico existir. A novidade não é o método: é que a ciência cognitiva moderna estudou esse processo e confirmou por que ele funciona melhor do que decorar regras. A isso chamamos de neuroaprendizado — não é um jargão de marketing, é a explicação neurológica de um processo que a humanidade já usa desde sempre.</w:t>
      </w:r>
    </w:p>
    <w:p>
      <w:pPr>
        <w:spacing w:after="160" w:line="300"/>
      </w:pPr>
      <w:r>
        <w:rPr>
          <w:color w:val="222222"/>
          <w:sz w:val="22"/>
          <w:szCs w:val="22"/>
        </w:rPr>
        <w:t xml:space="preserve">Vantagem de comunicação: não é preciso convencer ninguém de que o método funciona — basta lembrar que é assim que a própria pessoa já aprendeu a falar. A ciência entra depois, como prova, não como ponto de partida.</w:t>
      </w:r>
    </w:p>
    <w:p>
      <w:pPr>
        <w:pStyle w:val="Heading2"/>
        <w:spacing w:after="120" w:before="300"/>
      </w:pPr>
      <w:r>
        <w:rPr>
          <w:b/>
          <w:bCs/>
          <w:color w:val="1a1a2e"/>
          <w:sz w:val="26"/>
          <w:szCs w:val="26"/>
        </w:rPr>
        <w:t xml:space="preserve">2.1.2 Neuroaprendizado: o lastro científico (para public relations, imprensa e conteúdo aprofundado)</w:t>
      </w:r>
    </w:p>
    <w:p>
      <w:pPr>
        <w:spacing w:after="160" w:line="300"/>
      </w:pPr>
      <w:r>
        <w:rPr>
          <w:color w:val="222222"/>
          <w:sz w:val="22"/>
          <w:szCs w:val="22"/>
        </w:rPr>
        <w:t xml:space="preserve">O que a neurociência e a psicologia cognitiva explicam sobre por que "aprender fazendo" funciona melhor que "aprender decorando":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2"/>
          <w:szCs w:val="22"/>
        </w:rPr>
        <w:t xml:space="preserve">Construtivismo — o aprendizado acontece quando o aluno constrói significado ativamente, e não apenas recebe estruturas prontas.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2"/>
          <w:szCs w:val="22"/>
        </w:rPr>
        <w:t xml:space="preserve">Zona de Desenvolvimento Proximal (Vygotsky) — ao explicar com suas próprias palavras, o aluno se mantém no nível de desafio ideal para reforçar suas estruturas cognitivas.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2"/>
          <w:szCs w:val="22"/>
        </w:rPr>
        <w:t xml:space="preserve">Teoria da Carga Cognitiva — simplificar um conceito para explicá-lo reduz a sobrecarga mental, facilitando o processamento por iniciantes.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2"/>
          <w:szCs w:val="22"/>
        </w:rPr>
        <w:t xml:space="preserve">Raciocínio analógico — conectar o novo ao já conhecido (ex.: "bicycle" = "bi" + "cycle") acelera a generalização de vocabulário e regras.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2"/>
          <w:szCs w:val="22"/>
        </w:rPr>
        <w:t xml:space="preserve">Efeito de geração e efeito protégé — produzir uma resposta (em vez de reconhecê-la) e "ensinar" o conteúdo a alguém consolidam a memória de longo prazo de forma muito mais eficaz que a releitura passiva.</w:t>
      </w:r>
    </w:p>
    <w:p>
      <w:pPr>
        <w:pStyle w:val="Heading2"/>
        <w:spacing w:after="120" w:before="300"/>
      </w:pPr>
      <w:r>
        <w:rPr>
          <w:b/>
          <w:bCs/>
          <w:color w:val="1a1a2e"/>
          <w:sz w:val="26"/>
          <w:szCs w:val="26"/>
        </w:rPr>
        <w:t xml:space="preserve">2.1.3 A prova viva: o próprio Feynman aprendeu assim</w:t>
      </w:r>
    </w:p>
    <w:p>
      <w:pPr>
        <w:spacing w:after="160" w:line="300"/>
      </w:pPr>
      <w:r>
        <w:rPr>
          <w:color w:val="222222"/>
          <w:sz w:val="22"/>
          <w:szCs w:val="22"/>
        </w:rPr>
        <w:t xml:space="preserve">Richard Feynman não só descreveu o método — ele o viveu na prática. Em 1951, mudou-se para o Brasil por um período sabático de cerca de um ano, aprendeu português no processo e passou a dar aulas de física na Universidade do Brasil e no Centro Brasileiro de Pesquisas Físicas (CBPF) — no que ele mesmo chamava de brincadeira de "o português do Feynman". O físico que ensinou o mundo a aprender ensinando aprendeu o nosso idioma do jeito mais natural possível: falando, errando e sendo corrigido, sem decorar regra nenhuma.</w:t>
      </w:r>
    </w:p>
    <w:p>
      <w:pPr>
        <w:pStyle w:val="Heading2"/>
        <w:spacing w:after="120" w:before="300"/>
      </w:pPr>
      <w:r>
        <w:rPr>
          <w:b/>
          <w:bCs/>
          <w:color w:val="1a1a2e"/>
          <w:sz w:val="26"/>
          <w:szCs w:val="26"/>
        </w:rPr>
        <w:t xml:space="preserve">2.2 Como funciona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2"/>
          <w:szCs w:val="22"/>
        </w:rPr>
        <w:t xml:space="preserve">Introdução — contextualiza o tema e os objetivos da lição.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2"/>
          <w:szCs w:val="22"/>
        </w:rPr>
        <w:t xml:space="preserve">Leitura (60 segundos) — conteúdo com timer; botão "Peek" (espiar) afeta o score.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2"/>
          <w:szCs w:val="22"/>
        </w:rPr>
        <w:t xml:space="preserve">Explicação — o usuário explica com suas próprias palavras, por texto ou voz (Whisper AI).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2"/>
          <w:szCs w:val="22"/>
        </w:rPr>
        <w:t xml:space="preserve">Feedback AI — o GPT-4o-mini analisa clareza, cobertura e lacunas (gaps), com score de 0 a 100.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2"/>
          <w:szCs w:val="22"/>
        </w:rPr>
        <w:t xml:space="preserve">Teach Mode (Premium) — o usuário "ensina" a Teo, uma aluna virtual de IA que faz perguntas.</w:t>
      </w:r>
    </w:p>
    <w:p>
      <w:pPr>
        <w:pStyle w:val="Heading2"/>
        <w:spacing w:after="120" w:before="300"/>
      </w:pPr>
      <w:r>
        <w:rPr>
          <w:b/>
          <w:bCs/>
          <w:color w:val="1a1a2e"/>
          <w:sz w:val="26"/>
          <w:szCs w:val="26"/>
        </w:rPr>
        <w:t xml:space="preserve">2.3 Gamificação</w:t>
      </w:r>
    </w:p>
    <w:p>
      <w:pPr>
        <w:spacing w:after="160" w:line="300"/>
      </w:pPr>
      <w:r>
        <w:rPr>
          <w:color w:val="222222"/>
          <w:sz w:val="22"/>
          <w:szCs w:val="22"/>
        </w:rPr>
        <w:t xml:space="preserve">Sistema de XP com bônus por clareza alta, cobertura alta e por não usar o "Peek"; streaks com multiplicador; 6 níveis (Beginner → Grandmaster); badges como Streak Warrior, Clarity Master e Completionist.</w:t>
      </w:r>
    </w:p>
    <w:p>
      <w:pPr>
        <w:pStyle w:val="Heading2"/>
        <w:spacing w:after="120" w:before="300"/>
      </w:pPr>
      <w:r>
        <w:rPr>
          <w:b/>
          <w:bCs/>
          <w:color w:val="1a1a2e"/>
          <w:sz w:val="26"/>
          <w:szCs w:val="26"/>
        </w:rPr>
        <w:t xml:space="preserve">2.4 Pitch de 30 segundos</w:t>
      </w:r>
    </w:p>
    <w:p>
      <w:pPr>
        <w:pBdr>
          <w:left w:val="single" w:color="8b5cf6" w:sz="16" w:space="8"/>
        </w:pBdr>
        <w:spacing w:after="100" w:before="100"/>
        <w:ind w:left="431"/>
      </w:pPr>
      <w:r>
        <w:rPr>
          <w:i/>
          <w:iCs/>
          <w:color w:val="6d28d9"/>
          <w:sz w:val="22"/>
          <w:szCs w:val="22"/>
        </w:rPr>
        <w:t xml:space="preserve">"Há milhares de anos, todo ser humano aprende sua primeira língua do mesmo jeito: ouvindo, tentando, errando, sendo corrigido — sem estudar uma regra sequer. Isso sempre funcionou. A neurociência só veio confirmar depois: é assim que o cérebro consolida uma língua de verdade. O FeynLearn aplica esse neuroaprendizado simples e efetivo ao inglês, com IA no lugar da correção constante."</w:t>
      </w:r>
    </w:p>
    <w:p>
      <w:pPr>
        <w:spacing w:after="160" w:line="300"/>
      </w:pPr>
      <w:r>
        <w:rPr>
          <w:i/>
          <w:iCs/>
          <w:color w:val="555555"/>
          <w:sz w:val="20"/>
          <w:szCs w:val="20"/>
        </w:rPr>
        <w:t xml:space="preserve">Versão de apoio (para contextos que pedem mais credibilidade técnica, como imprensa): "FeynLearn usa a técnica do Nobel Richard Feynman — o mesmo método que ele usou para aprender português quando morou no Brasil: você aprende explicando o que leu, com feedback instantâneo de IA sobre clareza e lacunas. É como ter um professor particular 24/7."</w:t>
      </w:r>
    </w:p>
    <w:p>
      <w:pPr>
        <w:pStyle w:val="Heading1"/>
        <w:pBdr>
          <w:bottom w:val="single" w:color="8b5cf6" w:sz="8" w:space="4"/>
        </w:pBdr>
        <w:spacing w:after="200" w:before="400"/>
      </w:pPr>
      <w:r>
        <w:rPr>
          <w:b/>
          <w:bCs/>
          <w:color w:val="6d28d9"/>
          <w:sz w:val="32"/>
          <w:szCs w:val="32"/>
        </w:rPr>
        <w:t xml:space="preserve">3. Análise de Mercado</w:t>
      </w:r>
    </w:p>
    <w:p>
      <w:pPr>
        <w:pStyle w:val="Heading2"/>
        <w:spacing w:after="120" w:before="300"/>
      </w:pPr>
      <w:r>
        <w:rPr>
          <w:b/>
          <w:bCs/>
          <w:color w:val="1a1a2e"/>
          <w:sz w:val="26"/>
          <w:szCs w:val="26"/>
        </w:rPr>
        <w:t xml:space="preserve">3.1 Tamanho e crescimento</w:t>
      </w:r>
    </w:p>
    <w:p>
      <w:pPr>
        <w:spacing w:after="160" w:line="300"/>
      </w:pPr>
      <w:r>
        <w:rPr>
          <w:color w:val="222222"/>
          <w:sz w:val="22"/>
          <w:szCs w:val="22"/>
        </w:rPr>
        <w:t xml:space="preserve">O mercado global de aplicativos de aprendizado de idiomas foi avaliado em cerca de US$ 6,7 bilhões em 2026, com projeção de atingir US$ 24,4 bilhões até 2035 (CAGR de ~15,4%). O mercado específico de aprendizado de inglês está estimado em US$ 15,8 bilhões em 2026, com projeção de crescer a uma CAGR de 22,5%. O principal driver é a adoção de IA para personalização e feedback em tempo real — exatamente a proposta central do FeynLearn.</w:t>
      </w:r>
    </w:p>
    <w:p>
      <w:pPr>
        <w:spacing w:after="160" w:line="300"/>
      </w:pPr>
      <w:r>
        <w:rPr>
          <w:i/>
          <w:iCs/>
          <w:color w:val="64748b"/>
          <w:sz w:val="20"/>
          <w:szCs w:val="20"/>
        </w:rPr>
        <w:t xml:space="preserve">Nota de moeda: os números de mercado acima seguem a moeda das fontes internacionais originais (US$, dólar). Todo preço do FeynLearn e dos concorrentes operando no Brasil, em todo este documento, é sempre citado em R$ (real) — as duas moedas nunca são somadas ou comparadas diretamente entre si.</w:t>
      </w:r>
    </w:p>
    <w:p>
      <w:pPr>
        <w:pStyle w:val="Heading2"/>
        <w:spacing w:after="120" w:before="300"/>
      </w:pPr>
      <w:r>
        <w:rPr>
          <w:b/>
          <w:bCs/>
          <w:color w:val="1a1a2e"/>
          <w:sz w:val="26"/>
          <w:szCs w:val="26"/>
        </w:rPr>
        <w:t xml:space="preserve">3.2 Concorrência direta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2600"/>
        <w:gridCol w:w="2680"/>
      </w:tblGrid>
      <w:tr>
        <w:trPr>
          <w:tblHeader/>
        </w:trPr>
        <w:tc>
          <w:tcPr>
            <w:tcW w:type="dxa" w:w="2600"/>
            <w:shd w:fill="6d28d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Concorrente</w:t>
            </w:r>
          </w:p>
        </w:tc>
        <w:tc>
          <w:tcPr>
            <w:tcW w:type="dxa" w:w="2200"/>
            <w:shd w:fill="6d28d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Modelo</w:t>
            </w:r>
          </w:p>
        </w:tc>
        <w:tc>
          <w:tcPr>
            <w:tcW w:type="dxa" w:w="2600"/>
            <w:shd w:fill="6d28d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Preço (Brasil)</w:t>
            </w:r>
          </w:p>
        </w:tc>
        <w:tc>
          <w:tcPr>
            <w:tcW w:type="dxa" w:w="2680"/>
            <w:shd w:fill="6d28d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Ponto fraco explorável</w:t>
            </w:r>
          </w:p>
        </w:tc>
      </w:tr>
      <w:tr>
        <w:tc>
          <w:tcPr>
            <w:tcW w:type="dxa" w:w="26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Duolingo</w:t>
            </w:r>
          </w:p>
        </w:tc>
        <w:tc>
          <w:tcPr>
            <w:tcW w:type="dxa" w:w="22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Gamificação + exercícios</w:t>
            </w:r>
          </w:p>
        </w:tc>
        <w:tc>
          <w:tcPr>
            <w:tcW w:type="dxa" w:w="26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Super: R$ 14,99/mês · Max: R$ 33,33/mês</w:t>
            </w:r>
          </w:p>
        </w:tc>
        <w:tc>
          <w:tcPr>
            <w:tcW w:type="dxa" w:w="268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Aprendizado passivo (reconhecimento, não produção); pouca prática de fala</w:t>
            </w:r>
          </w:p>
        </w:tc>
      </w:tr>
      <w:tr>
        <w:tc>
          <w:tcPr>
            <w:tcW w:type="dxa" w:w="2600"/>
            <w:shd w:fill="F5F3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Cambly</w:t>
            </w:r>
          </w:p>
        </w:tc>
        <w:tc>
          <w:tcPr>
            <w:tcW w:type="dxa" w:w="2200"/>
            <w:shd w:fill="F5F3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Aulas ao vivo com nativos</w:t>
            </w:r>
          </w:p>
        </w:tc>
        <w:tc>
          <w:tcPr>
            <w:tcW w:type="dxa" w:w="2600"/>
            <w:shd w:fill="F5F3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A partir de ~R$ 68/mês em planos limitados; centenas de R$/mês para uso frequente</w:t>
            </w:r>
          </w:p>
        </w:tc>
        <w:tc>
          <w:tcPr>
            <w:tcW w:type="dxa" w:w="2680"/>
            <w:shd w:fill="F5F3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Caro em uso real; depende de agenda/disponibilidade de tutor humano</w:t>
            </w:r>
          </w:p>
        </w:tc>
      </w:tr>
      <w:tr>
        <w:tc>
          <w:tcPr>
            <w:tcW w:type="dxa" w:w="26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Aula particular / escola (Wizard, CNA, Open English)</w:t>
            </w:r>
          </w:p>
        </w:tc>
        <w:tc>
          <w:tcPr>
            <w:tcW w:type="dxa" w:w="22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Professor humano, presencial ou online</w:t>
            </w:r>
          </w:p>
        </w:tc>
        <w:tc>
          <w:tcPr>
            <w:tcW w:type="dxa" w:w="26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R$ 250 a R$ 800/mês</w:t>
            </w:r>
          </w:p>
        </w:tc>
        <w:tc>
          <w:tcPr>
            <w:tcW w:type="dxa" w:w="268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Preço fixo alto; depende de agenda humana; não escala com a prática do aluno</w:t>
            </w:r>
          </w:p>
        </w:tc>
      </w:tr>
      <w:tr>
        <w:tc>
          <w:tcPr>
            <w:tcW w:type="dxa" w:w="2600"/>
            <w:shd w:fill="F5F3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FeynLearn</w:t>
            </w:r>
          </w:p>
        </w:tc>
        <w:tc>
          <w:tcPr>
            <w:tcW w:type="dxa" w:w="2200"/>
            <w:shd w:fill="F5F3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Explicar → feedback de IA</w:t>
            </w:r>
          </w:p>
        </w:tc>
        <w:tc>
          <w:tcPr>
            <w:tcW w:type="dxa" w:w="2600"/>
            <w:shd w:fill="F5F3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Free · Premium R$ 59,90/mês ou R$ 598,80/ano (R$ 49,90/mês)</w:t>
            </w:r>
          </w:p>
        </w:tc>
        <w:tc>
          <w:tcPr>
            <w:tcW w:type="dxa" w:w="2680"/>
            <w:shd w:fill="F5F3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160" w:line="300"/>
      </w:pPr>
      <w:r>
        <w:rPr>
          <w:color w:val="222222"/>
          <w:sz w:val="22"/>
          <w:szCs w:val="22"/>
        </w:rPr>
        <w:t xml:space="preserve">O Duolingo compete em preço de entrada (R$ 14,99–33,33/mês) para um produto de reconhecimento passivo. O FeynLearn não disputa essa faixa — compete em resultado: é uma fração do custo de uma aula particular ou do Cambly em uso real (R$ 250 a R$ 800+/mês), oferecendo prática de produção de linguagem ilimitada, com IA, 24 horas por dia. A ancoragem de preço na comunicação de conversão deve comparar o FeynLearn a professor/tutor humano — não ao Duolingo, que é uma categoria de produto diferente (gamificação vs. produção ativa).</w:t>
      </w:r>
    </w:p>
    <w:p>
      <w:pPr>
        <w:pStyle w:val="Heading2"/>
        <w:spacing w:after="120" w:before="300"/>
      </w:pPr>
      <w:r>
        <w:rPr>
          <w:b/>
          <w:bCs/>
          <w:color w:val="1a1a2e"/>
          <w:sz w:val="26"/>
          <w:szCs w:val="26"/>
        </w:rPr>
        <w:t xml:space="preserve">3.3 Público-alvo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2"/>
          <w:szCs w:val="22"/>
        </w:rPr>
        <w:t xml:space="preserve">Profissionais que precisam de inglês para o trabalho (e-mails, reuniões, apresentações).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2"/>
          <w:szCs w:val="22"/>
        </w:rPr>
        <w:t xml:space="preserve">Estudantes de vestibular/ENEM.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2"/>
          <w:szCs w:val="22"/>
        </w:rPr>
        <w:t xml:space="preserve">Pessoas que já tentaram Duolingo ou similares e desistiram por acharem "chato" ou pouco eficaz.</w:t>
      </w:r>
    </w:p>
    <w:p>
      <w:pPr>
        <w:pStyle w:val="Heading1"/>
        <w:pBdr>
          <w:bottom w:val="single" w:color="8b5cf6" w:sz="8" w:space="4"/>
        </w:pBdr>
        <w:spacing w:after="200" w:before="400"/>
      </w:pPr>
      <w:r>
        <w:rPr>
          <w:b/>
          <w:bCs/>
          <w:color w:val="6d28d9"/>
          <w:sz w:val="32"/>
          <w:szCs w:val="32"/>
        </w:rPr>
        <w:t xml:space="preserve">4. Posicionamento e Proposta de Valor</w:t>
      </w:r>
    </w:p>
    <w:p>
      <w:pPr>
        <w:pStyle w:val="Heading2"/>
        <w:spacing w:after="120" w:before="300"/>
      </w:pPr>
      <w:r>
        <w:rPr>
          <w:b/>
          <w:bCs/>
          <w:color w:val="1a1a2e"/>
          <w:sz w:val="26"/>
          <w:szCs w:val="26"/>
        </w:rPr>
        <w:t xml:space="preserve">4.1 Declaração de posicionamento</w:t>
      </w:r>
    </w:p>
    <w:p>
      <w:pPr>
        <w:spacing w:after="160" w:line="300"/>
      </w:pPr>
      <w:r>
        <w:rPr>
          <w:color w:val="222222"/>
          <w:sz w:val="22"/>
          <w:szCs w:val="22"/>
        </w:rPr>
        <w:t xml:space="preserve">O FeynLearn não é um app de inglês — é neuroaprendizado simples e efetivo: o mesmo processo que todo ser humano já usou para aprender sua língua materna, agora comprovado pela ciência cognitiva e aplicado ao inglês com apoio de IA. Isso sempre funcionou, muito antes de virar objeto de pesquisa — a neurociência só veio explicar por quê. Para quem quer realmente falar inglês, não apenas reconhecer palavras, o FeynLearn recria esse ciclo natural: você ouve, tenta explicar com suas próprias palavras (como faria uma criança), erra, recebe correção instantânea da IA e repete — até a Ilusão de Conhecimento dar lugar ao domínio real.</w:t>
      </w:r>
    </w:p>
    <w:p>
      <w:pPr>
        <w:pStyle w:val="Heading2"/>
        <w:spacing w:after="120" w:before="300"/>
      </w:pPr>
      <w:r>
        <w:rPr>
          <w:b/>
          <w:bCs/>
          <w:color w:val="1a1a2e"/>
          <w:sz w:val="26"/>
          <w:szCs w:val="26"/>
        </w:rPr>
        <w:t xml:space="preserve">4.2 Diferenciais competitivos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2"/>
          <w:szCs w:val="22"/>
        </w:rPr>
        <w:t xml:space="preserve">Neuroaprendizado, não truque — reproduz o processo natural de aquisição de linguagem (o mesmo da língua materna), validado pela ciência cognitiva, não uma técnica de memorização artificial.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2"/>
          <w:szCs w:val="22"/>
        </w:rPr>
        <w:t xml:space="preserve">Ativo vs. passivo — você produz inglês, não apenas consome conteúdo.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2"/>
          <w:szCs w:val="22"/>
        </w:rPr>
        <w:t xml:space="preserve">Feedback imediato — a IA corrige na hora, com clareza e cobertura mensuradas.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2"/>
          <w:szCs w:val="22"/>
        </w:rPr>
        <w:t xml:space="preserve">Gamificação completa — XP, badges, streaks para manter engajamento.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2"/>
          <w:szCs w:val="22"/>
        </w:rPr>
        <w:t xml:space="preserve">Preço acessível — uma fração do custo de aulas particulares ou de plataformas com tutor humano.</w:t>
      </w:r>
    </w:p>
    <w:p>
      <w:pPr>
        <w:pStyle w:val="Heading2"/>
        <w:spacing w:after="120" w:before="300"/>
      </w:pPr>
      <w:r>
        <w:rPr>
          <w:b/>
          <w:bCs/>
          <w:color w:val="1a1a2e"/>
          <w:sz w:val="26"/>
          <w:szCs w:val="26"/>
        </w:rPr>
        <w:t xml:space="preserve">4.3 Category Entry Points: portas de entrada, não perfis</w:t>
      </w:r>
    </w:p>
    <w:p>
      <w:pPr>
        <w:spacing w:after="160" w:line="300"/>
      </w:pPr>
      <w:r>
        <w:rPr>
          <w:color w:val="222222"/>
          <w:sz w:val="22"/>
          <w:szCs w:val="22"/>
        </w:rPr>
        <w:t xml:space="preserve">Em vez de restringir a comunicação a 3 personas (o que exclui, por definição, todo mundo que não se encaixa perfeitamente nelas), organizamos o conteúdo por Category Entry Points — as situações que fazem alguém pensar "preciso de inglês". É o mesmo posicionamento único (neuroaprendizado simples e efetivo) entrando por portas diferentes. Isso importa especialmente aqui porque o FeynLearn é um produto de assinatura de consumo, vendido em escala (não um serviço de nicho de alto contato): o ganho está em penetração e volume, não em segmentos estreitos — e virtualmente qualquer pessoa que já tentou ou precisa aprender inglês é uma compradora em potencial.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200"/>
        <w:gridCol w:w="2680"/>
      </w:tblGrid>
      <w:tr>
        <w:trPr>
          <w:tblHeader/>
        </w:trPr>
        <w:tc>
          <w:tcPr>
            <w:tcW w:type="dxa" w:w="3200"/>
            <w:shd w:fill="6d28d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Situação (gatilho)</w:t>
            </w:r>
          </w:p>
        </w:tc>
        <w:tc>
          <w:tcPr>
            <w:tcW w:type="dxa" w:w="4200"/>
            <w:shd w:fill="6d28d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Gancho de conteúdo</w:t>
            </w:r>
          </w:p>
        </w:tc>
        <w:tc>
          <w:tcPr>
            <w:tcW w:type="dxa" w:w="2680"/>
            <w:shd w:fill="6d28d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Canal</w:t>
            </w:r>
          </w:p>
        </w:tc>
      </w:tr>
      <w:tr>
        <w:tc>
          <w:tcPr>
            <w:tcW w:type="dxa" w:w="32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Carreira/trabalho</w:t>
            </w:r>
          </w:p>
        </w:tc>
        <w:tc>
          <w:tcPr>
            <w:tcW w:type="dxa" w:w="42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"Sua carreira trava no inglês porque você aprendeu do jeito errado."</w:t>
            </w:r>
          </w:p>
        </w:tc>
        <w:tc>
          <w:tcPr>
            <w:tcW w:type="dxa" w:w="268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Instagram, LinkedIn</w:t>
            </w:r>
          </w:p>
        </w:tc>
      </w:tr>
      <w:tr>
        <w:tc>
          <w:tcPr>
            <w:tcW w:type="dxa" w:w="3200"/>
            <w:shd w:fill="F5F3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ENEM/vestibular/concurso</w:t>
            </w:r>
          </w:p>
        </w:tc>
        <w:tc>
          <w:tcPr>
            <w:tcW w:type="dxa" w:w="4200"/>
            <w:shd w:fill="F5F3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"Decoreba você já tentou. Agora aprenda do jeito que seu cérebro realmente grava."</w:t>
            </w:r>
          </w:p>
        </w:tc>
        <w:tc>
          <w:tcPr>
            <w:tcW w:type="dxa" w:w="2680"/>
            <w:shd w:fill="F5F3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TikTok, Instagram</w:t>
            </w:r>
          </w:p>
        </w:tc>
      </w:tr>
      <w:tr>
        <w:tc>
          <w:tcPr>
            <w:tcW w:type="dxa" w:w="32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Já tentou outro app e travou</w:t>
            </w:r>
          </w:p>
        </w:tc>
        <w:tc>
          <w:tcPr>
            <w:tcW w:type="dxa" w:w="42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"Você não é ruim em inglês — o app é que te ensinou errado."</w:t>
            </w:r>
          </w:p>
        </w:tc>
        <w:tc>
          <w:tcPr>
            <w:tcW w:type="dxa" w:w="268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TikTok, Instagram Ads</w:t>
            </w:r>
          </w:p>
        </w:tc>
      </w:tr>
      <w:tr>
        <w:tc>
          <w:tcPr>
            <w:tcW w:type="dxa" w:w="3200"/>
            <w:shd w:fill="F5F3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Viagem / intercâmbio (próprio ou do filho)</w:t>
            </w:r>
          </w:p>
        </w:tc>
        <w:tc>
          <w:tcPr>
            <w:tcW w:type="dxa" w:w="4200"/>
            <w:shd w:fill="F5F3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"Chegar lá e travar na primeira frase? Treine a produção, não só o vocabulário."</w:t>
            </w:r>
          </w:p>
        </w:tc>
        <w:tc>
          <w:tcPr>
            <w:tcW w:type="dxa" w:w="2680"/>
            <w:shd w:fill="F5F3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Instagram, TikTok</w:t>
            </w:r>
          </w:p>
        </w:tc>
      </w:tr>
      <w:tr>
        <w:tc>
          <w:tcPr>
            <w:tcW w:type="dxa" w:w="32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Filme/série sem legenda</w:t>
            </w:r>
          </w:p>
        </w:tc>
        <w:tc>
          <w:tcPr>
            <w:tcW w:type="dxa" w:w="42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"Você entende quase tudo com legenda. Sem ela, trava. É a Ilusão de Conhecimento."</w:t>
            </w:r>
          </w:p>
        </w:tc>
        <w:tc>
          <w:tcPr>
            <w:tcW w:type="dxa" w:w="268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TikTok</w:t>
            </w:r>
          </w:p>
        </w:tc>
      </w:tr>
      <w:tr>
        <w:tc>
          <w:tcPr>
            <w:tcW w:type="dxa" w:w="3200"/>
            <w:shd w:fill="F5F3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Conversar com estrangeiro/expat/jogo online</w:t>
            </w:r>
          </w:p>
        </w:tc>
        <w:tc>
          <w:tcPr>
            <w:tcW w:type="dxa" w:w="4200"/>
            <w:shd w:fill="F5F3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"Ler em inglês é fácil. Responder na hora é outro jogo — literalmente."</w:t>
            </w:r>
          </w:p>
        </w:tc>
        <w:tc>
          <w:tcPr>
            <w:tcW w:type="dxa" w:w="2680"/>
            <w:shd w:fill="F5F3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TikTok, Discord/comunidades</w:t>
            </w:r>
          </w:p>
        </w:tc>
      </w:tr>
      <w:tr>
        <w:tc>
          <w:tcPr>
            <w:tcW w:type="dxa" w:w="32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Vergonha de falar em público</w:t>
            </w:r>
          </w:p>
        </w:tc>
        <w:tc>
          <w:tcPr>
            <w:tcW w:type="dxa" w:w="42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"O medo de errar é o que mais atrasa quem já sabe mais do que pensa."</w:t>
            </w:r>
          </w:p>
        </w:tc>
        <w:tc>
          <w:tcPr>
            <w:tcW w:type="dxa" w:w="268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Instagram Reels</w:t>
            </w:r>
          </w:p>
        </w:tc>
      </w:tr>
    </w:tbl>
    <w:p>
      <w:pPr>
        <w:pStyle w:val="Heading2"/>
        <w:spacing w:after="120" w:before="300"/>
      </w:pPr>
      <w:r>
        <w:rPr>
          <w:b/>
          <w:bCs/>
          <w:color w:val="1a1a2e"/>
          <w:sz w:val="26"/>
          <w:szCs w:val="26"/>
        </w:rPr>
        <w:t xml:space="preserve">4.4 O personagem: Teo como ativo de marca</w:t>
      </w:r>
    </w:p>
    <w:p>
      <w:pPr>
        <w:spacing w:after="160" w:line="300"/>
      </w:pPr>
      <w:r>
        <w:rPr>
          <w:color w:val="222222"/>
          <w:sz w:val="22"/>
          <w:szCs w:val="22"/>
        </w:rPr>
        <w:t xml:space="preserve">"FeynLearn" carrega um risco identificado na avaliação de naming: "Feyn" não tem leitura óbvia para um falante de português (Féin? Fain? Fêin?) — falha no teste do telefone com o público-alvo. Em vez de trocar o nome (custoso e desnecessário nesta fase), a recomendação é elevar o Teo — o aluno virtual de IA do Teach Mode — a protagonista visual e social da marca, seguindo o mesmo padrão do "Duo" do Duolingo: a coruja, não a palavra "Duolingo", é o que vira meme e carrega o reconhecimento no dia a dia.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2"/>
          <w:szCs w:val="22"/>
        </w:rPr>
        <w:t xml:space="preserve">FeynLearn (nome institucional) — usado onde é lido, não falado: App Store, imprensa, pitch, contratos. Pronúncia não é obstáculo em texto.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2"/>
          <w:szCs w:val="22"/>
        </w:rPr>
        <w:t xml:space="preserve">Teo (personagem) — protagonista do conteúdo social: reage quando o usuário explica bem ou mal, tem personalidade própria, carrega a comunicação verbal/falada onde a pronúncia de "FeynLearn" seria fricção.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2"/>
          <w:szCs w:val="22"/>
        </w:rPr>
        <w:t xml:space="preserve">Ensinar a pronúncia como conteúdo, não como obstáculo — um vídeo curto "como se fala FeynLearn" pode virar peça de lançamento (outras marcas como Nike e Xiaomi passaram pelo mesmo desafio).</w:t>
      </w:r>
    </w:p>
    <w:p>
      <w:pPr>
        <w:spacing w:after="160" w:line="300"/>
      </w:pPr>
      <w:r>
        <w:rPr>
          <w:color w:val="222222"/>
          <w:sz w:val="22"/>
          <w:szCs w:val="22"/>
        </w:rPr>
        <w:t xml:space="preserve">Esta recomendação nasceu de uma auditoria multi-especialista (ver Seção 11) combinando Naming Strategist (risco de pronúncia), Al Ries (Visual Hammer) e Byron Sharp (ativos distintivos consistentes).</w:t>
      </w:r>
    </w:p>
    <w:p>
      <w:pPr>
        <w:pStyle w:val="Heading1"/>
        <w:pBdr>
          <w:bottom w:val="single" w:color="8b5cf6" w:sz="8" w:space="4"/>
        </w:pBdr>
        <w:spacing w:after="200" w:before="400"/>
      </w:pPr>
      <w:r>
        <w:rPr>
          <w:b/>
          <w:bCs/>
          <w:color w:val="6d28d9"/>
          <w:sz w:val="32"/>
          <w:szCs w:val="32"/>
        </w:rPr>
        <w:t xml:space="preserve">5. Estratégia de Canais</w:t>
      </w:r>
    </w:p>
    <w:p>
      <w:pPr>
        <w:pStyle w:val="Heading2"/>
        <w:spacing w:after="120" w:before="300"/>
      </w:pPr>
      <w:r>
        <w:rPr>
          <w:b/>
          <w:bCs/>
          <w:color w:val="1a1a2e"/>
          <w:sz w:val="26"/>
          <w:szCs w:val="26"/>
        </w:rPr>
        <w:t xml:space="preserve">5.1 Panorama de canais (Brasil, 2026)</w:t>
      </w:r>
    </w:p>
    <w:p>
      <w:pPr>
        <w:spacing w:after="160" w:line="300"/>
      </w:pPr>
      <w:r>
        <w:rPr>
          <w:color w:val="222222"/>
          <w:sz w:val="22"/>
          <w:szCs w:val="22"/>
        </w:rPr>
        <w:t xml:space="preserve">Instagram lidera o país com cerca de 147–154 milhões de usuários, sendo a escolha natural para alcançar jovens adultos com poder de compra. O TikTok, com 92–131 milhões de usuários (18+), é a plataforma de maior crescimento e já é tratado como canal de aquisição de performance — não mais experimental — competindo diretamente com Meta em campanhas de instalação de app. Conteúdo de "edutainment" (educação em formato curto e envolvente) é um dos pontos fortes do TikTok e se encaixa diretamente na proposta do FeynLearn.</w:t>
      </w:r>
    </w:p>
    <w:p>
      <w:pPr>
        <w:pStyle w:val="Heading2"/>
        <w:spacing w:after="120" w:before="300"/>
      </w:pPr>
      <w:r>
        <w:rPr>
          <w:b/>
          <w:bCs/>
          <w:color w:val="1a1a2e"/>
          <w:sz w:val="26"/>
          <w:szCs w:val="26"/>
        </w:rPr>
        <w:t xml:space="preserve">5.2 Orgânico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2"/>
          <w:szCs w:val="22"/>
        </w:rPr>
        <w:t xml:space="preserve">Instagram (Reels) e TikTok: micro-lições, "erros comuns de brasileiro falando inglês", bastidores da IA analisando explicações reais de usuários, desafios de 60 segundos (espelhando o timer de leitura do app).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2"/>
          <w:szCs w:val="22"/>
        </w:rPr>
        <w:t xml:space="preserve">Decisão de orçamento: nesta fase, não investimos em cachê de micro-influenciadores. O orçamento equivalente é redirecionado para produção de conteúdo protagonizado pela Teo (ver Seção 4.4) — um ativo próprio e permanente, em vez de um gasto recorrente com terceiros. A lógica: como o FeynLearn é um produto de baixo ticket que ganha por escala, o retorno de um personagem de marca consistente e reaproveitável composta ao longo do tempo é maior do que o de posts pontuais pagos a criadores.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2"/>
          <w:szCs w:val="22"/>
        </w:rPr>
        <w:t xml:space="preserve">SEO/Conteúdo: blog ou landing pages com termos como "como aprender inglês sozinho", "técnica Feynman inglês", "app de inglês com IA".</w:t>
      </w:r>
    </w:p>
    <w:p>
      <w:pPr>
        <w:pStyle w:val="Heading2"/>
        <w:spacing w:after="120" w:before="300"/>
      </w:pPr>
      <w:r>
        <w:rPr>
          <w:b/>
          <w:bCs/>
          <w:color w:val="1a1a2e"/>
          <w:sz w:val="26"/>
          <w:szCs w:val="26"/>
        </w:rPr>
        <w:t xml:space="preserve">5.3 Pago — metodologia Pedro Sobral (Traffic Masters)</w:t>
      </w:r>
    </w:p>
    <w:p>
      <w:pPr>
        <w:spacing w:after="160" w:line="300"/>
      </w:pPr>
      <w:r>
        <w:rPr>
          <w:color w:val="222222"/>
          <w:sz w:val="22"/>
          <w:szCs w:val="22"/>
        </w:rPr>
        <w:t xml:space="preserve">Estrutura de campanha baseada na metodologia de Pedro Sobral, referência em gestão de tráfego pago no Brasil: 90% dos resultados vêm de dominar 3 tipos de campanha, testando um público, criativo ou orçamento por vez — nunca várias variáveis ao mesmo tempo.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180"/>
        <w:gridCol w:w="3700"/>
      </w:tblGrid>
      <w:tr>
        <w:trPr>
          <w:tblHeader/>
        </w:trPr>
        <w:tc>
          <w:tcPr>
            <w:tcW w:type="dxa" w:w="2200"/>
            <w:shd w:fill="6d28d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Tipo de campanha</w:t>
            </w:r>
          </w:p>
        </w:tc>
        <w:tc>
          <w:tcPr>
            <w:tcW w:type="dxa" w:w="4180"/>
            <w:shd w:fill="6d28d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Objetivo</w:t>
            </w:r>
          </w:p>
        </w:tc>
        <w:tc>
          <w:tcPr>
            <w:tcW w:type="dxa" w:w="3700"/>
            <w:shd w:fill="6d28d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Público-alvo (temperatura)</w:t>
            </w:r>
          </w:p>
        </w:tc>
      </w:tr>
      <w:tr>
        <w:tc>
          <w:tcPr>
            <w:tcW w:type="dxa" w:w="22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Criação de audiência</w:t>
            </w:r>
          </w:p>
        </w:tc>
        <w:tc>
          <w:tcPr>
            <w:tcW w:type="dxa" w:w="418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Alcance/reconhecimento — apresentar o FeynLearn a quem nunca ouviu falar</w:t>
            </w:r>
          </w:p>
        </w:tc>
        <w:tc>
          <w:tcPr>
            <w:tcW w:type="dxa" w:w="37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Frio — segmentação por Category Entry Points (Seção 4.3), não por persona demográfica</w:t>
            </w:r>
          </w:p>
        </w:tc>
      </w:tr>
      <w:tr>
        <w:tc>
          <w:tcPr>
            <w:tcW w:type="dxa" w:w="2200"/>
            <w:shd w:fill="F5F3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Captação de leads/instalações</w:t>
            </w:r>
          </w:p>
        </w:tc>
        <w:tc>
          <w:tcPr>
            <w:tcW w:type="dxa" w:w="4180"/>
            <w:shd w:fill="F5F3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Instalação do app com otimização por evento (registro → 1ª lição completa)</w:t>
            </w:r>
          </w:p>
        </w:tc>
        <w:tc>
          <w:tcPr>
            <w:tcW w:type="dxa" w:w="3700"/>
            <w:shd w:fill="F5F3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Morno — quem já interagiu com conteúdo orgânico ou anúncio de audiência</w:t>
            </w:r>
          </w:p>
        </w:tc>
      </w:tr>
      <w:tr>
        <w:tc>
          <w:tcPr>
            <w:tcW w:type="dxa" w:w="22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Geração de vendas (Premium)</w:t>
            </w:r>
          </w:p>
        </w:tc>
        <w:tc>
          <w:tcPr>
            <w:tcW w:type="dxa" w:w="418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Conversão Free → Premium via remarketing</w:t>
            </w:r>
          </w:p>
        </w:tc>
        <w:tc>
          <w:tcPr>
            <w:tcW w:type="dxa" w:w="37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Quente — visitantes da landing page/pricing e usuários Free ativos sem upgrade</w:t>
            </w:r>
          </w:p>
        </w:tc>
      </w:tr>
    </w:tbl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2"/>
          <w:szCs w:val="22"/>
        </w:rPr>
        <w:t xml:space="preserve">Plataformas: TikTok Ads (Spark Ads sobre o conteúdo orgânico de melhor performance) e Meta Ads (Instagram/Facebook), com pixel instalado antes de qualquer veiculação.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2"/>
          <w:szCs w:val="22"/>
        </w:rPr>
        <w:t xml:space="preserve">Estrutura: 4 a 8 conjuntos de anúncios por campanha (mais de 12 tende a underperformar); CBO para escalar o que já validou, ABO para testes controlados na Fase 3.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2"/>
          <w:szCs w:val="22"/>
        </w:rPr>
        <w:t xml:space="preserve">Criativo é o novo público: a IA das plataformas encontra a audiência certa quando o criativo é forte — o papel do time passa a ser produzir e testar criativos (incluindo os protagonizados pela Teo), não apenas ajustar segmentação manual.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2"/>
          <w:szCs w:val="22"/>
        </w:rPr>
        <w:t xml:space="preserve">Cadência de monitoramento: criativos a cada 2–3 dias, públicos a cada 4 dias, orçamento a cada 2 dias, estrutura da campanha a cada 7 dias. Trocar uma variável por vez em cada teste.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2"/>
          <w:szCs w:val="22"/>
        </w:rPr>
        <w:t xml:space="preserve">Expectativa de ramp-up: leva de 4 a 8 semanas para o CAC pago estabilizar e de 2 a 4 semanas para os padrões criativos vencedores emergirem — orçar o primeiro mês como fase de teste, não de escala.</w:t>
      </w:r>
    </w:p>
    <w:p>
      <w:pPr>
        <w:pStyle w:val="Heading2"/>
        <w:spacing w:after="120" w:before="300"/>
      </w:pPr>
      <w:r>
        <w:rPr>
          <w:b/>
          <w:bCs/>
          <w:color w:val="1a1a2e"/>
          <w:sz w:val="26"/>
          <w:szCs w:val="26"/>
        </w:rPr>
        <w:t xml:space="preserve">5.4 Funil de aquisição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000"/>
        <w:gridCol w:w="3080"/>
      </w:tblGrid>
      <w:tr>
        <w:trPr>
          <w:tblHeader/>
        </w:trPr>
        <w:tc>
          <w:tcPr>
            <w:tcW w:type="dxa" w:w="2000"/>
            <w:shd w:fill="6d28d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Etapa</w:t>
            </w:r>
          </w:p>
        </w:tc>
        <w:tc>
          <w:tcPr>
            <w:tcW w:type="dxa" w:w="5000"/>
            <w:shd w:fill="6d28d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Ação</w:t>
            </w:r>
          </w:p>
        </w:tc>
        <w:tc>
          <w:tcPr>
            <w:tcW w:type="dxa" w:w="3080"/>
            <w:shd w:fill="6d28d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Métrica</w:t>
            </w:r>
          </w:p>
        </w:tc>
      </w:tr>
      <w:tr>
        <w:tc>
          <w:tcPr>
            <w:tcW w:type="dxa" w:w="20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Descoberta</w:t>
            </w:r>
          </w:p>
        </w:tc>
        <w:tc>
          <w:tcPr>
            <w:tcW w:type="dxa" w:w="50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Reels/TikTok orgânico + pago</w:t>
            </w:r>
          </w:p>
        </w:tc>
        <w:tc>
          <w:tcPr>
            <w:tcW w:type="dxa" w:w="308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Alcance, views, CTR</w:t>
            </w:r>
          </w:p>
        </w:tc>
      </w:tr>
      <w:tr>
        <w:tc>
          <w:tcPr>
            <w:tcW w:type="dxa" w:w="2000"/>
            <w:shd w:fill="F5F3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Interesse</w:t>
            </w:r>
          </w:p>
        </w:tc>
        <w:tc>
          <w:tcPr>
            <w:tcW w:type="dxa" w:w="5000"/>
            <w:shd w:fill="F5F3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Landing page / perfil da bio</w:t>
            </w:r>
          </w:p>
        </w:tc>
        <w:tc>
          <w:tcPr>
            <w:tcW w:type="dxa" w:w="3080"/>
            <w:shd w:fill="F5F3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Cliques para instalação</w:t>
            </w:r>
          </w:p>
        </w:tc>
      </w:tr>
      <w:tr>
        <w:tc>
          <w:tcPr>
            <w:tcW w:type="dxa" w:w="20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Ativação</w:t>
            </w:r>
          </w:p>
        </w:tc>
        <w:tc>
          <w:tcPr>
            <w:tcW w:type="dxa" w:w="50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Onboarding → Placement Test → 1ª lição completa</w:t>
            </w:r>
          </w:p>
        </w:tc>
        <w:tc>
          <w:tcPr>
            <w:tcW w:type="dxa" w:w="308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Taxa de ativação (D0)</w:t>
            </w:r>
          </w:p>
        </w:tc>
      </w:tr>
      <w:tr>
        <w:tc>
          <w:tcPr>
            <w:tcW w:type="dxa" w:w="2000"/>
            <w:shd w:fill="F5F3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Retenção</w:t>
            </w:r>
          </w:p>
        </w:tc>
        <w:tc>
          <w:tcPr>
            <w:tcW w:type="dxa" w:w="5000"/>
            <w:shd w:fill="F5F3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Streak + notificações + gaps de prática</w:t>
            </w:r>
          </w:p>
        </w:tc>
        <w:tc>
          <w:tcPr>
            <w:tcW w:type="dxa" w:w="3080"/>
            <w:shd w:fill="F5F3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D7 / D30 retention</w:t>
            </w:r>
          </w:p>
        </w:tc>
      </w:tr>
      <w:tr>
        <w:tc>
          <w:tcPr>
            <w:tcW w:type="dxa" w:w="20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Conversão</w:t>
            </w:r>
          </w:p>
        </w:tc>
        <w:tc>
          <w:tcPr>
            <w:tcW w:type="dxa" w:w="50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Paywall no /pricing após limite diário de IA</w:t>
            </w:r>
          </w:p>
        </w:tc>
        <w:tc>
          <w:tcPr>
            <w:tcW w:type="dxa" w:w="308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Free → Premium (%)</w:t>
            </w:r>
          </w:p>
        </w:tc>
      </w:tr>
    </w:tbl>
    <w:p>
      <w:pPr>
        <w:pStyle w:val="Heading1"/>
        <w:pBdr>
          <w:bottom w:val="single" w:color="8b5cf6" w:sz="8" w:space="4"/>
        </w:pBdr>
        <w:spacing w:after="200" w:before="400"/>
      </w:pPr>
      <w:r>
        <w:rPr>
          <w:b/>
          <w:bCs/>
          <w:color w:val="6d28d9"/>
          <w:sz w:val="32"/>
          <w:szCs w:val="32"/>
        </w:rPr>
        <w:t xml:space="preserve">6. Modelo de Monetização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5080"/>
      </w:tblGrid>
      <w:tr>
        <w:trPr>
          <w:tblHeader/>
        </w:trPr>
        <w:tc>
          <w:tcPr>
            <w:tcW w:type="dxa" w:w="2500"/>
            <w:shd w:fill="6d28d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Plano</w:t>
            </w:r>
          </w:p>
        </w:tc>
        <w:tc>
          <w:tcPr>
            <w:tcW w:type="dxa" w:w="2500"/>
            <w:shd w:fill="6d28d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Preço</w:t>
            </w:r>
          </w:p>
        </w:tc>
        <w:tc>
          <w:tcPr>
            <w:tcW w:type="dxa" w:w="5080"/>
            <w:shd w:fill="6d28d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Inclui</w:t>
            </w:r>
          </w:p>
        </w:tc>
      </w:tr>
      <w:tr>
        <w:tc>
          <w:tcPr>
            <w:tcW w:type="dxa" w:w="25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Free</w:t>
            </w:r>
          </w:p>
        </w:tc>
        <w:tc>
          <w:tcPr>
            <w:tcW w:type="dxa" w:w="25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R$ 0</w:t>
            </w:r>
          </w:p>
        </w:tc>
        <w:tc>
          <w:tcPr>
            <w:tcW w:type="dxa" w:w="508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Biblioteca de lições (em expansão constante), explicação por texto, 3 análises de IA/dia, XP/badges/streaks</w:t>
            </w:r>
          </w:p>
        </w:tc>
      </w:tr>
      <w:tr>
        <w:tc>
          <w:tcPr>
            <w:tcW w:type="dxa" w:w="2500"/>
            <w:shd w:fill="F5F3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Premium mensal</w:t>
            </w:r>
          </w:p>
        </w:tc>
        <w:tc>
          <w:tcPr>
            <w:tcW w:type="dxa" w:w="2500"/>
            <w:shd w:fill="F5F3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R$ 59,90/mês (de R$ 89,90 — lançamento)</w:t>
            </w:r>
          </w:p>
        </w:tc>
        <w:tc>
          <w:tcPr>
            <w:tcW w:type="dxa" w:w="5080"/>
            <w:shd w:fill="F5F3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Voice Mode, Teach Mode (Teo), criação de lições com IA, IA ilimitada, sync em nuvem</w:t>
            </w:r>
          </w:p>
        </w:tc>
      </w:tr>
      <w:tr>
        <w:tc>
          <w:tcPr>
            <w:tcW w:type="dxa" w:w="25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Premium anual</w:t>
            </w:r>
          </w:p>
        </w:tc>
        <w:tc>
          <w:tcPr>
            <w:tcW w:type="dxa" w:w="25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R$ 598,80/ano (R$ 49,90/mês, de R$ 1.078,80 — lançamento)</w:t>
            </w:r>
          </w:p>
        </w:tc>
        <w:tc>
          <w:tcPr>
            <w:tcW w:type="dxa" w:w="508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Mesmos benefícios do mensal — 2 meses grátis frente ao plano mensal</w:t>
            </w:r>
          </w:p>
        </w:tc>
      </w:tr>
    </w:tbl>
    <w:p>
      <w:pPr>
        <w:pStyle w:val="Heading2"/>
        <w:spacing w:after="120" w:before="300"/>
      </w:pPr>
      <w:r>
        <w:rPr>
          <w:b/>
          <w:bCs/>
          <w:color w:val="1a1a2e"/>
          <w:sz w:val="26"/>
          <w:szCs w:val="26"/>
        </w:rPr>
        <w:t xml:space="preserve">6.1 Racional de precificação</w:t>
      </w:r>
    </w:p>
    <w:p>
      <w:pPr>
        <w:spacing w:after="160" w:line="300"/>
      </w:pPr>
      <w:r>
        <w:rPr>
          <w:color w:val="222222"/>
          <w:sz w:val="22"/>
          <w:szCs w:val="22"/>
        </w:rPr>
        <w:t xml:space="preserve">O preço anterior (R$ 9,90/mês · R$ 79,90/ano) foi revisado após auditoria: ele foi ancorado contra o Duolingo (Super R$ 14,99, Max R$ 33,33) — um produto de categoria diferente (reconhecimento passivo vs. produção ativa de linguagem) — e ficava abaixo do necessário para sustentar a marca como "neuroaprendizado" com lastro científico. Preço baixo demais sinaliza baixo valor, o oposto do posicionamento construído nas Seções 2 e 4.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2"/>
          <w:szCs w:val="22"/>
        </w:rPr>
        <w:t xml:space="preserve">Custo real de API (piso, não teto do preço): FeynLearn usa GPT-4o-mini (US$ 0,15 / 1M tokens de entrada, US$ 0,60 / 1M de saída) e Whisper (US$ 0,006/minuto) para o feedback de IA e o Voice Mode. Mesmo um usuário Premium com uso intenso (~300 interações de feedback por mês, todas com áudio) gera um custo de API estimado entre US$ 0,50 e US$ 2,00/mês — cerca de R$ 2,50 a R$ 10,00/mês na cotação atual (~R$ 5,10). É um custo marginal muito baixo: não é ele que deveria estar definindo o preço.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2"/>
          <w:szCs w:val="22"/>
        </w:rPr>
        <w:t xml:space="preserve">Margem de sobra: mesmo no cenário de uso mais pesado (~R$ 10–19/mês de API por usuário), o custo de IA consome no máximo ~30% da receita do plano anual (R$ 49,90/mês) — sobrando margem bruta de 70%+ para cobrir taxa do Mercado Pago (~5%), infraestrutura (Supabase/Clerk) e financiar a produção de conteúdo da Teo e aquisição paga, conforme pedido: cobrir o custo de API "com folga".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2"/>
          <w:szCs w:val="22"/>
        </w:rPr>
        <w:t xml:space="preserve">Ancoragem (Al Ries / técnica clássica de pricing): a comparação de referência deixa de ser o Duolingo e passa a ser o tutor humano — Cambly em uso real e aula particular custam de R$ 250 a R$ 800+/mês (ver Seção 3.2). Contra essa âncora, R$ 59,90/mês é "uma fração do preço", não "o app mais barato da categoria" — reforça percepção de valor em vez de percepção de pechincha.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2"/>
          <w:szCs w:val="22"/>
        </w:rPr>
        <w:t xml:space="preserve">Preço-por-dia como microcopy de conversão: R$ 59,90/mês equivale a ~R$ 2,00/dia; o plano anual, a ~R$ 1,66/dia — menos que um café, para praticar todos os dias. Usar essa framing na tela /pricing e em remarketing.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2"/>
          <w:szCs w:val="22"/>
        </w:rPr>
        <w:t xml:space="preserve">Desconto anual como "2 meses grátis", não como "%": R$ 598,80/ano equivale a pagar 10 meses e ganhar 2 — mensagem mais concreta e persuasiva do que "17% de desconto" (efeito de ancoragem bem documentado em pricing de assinatura).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2"/>
          <w:szCs w:val="22"/>
        </w:rPr>
        <w:t xml:space="preserve">Preço de tabela + desconto de lançamento (já implementado na tela /pricing do app): R$ 89,90/mês é o preço "cheio" riscado, e R$ 59,90/mês aparece como "33% OFF de lançamento" (o anual usa R$ 1.078,80 riscado → R$ 598,80, 44% OFF). Esse contraste reforça a âncora alta (R$ 89,90) antes de mostrar o preço real, e cria urgência de aproveitar a condição de lançamento — sem, no entanto, prometer prazo de expiração que ainda não foi definido pelo produto.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2"/>
          <w:szCs w:val="22"/>
        </w:rPr>
        <w:t xml:space="preserve">Preço-isca (charm pricing): manter terminação ",90" em ambos os planos — convenção já reconhecida pelo consumidor brasileiro (usada pelo próprio Duolingo, Cambly, Netflix etc.), reduz fricção percebida sem alterar o valor real.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2"/>
          <w:szCs w:val="22"/>
        </w:rPr>
        <w:t xml:space="preserve">Gatilho de urgência estrutural: o Free permanece deliberadamente limitado (3 análises de IA/dia, sem Voice Mode, sem Teach Mode/Teo) — não para punir o usuário gratuito, mas para que o paywall apareça no momento de maior intenção (ele já engajou, já sentiu o valor, quer mais).</w:t>
      </w:r>
    </w:p>
    <w:p>
      <w:pPr>
        <w:spacing w:after="160" w:line="300"/>
      </w:pPr>
      <w:r>
        <w:rPr>
          <w:color w:val="222222"/>
          <w:sz w:val="22"/>
          <w:szCs w:val="22"/>
        </w:rPr>
        <w:t xml:space="preserve">Nota: como o app vai crescer continuamente sua biblioteca de lições, nenhum material de marketing deve citar um número fixo de lições — usar sempre "biblioteca de lições" ou "biblioteca em expansão".</w:t>
      </w:r>
    </w:p>
    <w:p>
      <w:pPr>
        <w:pStyle w:val="Heading1"/>
        <w:pBdr>
          <w:bottom w:val="single" w:color="8b5cf6" w:sz="8" w:space="4"/>
        </w:pBdr>
        <w:spacing w:after="200" w:before="400"/>
      </w:pPr>
      <w:r>
        <w:rPr>
          <w:b/>
          <w:bCs/>
          <w:color w:val="6d28d9"/>
          <w:sz w:val="32"/>
          <w:szCs w:val="32"/>
        </w:rPr>
        <w:t xml:space="preserve">7. Plano de 90 Dias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300"/>
        <w:gridCol w:w="2500"/>
        <w:gridCol w:w="4280"/>
      </w:tblGrid>
      <w:tr>
        <w:trPr>
          <w:tblHeader/>
        </w:trPr>
        <w:tc>
          <w:tcPr>
            <w:tcW w:type="dxa" w:w="2000"/>
            <w:shd w:fill="6d28d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1300"/>
            <w:shd w:fill="6d28d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Semanas</w:t>
            </w:r>
          </w:p>
        </w:tc>
        <w:tc>
          <w:tcPr>
            <w:tcW w:type="dxa" w:w="2500"/>
            <w:shd w:fill="6d28d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Foco</w:t>
            </w:r>
          </w:p>
        </w:tc>
        <w:tc>
          <w:tcPr>
            <w:tcW w:type="dxa" w:w="4280"/>
            <w:shd w:fill="6d28d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Entregáveis</w:t>
            </w:r>
          </w:p>
        </w:tc>
      </w:tr>
      <w:tr>
        <w:tc>
          <w:tcPr>
            <w:tcW w:type="dxa" w:w="20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1. Preparação</w:t>
            </w:r>
          </w:p>
        </w:tc>
        <w:tc>
          <w:tcPr>
            <w:tcW w:type="dxa" w:w="13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1–2</w:t>
            </w:r>
          </w:p>
        </w:tc>
        <w:tc>
          <w:tcPr>
            <w:tcW w:type="dxa" w:w="25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Ativos de marketing e landing page</w:t>
            </w:r>
          </w:p>
        </w:tc>
        <w:tc>
          <w:tcPr>
            <w:tcW w:type="dxa" w:w="428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Perfis otimizados, 10 Reels/TikToks prontos, landing page, pixel/analytics instalado</w:t>
            </w:r>
          </w:p>
        </w:tc>
      </w:tr>
      <w:tr>
        <w:tc>
          <w:tcPr>
            <w:tcW w:type="dxa" w:w="2000"/>
            <w:shd w:fill="F5F3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2. Lançamento orgânico</w:t>
            </w:r>
          </w:p>
        </w:tc>
        <w:tc>
          <w:tcPr>
            <w:tcW w:type="dxa" w:w="1300"/>
            <w:shd w:fill="F5F3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3–6</w:t>
            </w:r>
          </w:p>
        </w:tc>
        <w:tc>
          <w:tcPr>
            <w:tcW w:type="dxa" w:w="2500"/>
            <w:shd w:fill="F5F3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Testar formatos e mensagens</w:t>
            </w:r>
          </w:p>
        </w:tc>
        <w:tc>
          <w:tcPr>
            <w:tcW w:type="dxa" w:w="4280"/>
            <w:shd w:fill="F5F3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Publicação diária, monitorar melhores criativos, produção intensiva de conteúdo com a Teo</w:t>
            </w:r>
          </w:p>
        </w:tc>
      </w:tr>
      <w:tr>
        <w:tc>
          <w:tcPr>
            <w:tcW w:type="dxa" w:w="20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3. Mídia paga (teste)</w:t>
            </w:r>
          </w:p>
        </w:tc>
        <w:tc>
          <w:tcPr>
            <w:tcW w:type="dxa" w:w="13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7–10</w:t>
            </w:r>
          </w:p>
        </w:tc>
        <w:tc>
          <w:tcPr>
            <w:tcW w:type="dxa" w:w="25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Validar CAC em TikTok Ads e Meta Ads</w:t>
            </w:r>
          </w:p>
        </w:tc>
        <w:tc>
          <w:tcPr>
            <w:tcW w:type="dxa" w:w="428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Campanhas de audiência/leads/vendas (metodologia Sobral) testando Category Entry Points e criativos, budget de teste controlado</w:t>
            </w:r>
          </w:p>
        </w:tc>
      </w:tr>
      <w:tr>
        <w:tc>
          <w:tcPr>
            <w:tcW w:type="dxa" w:w="2000"/>
            <w:shd w:fill="F5F3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4. Escala e otimização</w:t>
            </w:r>
          </w:p>
        </w:tc>
        <w:tc>
          <w:tcPr>
            <w:tcW w:type="dxa" w:w="1300"/>
            <w:shd w:fill="F5F3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11–13</w:t>
            </w:r>
          </w:p>
        </w:tc>
        <w:tc>
          <w:tcPr>
            <w:tcW w:type="dxa" w:w="2500"/>
            <w:shd w:fill="F5F3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Escalar o que funciona, ativar remarketing</w:t>
            </w:r>
          </w:p>
        </w:tc>
        <w:tc>
          <w:tcPr>
            <w:tcW w:type="dxa" w:w="4280"/>
            <w:shd w:fill="F5F3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Escala dos criativos vencedores, revisão de funil de conversão Free → Premium</w:t>
            </w:r>
          </w:p>
        </w:tc>
      </w:tr>
    </w:tbl>
    <w:p>
      <w:pPr>
        <w:pStyle w:val="Heading1"/>
        <w:pBdr>
          <w:bottom w:val="single" w:color="8b5cf6" w:sz="8" w:space="4"/>
        </w:pBdr>
        <w:spacing w:after="200" w:before="400"/>
      </w:pPr>
      <w:r>
        <w:rPr>
          <w:b/>
          <w:bCs/>
          <w:color w:val="6d28d9"/>
          <w:sz w:val="32"/>
          <w:szCs w:val="32"/>
        </w:rPr>
        <w:t xml:space="preserve">8. KPIs e Métricas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2"/>
          <w:szCs w:val="22"/>
        </w:rPr>
        <w:t xml:space="preserve">Aquisição: instalações, custo por instalação (CPI), CAC por canal.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2"/>
          <w:szCs w:val="22"/>
        </w:rPr>
        <w:t xml:space="preserve">Ativação: % que completa o Placement Test e a 1ª lição.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2"/>
          <w:szCs w:val="22"/>
        </w:rPr>
        <w:t xml:space="preserve">Engajamento/Retenção: D1, D7, D30 retention; streak médio.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2"/>
          <w:szCs w:val="22"/>
        </w:rPr>
        <w:t xml:space="preserve">Monetização: taxa de conversão Free → Premium; LTV; LTV:CAC.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2"/>
          <w:szCs w:val="22"/>
        </w:rPr>
        <w:t xml:space="preserve">Conteúdo: alcance, taxa de engajamento e de compartilhamento por Reel/TikTok.</w:t>
      </w:r>
    </w:p>
    <w:p>
      <w:pPr>
        <w:pStyle w:val="Heading1"/>
        <w:pBdr>
          <w:bottom w:val="single" w:color="8b5cf6" w:sz="8" w:space="4"/>
        </w:pBdr>
        <w:spacing w:after="200" w:before="400"/>
      </w:pPr>
      <w:r>
        <w:rPr>
          <w:b/>
          <w:bCs/>
          <w:color w:val="6d28d9"/>
          <w:sz w:val="32"/>
          <w:szCs w:val="32"/>
        </w:rPr>
        <w:t xml:space="preserve">9. Visão de Expansão: Além do Inglês e do Brasil</w:t>
      </w:r>
    </w:p>
    <w:p>
      <w:pPr>
        <w:spacing w:after="160" w:line="300"/>
      </w:pPr>
      <w:r>
        <w:rPr>
          <w:color w:val="222222"/>
          <w:sz w:val="22"/>
          <w:szCs w:val="22"/>
        </w:rPr>
        <w:t xml:space="preserve">O nome "FeynLearn" foi construído em torno do método (Técnica Feynman), não do idioma-alvo nem do mercado — diferente de nomes como "EnglishLearn" ou "CursoDeInglês", que amarram a marca a um único produto. Isso é um ativo estratégico: a mesma tecnologia (leitura → explicação → feedback de IA) funciona para qualquer idioma, e o roadmap do produto já prevê espanhol e francês como próximos passos.</w:t>
      </w:r>
    </w:p>
    <w:p>
      <w:pPr>
        <w:spacing w:after="160" w:line="300"/>
      </w:pPr>
      <w:r>
        <w:rPr>
          <w:color w:val="222222"/>
          <w:sz w:val="22"/>
          <w:szCs w:val="22"/>
        </w:rPr>
        <w:t xml:space="preserve">Recomendação: tratar Brasil + inglês como o beachhead — o mercado onde o produto será validado, testado e otimizado nos próximos 90 dias — sem reposicionar a marca para isso. Na prática, isso significa evitar taglines que soem como "o app definitivo de inglês" e preferir formulações centradas no método ("o método FeynLearn aplicado ao inglês"), preservando a possibilidade de estender a mesma marca, a mesma prova social e o mesmo conteúdo institucional para novos idiomas e países sem precisar recomeçar do zero.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2"/>
          <w:szCs w:val="22"/>
        </w:rPr>
        <w:t xml:space="preserve">Curto prazo (0–90 dias): 100% do orçamento e da comunicação focados em Brasil + inglês, conforme este plano.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2"/>
          <w:szCs w:val="22"/>
        </w:rPr>
        <w:t xml:space="preserve">Médio prazo (pós-validação): avaliar espanhol como segundo idioma (maior similaridade de produção de conteúdo, mercado latino-americano adjacente) e expansão para Portugal como segundo mercado de língua portuguesa.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2"/>
          <w:szCs w:val="22"/>
        </w:rPr>
        <w:t xml:space="preserve">Cuidado de marca: registrar/reservar domínios e handles sem "english"/"inglês" no nome sempre que possível, e manter os ativos institucionais (master doc, deck, landing) com uma seção clara de "o método" separada de "o produto de inglês".</w:t>
      </w:r>
    </w:p>
    <w:p>
      <w:pPr>
        <w:pStyle w:val="Heading1"/>
        <w:pBdr>
          <w:bottom w:val="single" w:color="8b5cf6" w:sz="8" w:space="4"/>
        </w:pBdr>
        <w:spacing w:after="200" w:before="400"/>
      </w:pPr>
      <w:r>
        <w:rPr>
          <w:b/>
          <w:bCs/>
          <w:color w:val="6d28d9"/>
          <w:sz w:val="32"/>
          <w:szCs w:val="32"/>
        </w:rPr>
        <w:t xml:space="preserve">10. Próximos Passos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2"/>
          <w:szCs w:val="22"/>
        </w:rPr>
        <w:t xml:space="preserve">Validar orçamento disponível para mídia paga (fase 3 do plano).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2"/>
          <w:szCs w:val="22"/>
        </w:rPr>
        <w:t xml:space="preserve">Produzir os primeiros 10 vídeos com base no calendário de conteúdo em anexo.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2"/>
          <w:szCs w:val="22"/>
        </w:rPr>
        <w:t xml:space="preserve">Configurar analytics/eventos de funil (registro, placement test, 1ª lição, upgrade Premium).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2"/>
          <w:szCs w:val="22"/>
        </w:rPr>
        <w:t xml:space="preserve">Testar a pronúncia de "FeynLearn" com falantes reais de português antes de investir mais em campanha.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2"/>
          <w:szCs w:val="22"/>
        </w:rPr>
        <w:t xml:space="preserve">Produzir o primeiro lote de conteúdo protagonizado pela Teo, com base no brief de identidade visual (arquivo em anexo).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2"/>
          <w:szCs w:val="22"/>
        </w:rPr>
        <w:t xml:space="preserve">Revisar este plano ao final da fase 2 (semana 6) com dados reais de engajamento orgânico.</w:t>
      </w:r>
    </w:p>
    <w:p>
      <w:pPr>
        <w:pStyle w:val="Heading1"/>
        <w:pBdr>
          <w:bottom w:val="single" w:color="8b5cf6" w:sz="8" w:space="4"/>
        </w:pBdr>
        <w:spacing w:after="200" w:before="400"/>
      </w:pPr>
      <w:r>
        <w:rPr>
          <w:b/>
          <w:bCs/>
          <w:color w:val="6d28d9"/>
          <w:sz w:val="32"/>
          <w:szCs w:val="32"/>
        </w:rPr>
        <w:t xml:space="preserve">11. Metodologia: Brand Squad</w:t>
      </w:r>
    </w:p>
    <w:p>
      <w:pPr>
        <w:spacing w:after="160" w:line="300"/>
      </w:pPr>
      <w:r>
        <w:rPr>
          <w:color w:val="222222"/>
          <w:sz w:val="22"/>
          <w:szCs w:val="22"/>
        </w:rPr>
        <w:t xml:space="preserve">O posicionamento deste plano passou por uma auditoria multi-especialista antes de ser finalizado, combinando perspectivas historicamente divergentes de branding para evitar pontos cegos: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2"/>
          <w:szCs w:val="22"/>
        </w:rPr>
        <w:t xml:space="preserve">Al Ries (posicionamento e foco) — pressionou por uma única palavra a possuir: neuroaprendizado.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2"/>
          <w:szCs w:val="22"/>
        </w:rPr>
        <w:t xml:space="preserve">Marty Neumeier (diferenciação radical) — validou o teste do "only" e cobrou uma versão "sentimento de barriga", não acadêmica, para o primeiro contato.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2"/>
          <w:szCs w:val="22"/>
        </w:rPr>
        <w:t xml:space="preserve">Byron Sharp (crescimento com evidência) — questionou o excesso de diferenciação e a segmentação estreita; motivou a migração de personas para Category Entry Points e o foco em ativos distintivos consistentes.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2"/>
          <w:szCs w:val="22"/>
        </w:rPr>
        <w:t xml:space="preserve">Emily Heyward (marca de startup) — aplicou o Why Test (medo de ficar pra trás) e alertou sobre o risco de nome ligado a uma figura histórica.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2"/>
          <w:szCs w:val="22"/>
        </w:rPr>
        <w:t xml:space="preserve">Donald Miller (StoryBrand) — cobrou que o usuário seja o herói e o FeynLearn o guia, não o contrário.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2"/>
          <w:szCs w:val="22"/>
        </w:rPr>
        <w:t xml:space="preserve">Naming Strategist — identificou o risco de pronúncia de "FeynLearn" em português, base da recomendação de elevar o Teo como personagem.</w:t>
      </w:r>
    </w:p>
    <w:p>
      <w:pPr>
        <w:spacing w:after="160" w:line="300"/>
      </w:pPr>
      <w:r>
        <w:rPr>
          <w:color w:val="222222"/>
          <w:sz w:val="22"/>
          <w:szCs w:val="22"/>
        </w:rPr>
        <w:t xml:space="preserve">Uma segunda leva de especialistas já foi acionada para transformar a estratégia em peças finais: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2"/>
          <w:szCs w:val="22"/>
        </w:rPr>
        <w:t xml:space="preserve">Joanna Wiebe e Blair Warren (Copy Squad) — copy da landing page, combinando linguagem de conversão orientada a dados com os 5 gatilhos emocionais (sonho, justificativa de fracasso, medo, suspeita confirmada, inimigo comum).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2"/>
          <w:szCs w:val="22"/>
        </w:rPr>
        <w:t xml:space="preserve">Visual Generator (Design Squad) — brief de identidade visual e conceito inicial da Teo como personagem.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2"/>
          <w:szCs w:val="22"/>
        </w:rPr>
        <w:t xml:space="preserve">Pedro Sobral (Traffic Masters) — estrutura da campanha de mídia paga da Fase 3, incluindo a decisão de não alocar orçamento a cachês de influenciadores nesta fase.</w:t>
      </w:r>
    </w:p>
    <w:p>
      <w:pPr>
        <w:spacing w:after="160" w:line="300"/>
      </w:pPr>
      <w:r>
        <w:rPr>
          <w:color w:val="222222"/>
          <w:sz w:val="22"/>
          <w:szCs w:val="22"/>
        </w:rPr>
        <w:t xml:space="preserve">Próxima etapa planejada: ux-designer e ui-engineer (Design Squad) para validar a aplicação da Teo dentro do fluxo do app e implementá-la como componente reutilizável.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15"/>
      </w:pPr>
    </w:lvl>
    <w:lvl w:ilvl="1" w15:tentative="1">
      <w:start w:val="1"/>
      <w:numFmt w:val="bullet"/>
      <w:lvlText w:val="◦"/>
      <w:lvlJc w:val="left"/>
      <w:pPr>
        <w:ind w:left="863" w:hanging="21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2026-07-17T05:26:57.825Z</dcterms:created>
  <dcterms:modified xsi:type="dcterms:W3CDTF">2026-07-17T05:26:57.826Z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