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7F7F7F"/>
          <w:sz w:val="16"/>
        </w:rPr>
        <w:t>DRAFT · CONFIDENTIAL · FOR FOUNDER REVIEW · NOT AN OFFER OF SECURITIES</w:t>
      </w:r>
    </w:p>
    <w:p>
      <w:pPr>
        <w:spacing w:after="0"/>
      </w:pPr>
      <w:r>
        <w:rPr>
          <w:b/>
          <w:i w:val="0"/>
          <w:color w:val="1F2A44"/>
          <w:sz w:val="52"/>
        </w:rPr>
        <w:t>X — Intellect in Continuity</w:t>
      </w:r>
    </w:p>
    <w:p>
      <w:pPr>
        <w:spacing w:after="40"/>
      </w:pPr>
      <w:r>
        <w:rPr>
          <w:b w:val="0"/>
          <w:i w:val="0"/>
          <w:color w:val="3B4A6B"/>
          <w:sz w:val="30"/>
        </w:rPr>
        <w:t>Round 1 Investor Memorandum</w:t>
      </w:r>
    </w:p>
    <w:p>
      <w:pPr>
        <w:spacing w:after="200"/>
      </w:pPr>
      <w:r>
        <w:rPr>
          <w:b w:val="0"/>
          <w:i w:val="0"/>
          <w:color w:val="595959"/>
          <w:sz w:val="21"/>
        </w:rPr>
        <w:t>₹180 Cr for 3.0% · ₹6,000 Cr post-money (≈ US$667 mn) · four milestone-gated tranches</w:t>
      </w:r>
    </w:p>
    <w:p>
      <w:r>
        <w:rPr>
          <w:b w:val="0"/>
          <w:i/>
          <w:color w:val="595959"/>
          <w:sz w:val="18"/>
        </w:rPr>
        <w:t>Prepared from Frozen Core 1.0 (2 September 2026) and the accompanying model X_Round1_Financial_Model.xlsx. Where this memo states a number, it comes from that model; where the model uses an assumption, this memo says so. Claims carry the Canon’s own epistemic labels — Known, Demonstrated, Inferred, Assumed, Uncertain, Disputed — because calibrated honesty is part of the product.</w:t>
      </w:r>
    </w:p>
    <w:p>
      <w:pPr>
        <w:pStyle w:val="Heading1"/>
      </w:pPr>
      <w:r>
        <w:t>1. The ask in one page</w:t>
      </w:r>
    </w:p>
    <w:tbl>
      <w:tblPr>
        <w:tblStyle w:val="TableGrid"/>
        <w:tblW w:type="auto" w:w="0"/>
        <w:jc w:val="center"/>
        <w:tblLayout w:type="fixed"/>
        <w:tblLook w:firstColumn="1" w:firstRow="1" w:lastColumn="0" w:lastRow="0" w:noHBand="0" w:noVBand="1" w:val="04A0"/>
      </w:tblPr>
      <w:tblGrid>
        <w:gridCol w:w="4873"/>
        <w:gridCol w:w="4873"/>
      </w:tblGrid>
      <w:tr>
        <w:tc>
          <w:tcPr>
            <w:tcW w:type="dxa" w:w="2041"/>
            <w:shd w:val="clear" w:color="auto" w:fill="3B4A6B"/>
          </w:tcPr>
          <w:p>
            <w:pPr>
              <w:spacing w:after="20"/>
            </w:pPr>
            <w:r/>
            <w:r>
              <w:rPr>
                <w:b/>
                <w:color w:val="FFFFFF"/>
                <w:sz w:val="18"/>
              </w:rPr>
              <w:t>Item</w:t>
            </w:r>
          </w:p>
        </w:tc>
        <w:tc>
          <w:tcPr>
            <w:tcW w:type="dxa" w:w="7370"/>
            <w:shd w:val="clear" w:color="auto" w:fill="3B4A6B"/>
          </w:tcPr>
          <w:p>
            <w:pPr>
              <w:spacing w:after="20"/>
            </w:pPr>
            <w:r/>
            <w:r>
              <w:rPr>
                <w:b/>
                <w:color w:val="FFFFFF"/>
                <w:sz w:val="18"/>
              </w:rPr>
              <w:t>Proposal</w:t>
            </w:r>
          </w:p>
        </w:tc>
      </w:tr>
      <w:tr>
        <w:tc>
          <w:tcPr>
            <w:tcW w:type="dxa" w:w="2041"/>
          </w:tcPr>
          <w:p>
            <w:pPr>
              <w:spacing w:after="20"/>
            </w:pPr>
            <w:r/>
            <w:r>
              <w:rPr>
                <w:b/>
                <w:sz w:val="18"/>
              </w:rPr>
              <w:t>Raise</w:t>
            </w:r>
          </w:p>
        </w:tc>
        <w:tc>
          <w:tcPr>
            <w:tcW w:type="dxa" w:w="7370"/>
          </w:tcPr>
          <w:p>
            <w:pPr>
              <w:spacing w:after="20"/>
            </w:pPr>
            <w:r/>
            <w:r>
              <w:rPr>
                <w:sz w:val="18"/>
              </w:rPr>
              <w:t>₹180 Cr Round 1 (US$20 mn at FX 90; FX is an assumption)</w:t>
            </w:r>
          </w:p>
        </w:tc>
      </w:tr>
      <w:tr>
        <w:tc>
          <w:tcPr>
            <w:tcW w:type="dxa" w:w="2041"/>
          </w:tcPr>
          <w:p>
            <w:pPr>
              <w:spacing w:after="20"/>
            </w:pPr>
            <w:r/>
            <w:r>
              <w:rPr>
                <w:b/>
                <w:sz w:val="18"/>
              </w:rPr>
              <w:t>Valuation</w:t>
            </w:r>
          </w:p>
        </w:tc>
        <w:tc>
          <w:tcPr>
            <w:tcW w:type="dxa" w:w="7370"/>
          </w:tcPr>
          <w:p>
            <w:pPr>
              <w:spacing w:after="20"/>
            </w:pPr>
            <w:r/>
            <w:r>
              <w:rPr>
                <w:sz w:val="18"/>
              </w:rPr>
              <w:t>₹6,000 Cr post-money; ₹5,820 Cr pre-money; new investors hold 3.0%; each 1% costs ₹60 Cr</w:t>
            </w:r>
          </w:p>
        </w:tc>
      </w:tr>
      <w:tr>
        <w:tc>
          <w:tcPr>
            <w:tcW w:type="dxa" w:w="2041"/>
          </w:tcPr>
          <w:p>
            <w:pPr>
              <w:spacing w:after="20"/>
            </w:pPr>
            <w:r/>
            <w:r>
              <w:rPr>
                <w:b/>
                <w:sz w:val="18"/>
              </w:rPr>
              <w:t>Instrument</w:t>
            </w:r>
          </w:p>
        </w:tc>
        <w:tc>
          <w:tcPr>
            <w:tcW w:type="dxa" w:w="7370"/>
          </w:tcPr>
          <w:p>
            <w:pPr>
              <w:spacing w:after="20"/>
            </w:pPr>
            <w:r/>
            <w:r>
              <w:rPr>
                <w:sz w:val="18"/>
              </w:rPr>
              <w:t>Compulsorily Convertible Preference Shares (CCPS) with a 1x non-participating liquidation preference (proposed; counsel to confirm)</w:t>
            </w:r>
          </w:p>
        </w:tc>
      </w:tr>
      <w:tr>
        <w:tc>
          <w:tcPr>
            <w:tcW w:type="dxa" w:w="2041"/>
          </w:tcPr>
          <w:p>
            <w:pPr>
              <w:spacing w:after="20"/>
            </w:pPr>
            <w:r/>
            <w:r>
              <w:rPr>
                <w:b/>
                <w:sz w:val="18"/>
              </w:rPr>
              <w:t>Release</w:t>
            </w:r>
          </w:p>
        </w:tc>
        <w:tc>
          <w:tcPr>
            <w:tcW w:type="dxa" w:w="7370"/>
          </w:tcPr>
          <w:p>
            <w:pPr>
              <w:spacing w:after="20"/>
            </w:pPr>
            <w:r/>
            <w:r>
              <w:rPr>
                <w:sz w:val="18"/>
              </w:rPr>
              <w:t>Four tranches of ₹45 Cr: at closing, and on Gates 1, 2 and 3 verified by an independent Scientific Advisory Board</w:t>
            </w:r>
          </w:p>
        </w:tc>
      </w:tr>
      <w:tr>
        <w:tc>
          <w:tcPr>
            <w:tcW w:type="dxa" w:w="2041"/>
          </w:tcPr>
          <w:p>
            <w:pPr>
              <w:spacing w:after="20"/>
            </w:pPr>
            <w:r/>
            <w:r>
              <w:rPr>
                <w:b/>
                <w:sz w:val="18"/>
              </w:rPr>
              <w:t>Runway</w:t>
            </w:r>
          </w:p>
        </w:tc>
        <w:tc>
          <w:tcPr>
            <w:tcW w:type="dxa" w:w="7370"/>
          </w:tcPr>
          <w:p>
            <w:pPr>
              <w:spacing w:after="20"/>
            </w:pPr>
            <w:r/>
            <w:r>
              <w:rPr>
                <w:sz w:val="18"/>
              </w:rPr>
              <w:t>16 quarters of planned spend (₹160.7 Cr) with a ₹19.3 Cr contingency reserve (10.7%) — all from this round, no revenue assumed</w:t>
            </w:r>
          </w:p>
        </w:tc>
      </w:tr>
      <w:tr>
        <w:tc>
          <w:tcPr>
            <w:tcW w:type="dxa" w:w="2041"/>
          </w:tcPr>
          <w:p>
            <w:pPr>
              <w:spacing w:after="20"/>
            </w:pPr>
            <w:r/>
            <w:r>
              <w:rPr>
                <w:b/>
                <w:sz w:val="18"/>
              </w:rPr>
              <w:t>Investor syndicate</w:t>
            </w:r>
          </w:p>
        </w:tc>
        <w:tc>
          <w:tcPr>
            <w:tcW w:type="dxa" w:w="7370"/>
          </w:tcPr>
          <w:p>
            <w:pPr>
              <w:spacing w:after="20"/>
            </w:pPr>
            <w:r/>
            <w:r>
              <w:rPr>
                <w:sz w:val="18"/>
              </w:rPr>
              <w:t>Lead investor + anchors + family-office/UHNI pool + angel-fund tail (a ₹180 Cr round cannot be filled by angel funds alone)</w:t>
            </w:r>
          </w:p>
        </w:tc>
      </w:tr>
      <w:tr>
        <w:tc>
          <w:tcPr>
            <w:tcW w:type="dxa" w:w="2041"/>
          </w:tcPr>
          <w:p>
            <w:pPr>
              <w:spacing w:after="20"/>
            </w:pPr>
            <w:r/>
            <w:r>
              <w:rPr>
                <w:b/>
                <w:sz w:val="18"/>
              </w:rPr>
              <w:t>What the investor owns</w:t>
            </w:r>
          </w:p>
        </w:tc>
        <w:tc>
          <w:tcPr>
            <w:tcW w:type="dxa" w:w="7370"/>
          </w:tcPr>
          <w:p>
            <w:pPr>
              <w:spacing w:after="20"/>
            </w:pPr>
            <w:r/>
            <w:r>
              <w:rPr>
                <w:sz w:val="18"/>
              </w:rPr>
              <w:t>A stage-gated option on the continuity layer that sits between every model, agent and device — the layer the Canon calls Cognitive Continuity, carried by Portable Cognitive Identity</w:t>
            </w:r>
          </w:p>
        </w:tc>
      </w:tr>
    </w:tbl>
    <w:p>
      <w:pPr>
        <w:spacing w:after="40"/>
      </w:pPr>
    </w:p>
    <w:p>
      <w:pPr>
        <w:spacing w:after="40"/>
      </w:pPr>
      <w:r>
        <w:rPr>
          <w:b/>
          <w:i w:val="0"/>
        </w:rPr>
        <w:t>The one-line case:</w:t>
      </w:r>
    </w:p>
    <w:p>
      <w:r>
        <w:rPr>
          <w:b w:val="0"/>
          <w:i w:val="0"/>
        </w:rPr>
        <w:t>AI is making capability abundant; the scarce thing becomes governed judgment and continuity. X is the proposal for the infrastructure that makes that continuity portable, permissioned and owned by the person or institution it serves — and this round is priced and structured so that capital is released only as that proposal is proven.</w:t>
      </w:r>
    </w:p>
    <w:p>
      <w:pPr>
        <w:pStyle w:val="Heading1"/>
      </w:pPr>
      <w:r>
        <w:t>2. The thesis — in the Canon’s own terms</w:t>
      </w:r>
    </w:p>
    <w:p>
      <w:r>
        <w:rPr>
          <w:b w:val="0"/>
          <w:i w:val="0"/>
        </w:rPr>
        <w:t>Frozen Core 1.0 (slides 1–80) makes six moves. Each is stated below with the state this memo proposes for it; the founder should confirm or change each label.</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154"/>
            <w:shd w:val="clear" w:color="auto" w:fill="3B4A6B"/>
          </w:tcPr>
          <w:p>
            <w:pPr>
              <w:spacing w:after="20"/>
            </w:pPr>
            <w:r/>
            <w:r>
              <w:rPr>
                <w:b/>
                <w:color w:val="FFFFFF"/>
                <w:sz w:val="17"/>
              </w:rPr>
              <w:t>Canon move</w:t>
            </w:r>
          </w:p>
        </w:tc>
        <w:tc>
          <w:tcPr>
            <w:tcW w:type="dxa" w:w="5443"/>
            <w:shd w:val="clear" w:color="auto" w:fill="3B4A6B"/>
          </w:tcPr>
          <w:p>
            <w:pPr>
              <w:spacing w:after="20"/>
            </w:pPr>
            <w:r/>
            <w:r>
              <w:rPr>
                <w:b/>
                <w:color w:val="FFFFFF"/>
                <w:sz w:val="17"/>
              </w:rPr>
              <w:t>Plain statement</w:t>
            </w:r>
          </w:p>
        </w:tc>
        <w:tc>
          <w:tcPr>
            <w:tcW w:type="dxa" w:w="1814"/>
            <w:shd w:val="clear" w:color="auto" w:fill="3B4A6B"/>
          </w:tcPr>
          <w:p>
            <w:pPr>
              <w:spacing w:after="20"/>
            </w:pPr>
            <w:r/>
            <w:r>
              <w:rPr>
                <w:b/>
                <w:color w:val="FFFFFF"/>
                <w:sz w:val="17"/>
              </w:rPr>
              <w:t>Proposed state</w:t>
            </w:r>
          </w:p>
        </w:tc>
      </w:tr>
      <w:tr>
        <w:tc>
          <w:tcPr>
            <w:tcW w:type="dxa" w:w="2154"/>
          </w:tcPr>
          <w:p>
            <w:pPr>
              <w:spacing w:after="20"/>
            </w:pPr>
            <w:r/>
            <w:r>
              <w:rPr>
                <w:b/>
                <w:sz w:val="17"/>
              </w:rPr>
              <w:t>The Era (Act I)</w:t>
            </w:r>
          </w:p>
        </w:tc>
        <w:tc>
          <w:tcPr>
            <w:tcW w:type="dxa" w:w="5443"/>
          </w:tcPr>
          <w:p>
            <w:pPr>
              <w:spacing w:after="20"/>
            </w:pPr>
            <w:r/>
            <w:r>
              <w:rPr>
                <w:sz w:val="17"/>
              </w:rPr>
              <w:t>AI makes knowledge, memory, reasoning, creation and execution abundant. What should be believed, chosen and protected becomes more consequential than what can be done.</w:t>
            </w:r>
          </w:p>
        </w:tc>
        <w:tc>
          <w:tcPr>
            <w:tcW w:type="dxa" w:w="1814"/>
          </w:tcPr>
          <w:p>
            <w:pPr>
              <w:spacing w:after="20"/>
            </w:pPr>
            <w:r/>
            <w:r>
              <w:rPr>
                <w:sz w:val="17"/>
              </w:rPr>
              <w:t>INFERRED</w:t>
            </w:r>
          </w:p>
        </w:tc>
      </w:tr>
      <w:tr>
        <w:tc>
          <w:tcPr>
            <w:tcW w:type="dxa" w:w="2154"/>
          </w:tcPr>
          <w:p>
            <w:pPr>
              <w:spacing w:after="20"/>
            </w:pPr>
            <w:r/>
            <w:r>
              <w:rPr>
                <w:b/>
                <w:sz w:val="17"/>
              </w:rPr>
              <w:t>Reality · Signal · Lens (Act II)</w:t>
            </w:r>
          </w:p>
        </w:tc>
        <w:tc>
          <w:tcPr>
            <w:tcW w:type="dxa" w:w="5443"/>
          </w:tcPr>
          <w:p>
            <w:pPr>
              <w:spacing w:after="20"/>
            </w:pPr>
            <w:r/>
            <w:r>
              <w:rPr>
                <w:sz w:val="17"/>
              </w:rPr>
              <w:t>Every intelligence sees through a Lens. Wrong lenses make great intelligence confidently wrong; more intelligence makes hidden assumptions faster and more persuasive.</w:t>
            </w:r>
          </w:p>
        </w:tc>
        <w:tc>
          <w:tcPr>
            <w:tcW w:type="dxa" w:w="1814"/>
          </w:tcPr>
          <w:p>
            <w:pPr>
              <w:spacing w:after="20"/>
            </w:pPr>
            <w:r/>
            <w:r>
              <w:rPr>
                <w:sz w:val="17"/>
              </w:rPr>
              <w:t>INFERRED</w:t>
            </w:r>
          </w:p>
        </w:tc>
      </w:tr>
      <w:tr>
        <w:tc>
          <w:tcPr>
            <w:tcW w:type="dxa" w:w="2154"/>
          </w:tcPr>
          <w:p>
            <w:pPr>
              <w:spacing w:after="20"/>
            </w:pPr>
            <w:r/>
            <w:r>
              <w:rPr>
                <w:b/>
                <w:sz w:val="17"/>
              </w:rPr>
              <w:t>Truthiness · Intellect (Act III)</w:t>
            </w:r>
          </w:p>
        </w:tc>
        <w:tc>
          <w:tcPr>
            <w:tcW w:type="dxa" w:w="5443"/>
          </w:tcPr>
          <w:p>
            <w:pPr>
              <w:spacing w:after="20"/>
            </w:pPr>
            <w:r/>
            <w:r>
              <w:rPr>
                <w:sz w:val="17"/>
              </w:rPr>
              <w:t>Claims must carry their epistemic state. Intelligence solves within a frame; Intellect examines the frame, chooses ends and owns consequence.</w:t>
            </w:r>
          </w:p>
        </w:tc>
        <w:tc>
          <w:tcPr>
            <w:tcW w:type="dxa" w:w="1814"/>
          </w:tcPr>
          <w:p>
            <w:pPr>
              <w:spacing w:after="20"/>
            </w:pPr>
            <w:r/>
            <w:r>
              <w:rPr>
                <w:sz w:val="17"/>
              </w:rPr>
              <w:t>Governing principle (not a market claim)</w:t>
            </w:r>
          </w:p>
        </w:tc>
      </w:tr>
      <w:tr>
        <w:tc>
          <w:tcPr>
            <w:tcW w:type="dxa" w:w="2154"/>
          </w:tcPr>
          <w:p>
            <w:pPr>
              <w:spacing w:after="20"/>
            </w:pPr>
            <w:r/>
            <w:r>
              <w:rPr>
                <w:b/>
                <w:sz w:val="17"/>
              </w:rPr>
              <w:t>Interpretive Intelligence (Act IV)</w:t>
            </w:r>
          </w:p>
        </w:tc>
        <w:tc>
          <w:tcPr>
            <w:tcW w:type="dxa" w:w="5443"/>
          </w:tcPr>
          <w:p>
            <w:pPr>
              <w:spacing w:after="20"/>
            </w:pPr>
            <w:r/>
            <w:r>
              <w:rPr>
                <w:sz w:val="17"/>
              </w:rPr>
              <w:t>Intellect made operational through four capabilities: Awareness, Coordination, Calibration, Recursion. Not explainability, orchestration or reasoning alone.</w:t>
            </w:r>
          </w:p>
        </w:tc>
        <w:tc>
          <w:tcPr>
            <w:tcW w:type="dxa" w:w="1814"/>
          </w:tcPr>
          <w:p>
            <w:pPr>
              <w:spacing w:after="20"/>
            </w:pPr>
            <w:r/>
            <w:r>
              <w:rPr>
                <w:sz w:val="17"/>
              </w:rPr>
              <w:t>ASSUMED until benchmarked</w:t>
            </w:r>
          </w:p>
        </w:tc>
      </w:tr>
      <w:tr>
        <w:tc>
          <w:tcPr>
            <w:tcW w:type="dxa" w:w="2154"/>
          </w:tcPr>
          <w:p>
            <w:pPr>
              <w:spacing w:after="20"/>
            </w:pPr>
            <w:r/>
            <w:r>
              <w:rPr>
                <w:b/>
                <w:sz w:val="17"/>
              </w:rPr>
              <w:t>Cognitive Continuity · Portable Cognitive Identity (Act V)</w:t>
            </w:r>
          </w:p>
        </w:tc>
        <w:tc>
          <w:tcPr>
            <w:tcW w:type="dxa" w:w="5443"/>
          </w:tcPr>
          <w:p>
            <w:pPr>
              <w:spacing w:after="20"/>
            </w:pPr>
            <w:r/>
            <w:r>
              <w:rPr>
                <w:sz w:val="17"/>
              </w:rPr>
              <w:t>Memory is not continuity. Identity, context, judgment, permission and learning should persist across sessions, models, agents and devices — governed, selectively disclosed, and owned by its legitimate owner.</w:t>
            </w:r>
          </w:p>
        </w:tc>
        <w:tc>
          <w:tcPr>
            <w:tcW w:type="dxa" w:w="1814"/>
          </w:tcPr>
          <w:p>
            <w:pPr>
              <w:spacing w:after="20"/>
            </w:pPr>
            <w:r/>
            <w:r>
              <w:rPr>
                <w:sz w:val="17"/>
              </w:rPr>
              <w:t>ASSUMED (specified; reference implementation pending)</w:t>
            </w:r>
          </w:p>
        </w:tc>
      </w:tr>
      <w:tr>
        <w:tc>
          <w:tcPr>
            <w:tcW w:type="dxa" w:w="2154"/>
          </w:tcPr>
          <w:p>
            <w:pPr>
              <w:spacing w:after="20"/>
            </w:pPr>
            <w:r/>
            <w:r>
              <w:rPr>
                <w:b/>
                <w:sz w:val="17"/>
              </w:rPr>
              <w:t>X (Act VI)</w:t>
            </w:r>
          </w:p>
        </w:tc>
        <w:tc>
          <w:tcPr>
            <w:tcW w:type="dxa" w:w="5443"/>
          </w:tcPr>
          <w:p>
            <w:pPr>
              <w:spacing w:after="20"/>
            </w:pPr>
            <w:r/>
            <w:r>
              <w:rPr>
                <w:sz w:val="17"/>
              </w:rPr>
              <w:t>X is Interpretive Intelligence activated through Cognitive Continuity — Intellect in continuity. XOS operationalises it across systems.</w:t>
            </w:r>
          </w:p>
        </w:tc>
        <w:tc>
          <w:tcPr>
            <w:tcW w:type="dxa" w:w="1814"/>
          </w:tcPr>
          <w:p>
            <w:pPr>
              <w:spacing w:after="20"/>
            </w:pPr>
            <w:r/>
            <w:r>
              <w:rPr>
                <w:sz w:val="17"/>
              </w:rPr>
              <w:t>Definition</w:t>
            </w:r>
          </w:p>
        </w:tc>
      </w:tr>
    </w:tbl>
    <w:p>
      <w:pPr>
        <w:spacing w:after="40"/>
      </w:pPr>
    </w:p>
    <w:p>
      <w:pPr>
        <w:spacing w:after="40"/>
      </w:pPr>
      <w:r>
        <w:rPr>
          <w:b/>
          <w:i w:val="0"/>
        </w:rPr>
        <w:t>Commercial hierarchy (Canon slide 58):</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928"/>
            <w:shd w:val="clear" w:color="auto" w:fill="3B4A6B"/>
          </w:tcPr>
          <w:p>
            <w:pPr>
              <w:spacing w:after="20"/>
            </w:pPr>
            <w:r/>
            <w:r>
              <w:rPr>
                <w:b/>
                <w:color w:val="FFFFFF"/>
                <w:sz w:val="17"/>
              </w:rPr>
              <w:t>Element</w:t>
            </w:r>
          </w:p>
        </w:tc>
        <w:tc>
          <w:tcPr>
            <w:tcW w:type="dxa" w:w="2948"/>
            <w:shd w:val="clear" w:color="auto" w:fill="3B4A6B"/>
          </w:tcPr>
          <w:p>
            <w:pPr>
              <w:spacing w:after="20"/>
            </w:pPr>
            <w:r/>
            <w:r>
              <w:rPr>
                <w:b/>
                <w:color w:val="FFFFFF"/>
                <w:sz w:val="17"/>
              </w:rPr>
              <w:t>Canonical role</w:t>
            </w:r>
          </w:p>
        </w:tc>
        <w:tc>
          <w:tcPr>
            <w:tcW w:type="dxa" w:w="4535"/>
            <w:shd w:val="clear" w:color="auto" w:fill="3B4A6B"/>
          </w:tcPr>
          <w:p>
            <w:pPr>
              <w:spacing w:after="20"/>
            </w:pPr>
            <w:r/>
            <w:r>
              <w:rPr>
                <w:b/>
                <w:color w:val="FFFFFF"/>
                <w:sz w:val="17"/>
              </w:rPr>
              <w:t>Why it matters</w:t>
            </w:r>
          </w:p>
        </w:tc>
      </w:tr>
      <w:tr>
        <w:tc>
          <w:tcPr>
            <w:tcW w:type="dxa" w:w="1928"/>
          </w:tcPr>
          <w:p>
            <w:pPr>
              <w:spacing w:after="20"/>
            </w:pPr>
            <w:r/>
            <w:r>
              <w:rPr>
                <w:b/>
                <w:sz w:val="17"/>
              </w:rPr>
              <w:t>Category</w:t>
            </w:r>
          </w:p>
        </w:tc>
        <w:tc>
          <w:tcPr>
            <w:tcW w:type="dxa" w:w="2948"/>
          </w:tcPr>
          <w:p>
            <w:pPr>
              <w:spacing w:after="20"/>
            </w:pPr>
            <w:r/>
            <w:r>
              <w:rPr>
                <w:sz w:val="17"/>
              </w:rPr>
              <w:t>Interpretive Intelligence</w:t>
            </w:r>
          </w:p>
        </w:tc>
        <w:tc>
          <w:tcPr>
            <w:tcW w:type="dxa" w:w="4535"/>
          </w:tcPr>
          <w:p>
            <w:pPr>
              <w:spacing w:after="20"/>
            </w:pPr>
            <w:r/>
            <w:r>
              <w:rPr>
                <w:sz w:val="17"/>
              </w:rPr>
              <w:t>Defines the missing capability</w:t>
            </w:r>
          </w:p>
        </w:tc>
      </w:tr>
      <w:tr>
        <w:tc>
          <w:tcPr>
            <w:tcW w:type="dxa" w:w="1928"/>
          </w:tcPr>
          <w:p>
            <w:pPr>
              <w:spacing w:after="20"/>
            </w:pPr>
            <w:r/>
            <w:r>
              <w:rPr>
                <w:b/>
                <w:sz w:val="17"/>
              </w:rPr>
              <w:t>Value</w:t>
            </w:r>
          </w:p>
        </w:tc>
        <w:tc>
          <w:tcPr>
            <w:tcW w:type="dxa" w:w="2948"/>
          </w:tcPr>
          <w:p>
            <w:pPr>
              <w:spacing w:after="20"/>
            </w:pPr>
            <w:r/>
            <w:r>
              <w:rPr>
                <w:sz w:val="17"/>
              </w:rPr>
              <w:t>Cognitive Continuity</w:t>
            </w:r>
          </w:p>
        </w:tc>
        <w:tc>
          <w:tcPr>
            <w:tcW w:type="dxa" w:w="4535"/>
          </w:tcPr>
          <w:p>
            <w:pPr>
              <w:spacing w:after="20"/>
            </w:pPr>
            <w:r/>
            <w:r>
              <w:rPr>
                <w:sz w:val="17"/>
              </w:rPr>
              <w:t>Explains what must persist</w:t>
            </w:r>
          </w:p>
        </w:tc>
      </w:tr>
      <w:tr>
        <w:tc>
          <w:tcPr>
            <w:tcW w:type="dxa" w:w="1928"/>
          </w:tcPr>
          <w:p>
            <w:pPr>
              <w:spacing w:after="20"/>
            </w:pPr>
            <w:r/>
            <w:r>
              <w:rPr>
                <w:b/>
                <w:sz w:val="17"/>
              </w:rPr>
              <w:t>Product object</w:t>
            </w:r>
          </w:p>
        </w:tc>
        <w:tc>
          <w:tcPr>
            <w:tcW w:type="dxa" w:w="2948"/>
          </w:tcPr>
          <w:p>
            <w:pPr>
              <w:spacing w:after="20"/>
            </w:pPr>
            <w:r/>
            <w:r>
              <w:rPr>
                <w:sz w:val="17"/>
              </w:rPr>
              <w:t>Portable Cognitive Identity</w:t>
            </w:r>
          </w:p>
        </w:tc>
        <w:tc>
          <w:tcPr>
            <w:tcW w:type="dxa" w:w="4535"/>
          </w:tcPr>
          <w:p>
            <w:pPr>
              <w:spacing w:after="20"/>
            </w:pPr>
            <w:r/>
            <w:r>
              <w:rPr>
                <w:sz w:val="17"/>
              </w:rPr>
              <w:t>Makes continuity tangible and transferable</w:t>
            </w:r>
          </w:p>
        </w:tc>
      </w:tr>
      <w:tr>
        <w:tc>
          <w:tcPr>
            <w:tcW w:type="dxa" w:w="1928"/>
          </w:tcPr>
          <w:p>
            <w:pPr>
              <w:spacing w:after="20"/>
            </w:pPr>
            <w:r/>
            <w:r>
              <w:rPr>
                <w:b/>
                <w:sz w:val="17"/>
              </w:rPr>
              <w:t>Architecture</w:t>
            </w:r>
          </w:p>
        </w:tc>
        <w:tc>
          <w:tcPr>
            <w:tcW w:type="dxa" w:w="2948"/>
          </w:tcPr>
          <w:p>
            <w:pPr>
              <w:spacing w:after="20"/>
            </w:pPr>
            <w:r/>
            <w:r>
              <w:rPr>
                <w:sz w:val="17"/>
              </w:rPr>
              <w:t>XOS</w:t>
            </w:r>
          </w:p>
        </w:tc>
        <w:tc>
          <w:tcPr>
            <w:tcW w:type="dxa" w:w="4535"/>
          </w:tcPr>
          <w:p>
            <w:pPr>
              <w:spacing w:after="20"/>
            </w:pPr>
            <w:r/>
            <w:r>
              <w:rPr>
                <w:sz w:val="17"/>
              </w:rPr>
              <w:t>Operationalises the capability across systems</w:t>
            </w:r>
          </w:p>
        </w:tc>
      </w:tr>
    </w:tbl>
    <w:p>
      <w:pPr>
        <w:spacing w:after="40"/>
      </w:pPr>
    </w:p>
    <w:p>
      <w:pPr>
        <w:spacing w:after="40"/>
      </w:pPr>
      <w:r>
        <w:rPr>
          <w:b/>
          <w:i w:val="0"/>
        </w:rPr>
        <w:t>The Super Intellect horizon.</w:t>
      </w:r>
    </w:p>
    <w:p>
      <w:r>
        <w:rPr>
          <w:b w:val="0"/>
          <w:i w:val="0"/>
        </w:rPr>
        <w:t>The long-term ambition — systems that can examine their own frame rather than only optimise within it — is the Stage 3 destination, built with a Co-Creator. It is a horizon, not a near-term product claim. Quantum computing may or may not accelerate it; it does not appear in the Canon extract and no Stage 1–2 milestone depends on it. The model carries it only as a small “frontier research option” line (3.5 Cr) labelled UNCERTAIN.</w:t>
      </w:r>
    </w:p>
    <w:p>
      <w:r>
        <w:rPr>
          <w:b w:val="0"/>
          <w:i/>
          <w:color w:val="7F4F00"/>
          <w:sz w:val="18"/>
        </w:rPr>
        <w:t>Note for the founder: the Canon extract provided stops at slide 80 and does not include the XOS architecture, proof plan or commercial plan that earlier slides promise. Those are what investors will ask for next; the Gate 1 deliverable in this memo is built around them.</w:t>
      </w:r>
    </w:p>
    <w:p>
      <w:pPr>
        <w:pStyle w:val="Heading1"/>
      </w:pPr>
      <w:r>
        <w:t>3. Why India, why now</w:t>
      </w:r>
    </w:p>
    <w:p>
      <w:pPr>
        <w:pStyle w:val="ListBullet"/>
        <w:spacing w:after="40"/>
      </w:pPr>
      <w:r>
        <w:rPr>
          <w:b/>
        </w:rPr>
        <w:t>Sovereign AI is being built here.</w:t>
      </w:r>
      <w:r>
        <w:t xml:space="preserve"> India is funding the model layer with public money — the IndiaAI Mission outlay of about ₹10,372 Cr, subsidised GPU access, and sovereign foundation-model awards such as Sarvam AI. A model layer needs a neutral layer above it that carries identity, permission and continuity across models. X is model-agnostic by design. (State: INFERRED.)</w:t>
      </w:r>
    </w:p>
    <w:p>
      <w:pPr>
        <w:pStyle w:val="ListBullet"/>
        <w:spacing w:after="40"/>
      </w:pPr>
      <w:r>
        <w:rPr>
          <w:b/>
        </w:rPr>
        <w:t>Privacy regulation favours permissioned continuity.</w:t>
      </w:r>
      <w:r>
        <w:t xml:space="preserve"> The Canon’s permission map, memory contract, revocation and selective disclosure align in spirit with consent-centric privacy regimes such as India’s Digital Personal Data Protection Act, 2023. Fit to the Act and its Rules must be confirmed by counsel before it is claimed. (INFERRED — legal opinion is a Gate 1 deliverable.)</w:t>
      </w:r>
    </w:p>
    <w:p>
      <w:pPr>
        <w:pStyle w:val="ListBullet"/>
        <w:spacing w:after="40"/>
      </w:pPr>
      <w:r>
        <w:rPr>
          <w:b/>
        </w:rPr>
        <w:t>The layer above is unclaimed.</w:t>
      </w:r>
      <w:r>
        <w:t xml:space="preserve"> Model vendors can each build proprietary memory. Whoever offers governed, portable continuity across vendors owns the relationship layer. The teaser’s closing question — “Who owns the layer above?” — is the investment question. (State: UNCERTAIN; the counter-lens is vendor lock-in done well.)</w:t>
      </w:r>
    </w:p>
    <w:p>
      <w:pPr>
        <w:pStyle w:val="ListBullet"/>
        <w:spacing w:after="40"/>
      </w:pPr>
      <w:r>
        <w:rPr>
          <w:b/>
        </w:rPr>
        <w:t>Positioning.</w:t>
      </w:r>
      <w:r>
        <w:t xml:space="preserve"> Indian investors are being asked to back an India-origin category-definer rather than a regional copy. This is the “middle of the next era” position the founder wants — earned through proof, not asserted.</w:t>
      </w:r>
    </w:p>
    <w:p>
      <w:pPr>
        <w:pStyle w:val="Heading1"/>
      </w:pPr>
      <w:r>
        <w:t>4. The three-stage roadmap and how the investor is paid</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531"/>
            <w:shd w:val="clear" w:color="auto" w:fill="3B4A6B"/>
          </w:tcPr>
          <w:p>
            <w:pPr>
              <w:spacing w:after="20"/>
            </w:pPr>
            <w:r/>
            <w:r>
              <w:rPr>
                <w:b/>
                <w:color w:val="FFFFFF"/>
                <w:sz w:val="16"/>
              </w:rPr>
              <w:t>Stage</w:t>
            </w:r>
          </w:p>
        </w:tc>
        <w:tc>
          <w:tcPr>
            <w:tcW w:type="dxa" w:w="2608"/>
            <w:shd w:val="clear" w:color="auto" w:fill="3B4A6B"/>
          </w:tcPr>
          <w:p>
            <w:pPr>
              <w:spacing w:after="20"/>
            </w:pPr>
            <w:r/>
            <w:r>
              <w:rPr>
                <w:b/>
                <w:color w:val="FFFFFF"/>
                <w:sz w:val="16"/>
              </w:rPr>
              <w:t>What happens</w:t>
            </w:r>
          </w:p>
        </w:tc>
        <w:tc>
          <w:tcPr>
            <w:tcW w:type="dxa" w:w="2381"/>
            <w:shd w:val="clear" w:color="auto" w:fill="3B4A6B"/>
          </w:tcPr>
          <w:p>
            <w:pPr>
              <w:spacing w:after="20"/>
            </w:pPr>
            <w:r/>
            <w:r>
              <w:rPr>
                <w:b/>
                <w:color w:val="FFFFFF"/>
                <w:sz w:val="16"/>
              </w:rPr>
              <w:t>Gate / evidence</w:t>
            </w:r>
          </w:p>
        </w:tc>
        <w:tc>
          <w:tcPr>
            <w:tcW w:type="dxa" w:w="1417"/>
            <w:shd w:val="clear" w:color="auto" w:fill="3B4A6B"/>
          </w:tcPr>
          <w:p>
            <w:pPr>
              <w:spacing w:after="20"/>
            </w:pPr>
            <w:r/>
            <w:r>
              <w:rPr>
                <w:b/>
                <w:color w:val="FFFFFF"/>
                <w:sz w:val="16"/>
              </w:rPr>
              <w:t>Tranche</w:t>
            </w:r>
          </w:p>
        </w:tc>
        <w:tc>
          <w:tcPr>
            <w:tcW w:type="dxa" w:w="1474"/>
            <w:shd w:val="clear" w:color="auto" w:fill="3B4A6B"/>
          </w:tcPr>
          <w:p>
            <w:pPr>
              <w:spacing w:after="20"/>
            </w:pPr>
            <w:r/>
            <w:r>
              <w:rPr>
                <w:b/>
                <w:color w:val="FFFFFF"/>
                <w:sz w:val="16"/>
              </w:rPr>
              <w:t>Investor outcome</w:t>
            </w:r>
          </w:p>
        </w:tc>
      </w:tr>
      <w:tr>
        <w:tc>
          <w:tcPr>
            <w:tcW w:type="dxa" w:w="1531"/>
          </w:tcPr>
          <w:p>
            <w:pPr>
              <w:spacing w:after="20"/>
            </w:pPr>
            <w:r/>
            <w:r>
              <w:rPr>
                <w:b/>
                <w:sz w:val="16"/>
              </w:rPr>
              <w:t>1 — Monetise the concept (3%)</w:t>
            </w:r>
          </w:p>
        </w:tc>
        <w:tc>
          <w:tcPr>
            <w:tcW w:type="dxa" w:w="2608"/>
          </w:tcPr>
          <w:p>
            <w:pPr>
              <w:spacing w:after="20"/>
            </w:pPr>
            <w:r/>
            <w:r>
              <w:rPr>
                <w:sz w:val="16"/>
              </w:rPr>
              <w:t>Close Round 1. Build the reference implementation of Portable Cognitive Identity and the continuity handshake. Publish the specification.</w:t>
            </w:r>
          </w:p>
        </w:tc>
        <w:tc>
          <w:tcPr>
            <w:tcW w:type="dxa" w:w="2381"/>
          </w:tcPr>
          <w:p>
            <w:pPr>
              <w:spacing w:after="20"/>
            </w:pPr>
            <w:r/>
            <w:r>
              <w:rPr>
                <w:sz w:val="16"/>
              </w:rPr>
              <w:t>Gate 1: works across ≥3 model families; independent validation report; ≥2 design-partner pilots (proposed)</w:t>
            </w:r>
          </w:p>
        </w:tc>
        <w:tc>
          <w:tcPr>
            <w:tcW w:type="dxa" w:w="1417"/>
          </w:tcPr>
          <w:p>
            <w:pPr>
              <w:spacing w:after="20"/>
            </w:pPr>
            <w:r/>
            <w:r>
              <w:rPr>
                <w:sz w:val="16"/>
              </w:rPr>
              <w:t>T1 ₹45 Cr at close → T2 ₹45 Cr at Gate 1</w:t>
            </w:r>
          </w:p>
        </w:tc>
        <w:tc>
          <w:tcPr>
            <w:tcW w:type="dxa" w:w="1474"/>
          </w:tcPr>
          <w:p>
            <w:pPr>
              <w:spacing w:after="20"/>
            </w:pPr>
            <w:r/>
            <w:r>
              <w:rPr>
                <w:sz w:val="16"/>
              </w:rPr>
              <w:t>Capital at risk limited to T1 until proof</w:t>
            </w:r>
          </w:p>
        </w:tc>
      </w:tr>
      <w:tr>
        <w:tc>
          <w:tcPr>
            <w:tcW w:type="dxa" w:w="1531"/>
          </w:tcPr>
          <w:p>
            <w:pPr>
              <w:spacing w:after="20"/>
            </w:pPr>
            <w:r/>
            <w:r>
              <w:rPr>
                <w:b/>
                <w:sz w:val="16"/>
              </w:rPr>
              <w:t>2 — Find the Co-Creator</w:t>
            </w:r>
          </w:p>
        </w:tc>
        <w:tc>
          <w:tcPr>
            <w:tcW w:type="dxa" w:w="2608"/>
          </w:tcPr>
          <w:p>
            <w:pPr>
              <w:spacing w:after="20"/>
            </w:pPr>
            <w:r/>
            <w:r>
              <w:rPr>
                <w:sz w:val="16"/>
              </w:rPr>
              <w:t>Run a structured process with frontier labs, hyperscalers, device OEMs/telcos, sovereign programmes and large Indian groups. Convert pilots to paid evidence.</w:t>
            </w:r>
          </w:p>
        </w:tc>
        <w:tc>
          <w:tcPr>
            <w:tcW w:type="dxa" w:w="2381"/>
          </w:tcPr>
          <w:p>
            <w:pPr>
              <w:spacing w:after="20"/>
            </w:pPr>
            <w:r/>
            <w:r>
              <w:rPr>
                <w:sz w:val="16"/>
              </w:rPr>
              <w:t>Gate 2: ≥5 paid pilots/LOIs; security certification; ≥1 Co-Creator LOI or term sheet (proposed)</w:t>
            </w:r>
          </w:p>
        </w:tc>
        <w:tc>
          <w:tcPr>
            <w:tcW w:type="dxa" w:w="1417"/>
          </w:tcPr>
          <w:p>
            <w:pPr>
              <w:spacing w:after="20"/>
            </w:pPr>
            <w:r/>
            <w:r>
              <w:rPr>
                <w:sz w:val="16"/>
              </w:rPr>
              <w:t>T3 ₹45 Cr</w:t>
            </w:r>
          </w:p>
        </w:tc>
        <w:tc>
          <w:tcPr>
            <w:tcW w:type="dxa" w:w="1474"/>
          </w:tcPr>
          <w:p>
            <w:pPr>
              <w:spacing w:after="20"/>
            </w:pPr>
            <w:r/>
            <w:r>
              <w:rPr>
                <w:sz w:val="16"/>
              </w:rPr>
              <w:t>Value now tied to demand + a named counterparty</w:t>
            </w:r>
          </w:p>
        </w:tc>
      </w:tr>
      <w:tr>
        <w:tc>
          <w:tcPr>
            <w:tcW w:type="dxa" w:w="1531"/>
          </w:tcPr>
          <w:p>
            <w:pPr>
              <w:spacing w:after="20"/>
            </w:pPr>
            <w:r/>
            <w:r>
              <w:rPr>
                <w:b/>
                <w:sz w:val="16"/>
              </w:rPr>
              <w:t>3 — Build with the Co-Creator, or hand over</w:t>
            </w:r>
          </w:p>
        </w:tc>
        <w:tc>
          <w:tcPr>
            <w:tcW w:type="dxa" w:w="2608"/>
          </w:tcPr>
          <w:p>
            <w:pPr>
              <w:spacing w:after="20"/>
            </w:pPr>
            <w:r/>
            <w:r>
              <w:rPr>
                <w:sz w:val="16"/>
              </w:rPr>
              <w:t>(a) Co-create the Super Intellect with the Co-Creator’s compute and distribution; or (b) transfer/licence the research and IP and exit.</w:t>
            </w:r>
          </w:p>
        </w:tc>
        <w:tc>
          <w:tcPr>
            <w:tcW w:type="dxa" w:w="2381"/>
          </w:tcPr>
          <w:p>
            <w:pPr>
              <w:spacing w:after="20"/>
            </w:pPr>
            <w:r/>
            <w:r>
              <w:rPr>
                <w:sz w:val="16"/>
              </w:rPr>
              <w:t>Gate 3: definitive co-creation / option agreement; exclusivity fee received (proposed)</w:t>
            </w:r>
          </w:p>
        </w:tc>
        <w:tc>
          <w:tcPr>
            <w:tcW w:type="dxa" w:w="1417"/>
          </w:tcPr>
          <w:p>
            <w:pPr>
              <w:spacing w:after="20"/>
            </w:pPr>
            <w:r/>
            <w:r>
              <w:rPr>
                <w:sz w:val="16"/>
              </w:rPr>
              <w:t>T4 ₹45 Cr</w:t>
            </w:r>
          </w:p>
        </w:tc>
        <w:tc>
          <w:tcPr>
            <w:tcW w:type="dxa" w:w="1474"/>
          </w:tcPr>
          <w:p>
            <w:pPr>
              <w:spacing w:after="20"/>
            </w:pPr>
            <w:r/>
            <w:r>
              <w:rPr>
                <w:sz w:val="16"/>
              </w:rPr>
              <w:t>Liquidity route (Section 8)</w:t>
            </w:r>
          </w:p>
        </w:tc>
      </w:tr>
    </w:tbl>
    <w:p>
      <w:pPr>
        <w:spacing w:after="40"/>
      </w:pPr>
    </w:p>
    <w:p>
      <w:r>
        <w:rPr>
          <w:b w:val="0"/>
          <w:i w:val="0"/>
        </w:rPr>
        <w:t>Who is a Co-Creator? An organisation that needs governed continuity across many models or devices and has the compute, distribution and balance sheet to scale it. The heavy capital that frontier-scale development demands is intended to sit on the Co-Creator’s balance sheet, which is why Round 1 is sized to prove and place the layer, not to build a frontier system alone.</w:t>
      </w:r>
    </w:p>
    <w:p>
      <w:pPr>
        <w:pStyle w:val="Heading1"/>
      </w:pPr>
      <w:r>
        <w:t>5. The financial model — how to read it</w:t>
      </w:r>
    </w:p>
    <w:p>
      <w:r>
        <w:rPr>
          <w:b w:val="0"/>
          <w:i w:val="0"/>
        </w:rPr>
        <w:t>The workbook has ten sheets. The ones an investor will use: Inputs (every assumption, with an epistemic state), Burn_Plan and Use_of_Funds (where the money goes), Returns (scenario-weighted investor outcomes), Valuation (four lenses) and Truthiness_Ledger (each claim, its limit, counter-lens and falsifier). Checks must read ALL OK.</w:t>
      </w:r>
    </w:p>
    <w:p>
      <w:pPr>
        <w:pStyle w:val="Heading2"/>
      </w:pPr>
      <w:r>
        <w:t>5.1 Spend plan</w:t>
      </w:r>
    </w:p>
    <w:tbl>
      <w:tblPr>
        <w:tblStyle w:val="TableGrid"/>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2494"/>
            <w:shd w:val="clear" w:color="auto" w:fill="3B4A6B"/>
          </w:tcPr>
          <w:p>
            <w:pPr>
              <w:spacing w:after="20"/>
            </w:pPr>
            <w:r/>
            <w:r>
              <w:rPr>
                <w:b/>
                <w:color w:val="FFFFFF"/>
                <w:sz w:val="18"/>
              </w:rPr>
              <w:t>₹ Cr</w:t>
            </w:r>
          </w:p>
        </w:tc>
        <w:tc>
          <w:tcPr>
            <w:tcW w:type="dxa" w:w="1247"/>
            <w:shd w:val="clear" w:color="auto" w:fill="3B4A6B"/>
          </w:tcPr>
          <w:p>
            <w:pPr>
              <w:spacing w:after="20"/>
            </w:pPr>
            <w:r/>
            <w:r>
              <w:rPr>
                <w:b/>
                <w:color w:val="FFFFFF"/>
                <w:sz w:val="18"/>
              </w:rPr>
              <w:t>Year 1</w:t>
            </w:r>
          </w:p>
        </w:tc>
        <w:tc>
          <w:tcPr>
            <w:tcW w:type="dxa" w:w="1247"/>
            <w:shd w:val="clear" w:color="auto" w:fill="3B4A6B"/>
          </w:tcPr>
          <w:p>
            <w:pPr>
              <w:spacing w:after="20"/>
            </w:pPr>
            <w:r/>
            <w:r>
              <w:rPr>
                <w:b/>
                <w:color w:val="FFFFFF"/>
                <w:sz w:val="18"/>
              </w:rPr>
              <w:t>Year 2</w:t>
            </w:r>
          </w:p>
        </w:tc>
        <w:tc>
          <w:tcPr>
            <w:tcW w:type="dxa" w:w="1247"/>
            <w:shd w:val="clear" w:color="auto" w:fill="3B4A6B"/>
          </w:tcPr>
          <w:p>
            <w:pPr>
              <w:spacing w:after="20"/>
            </w:pPr>
            <w:r/>
            <w:r>
              <w:rPr>
                <w:b/>
                <w:color w:val="FFFFFF"/>
                <w:sz w:val="18"/>
              </w:rPr>
              <w:t>Year 3</w:t>
            </w:r>
          </w:p>
        </w:tc>
        <w:tc>
          <w:tcPr>
            <w:tcW w:type="dxa" w:w="1247"/>
            <w:shd w:val="clear" w:color="auto" w:fill="3B4A6B"/>
          </w:tcPr>
          <w:p>
            <w:pPr>
              <w:spacing w:after="20"/>
            </w:pPr>
            <w:r/>
            <w:r>
              <w:rPr>
                <w:b/>
                <w:color w:val="FFFFFF"/>
                <w:sz w:val="18"/>
              </w:rPr>
              <w:t>Year 4</w:t>
            </w:r>
          </w:p>
        </w:tc>
        <w:tc>
          <w:tcPr>
            <w:tcW w:type="dxa" w:w="1247"/>
            <w:shd w:val="clear" w:color="auto" w:fill="3B4A6B"/>
          </w:tcPr>
          <w:p>
            <w:pPr>
              <w:spacing w:after="20"/>
            </w:pPr>
            <w:r/>
            <w:r>
              <w:rPr>
                <w:b/>
                <w:color w:val="FFFFFF"/>
                <w:sz w:val="18"/>
              </w:rPr>
              <w:t>Total</w:t>
            </w:r>
          </w:p>
        </w:tc>
      </w:tr>
      <w:tr>
        <w:tc>
          <w:tcPr>
            <w:tcW w:type="dxa" w:w="2494"/>
          </w:tcPr>
          <w:p>
            <w:pPr>
              <w:spacing w:after="20"/>
            </w:pPr>
            <w:r/>
            <w:r>
              <w:rPr>
                <w:b/>
                <w:sz w:val="18"/>
              </w:rPr>
              <w:t>Programme spend</w:t>
            </w:r>
          </w:p>
        </w:tc>
        <w:tc>
          <w:tcPr>
            <w:tcW w:type="dxa" w:w="1247"/>
          </w:tcPr>
          <w:p>
            <w:pPr>
              <w:spacing w:after="20"/>
            </w:pPr>
            <w:r/>
            <w:r>
              <w:rPr>
                <w:sz w:val="18"/>
              </w:rPr>
              <w:t>29.6</w:t>
            </w:r>
          </w:p>
        </w:tc>
        <w:tc>
          <w:tcPr>
            <w:tcW w:type="dxa" w:w="1247"/>
          </w:tcPr>
          <w:p>
            <w:pPr>
              <w:spacing w:after="20"/>
            </w:pPr>
            <w:r/>
            <w:r>
              <w:rPr>
                <w:sz w:val="18"/>
              </w:rPr>
              <w:t>47.0</w:t>
            </w:r>
          </w:p>
        </w:tc>
        <w:tc>
          <w:tcPr>
            <w:tcW w:type="dxa" w:w="1247"/>
          </w:tcPr>
          <w:p>
            <w:pPr>
              <w:spacing w:after="20"/>
            </w:pPr>
            <w:r/>
            <w:r>
              <w:rPr>
                <w:sz w:val="18"/>
              </w:rPr>
              <w:t>45.5</w:t>
            </w:r>
          </w:p>
        </w:tc>
        <w:tc>
          <w:tcPr>
            <w:tcW w:type="dxa" w:w="1247"/>
          </w:tcPr>
          <w:p>
            <w:pPr>
              <w:spacing w:after="20"/>
            </w:pPr>
            <w:r/>
            <w:r>
              <w:rPr>
                <w:sz w:val="18"/>
              </w:rPr>
              <w:t>38.6</w:t>
            </w:r>
          </w:p>
        </w:tc>
        <w:tc>
          <w:tcPr>
            <w:tcW w:type="dxa" w:w="1247"/>
          </w:tcPr>
          <w:p>
            <w:pPr>
              <w:spacing w:after="20"/>
            </w:pPr>
            <w:r/>
            <w:r>
              <w:rPr>
                <w:sz w:val="18"/>
              </w:rPr>
              <w:t>160.7</w:t>
            </w:r>
          </w:p>
        </w:tc>
      </w:tr>
      <w:tr>
        <w:tc>
          <w:tcPr>
            <w:tcW w:type="dxa" w:w="2494"/>
          </w:tcPr>
          <w:p>
            <w:pPr>
              <w:spacing w:after="20"/>
            </w:pPr>
            <w:r/>
            <w:r>
              <w:rPr>
                <w:b/>
                <w:sz w:val="18"/>
              </w:rPr>
              <w:t>Tranche received</w:t>
            </w:r>
          </w:p>
        </w:tc>
        <w:tc>
          <w:tcPr>
            <w:tcW w:type="dxa" w:w="1247"/>
          </w:tcPr>
          <w:p>
            <w:pPr>
              <w:spacing w:after="20"/>
            </w:pPr>
            <w:r/>
            <w:r>
              <w:rPr>
                <w:sz w:val="18"/>
              </w:rPr>
              <w:t>45.0</w:t>
            </w:r>
          </w:p>
        </w:tc>
        <w:tc>
          <w:tcPr>
            <w:tcW w:type="dxa" w:w="1247"/>
          </w:tcPr>
          <w:p>
            <w:pPr>
              <w:spacing w:after="20"/>
            </w:pPr>
            <w:r/>
            <w:r>
              <w:rPr>
                <w:sz w:val="18"/>
              </w:rPr>
              <w:t>45.0</w:t>
            </w:r>
          </w:p>
        </w:tc>
        <w:tc>
          <w:tcPr>
            <w:tcW w:type="dxa" w:w="1247"/>
          </w:tcPr>
          <w:p>
            <w:pPr>
              <w:spacing w:after="20"/>
            </w:pPr>
            <w:r/>
            <w:r>
              <w:rPr>
                <w:sz w:val="18"/>
              </w:rPr>
              <w:t>45.0</w:t>
            </w:r>
          </w:p>
        </w:tc>
        <w:tc>
          <w:tcPr>
            <w:tcW w:type="dxa" w:w="1247"/>
          </w:tcPr>
          <w:p>
            <w:pPr>
              <w:spacing w:after="20"/>
            </w:pPr>
            <w:r/>
            <w:r>
              <w:rPr>
                <w:sz w:val="18"/>
              </w:rPr>
              <w:t>45.0</w:t>
            </w:r>
          </w:p>
        </w:tc>
        <w:tc>
          <w:tcPr>
            <w:tcW w:type="dxa" w:w="1247"/>
          </w:tcPr>
          <w:p>
            <w:pPr>
              <w:spacing w:after="20"/>
            </w:pPr>
            <w:r/>
            <w:r>
              <w:rPr>
                <w:sz w:val="18"/>
              </w:rPr>
              <w:t>180.0</w:t>
            </w:r>
          </w:p>
        </w:tc>
      </w:tr>
      <w:tr>
        <w:tc>
          <w:tcPr>
            <w:tcW w:type="dxa" w:w="2494"/>
          </w:tcPr>
          <w:p>
            <w:pPr>
              <w:spacing w:after="20"/>
            </w:pPr>
            <w:r/>
            <w:r>
              <w:rPr>
                <w:b/>
                <w:sz w:val="18"/>
              </w:rPr>
              <w:t>Closing cash (round only)</w:t>
            </w:r>
          </w:p>
        </w:tc>
        <w:tc>
          <w:tcPr>
            <w:tcW w:type="dxa" w:w="1247"/>
          </w:tcPr>
          <w:p>
            <w:pPr>
              <w:spacing w:after="20"/>
            </w:pPr>
            <w:r/>
            <w:r>
              <w:rPr>
                <w:sz w:val="18"/>
              </w:rPr>
              <w:t>15.4</w:t>
            </w:r>
          </w:p>
        </w:tc>
        <w:tc>
          <w:tcPr>
            <w:tcW w:type="dxa" w:w="1247"/>
          </w:tcPr>
          <w:p>
            <w:pPr>
              <w:spacing w:after="20"/>
            </w:pPr>
            <w:r/>
            <w:r>
              <w:rPr>
                <w:sz w:val="18"/>
              </w:rPr>
              <w:t>13.4</w:t>
            </w:r>
          </w:p>
        </w:tc>
        <w:tc>
          <w:tcPr>
            <w:tcW w:type="dxa" w:w="1247"/>
          </w:tcPr>
          <w:p>
            <w:pPr>
              <w:spacing w:after="20"/>
            </w:pPr>
            <w:r/>
            <w:r>
              <w:rPr>
                <w:sz w:val="18"/>
              </w:rPr>
              <w:t>12.9</w:t>
            </w:r>
          </w:p>
        </w:tc>
        <w:tc>
          <w:tcPr>
            <w:tcW w:type="dxa" w:w="1247"/>
          </w:tcPr>
          <w:p>
            <w:pPr>
              <w:spacing w:after="20"/>
            </w:pPr>
            <w:r/>
            <w:r>
              <w:rPr>
                <w:sz w:val="18"/>
              </w:rPr>
              <w:t>19.3</w:t>
            </w:r>
          </w:p>
        </w:tc>
        <w:tc>
          <w:tcPr>
            <w:tcW w:type="dxa" w:w="1247"/>
          </w:tcPr>
          <w:p>
            <w:pPr>
              <w:spacing w:after="20"/>
            </w:pPr>
            <w:r/>
            <w:r>
              <w:rPr>
                <w:sz w:val="18"/>
              </w:rPr>
            </w:r>
          </w:p>
        </w:tc>
      </w:tr>
    </w:tbl>
    <w:p>
      <w:pPr>
        <w:spacing w:after="40"/>
      </w:pPr>
    </w:p>
    <w:p>
      <w:r>
        <w:rPr>
          <w:b w:val="0"/>
          <w:i w:val="0"/>
        </w:rPr>
        <w:t>Spend ramps with the team from about 36 people at the end of year 1 to about 45 in steady state. Headcount, loaded cost per head and every cost line are inputs — they are proposals, not facts, and will be replaced by the founder’s hiring plan. (State: ASSUMED.)</w:t>
      </w:r>
    </w:p>
    <w:p>
      <w:pPr>
        <w:pStyle w:val="Heading2"/>
      </w:pPr>
      <w:r>
        <w:t>5.2 Investor outcomes by scenario (illustrative)</w:t>
      </w:r>
    </w:p>
    <w:tbl>
      <w:tblPr>
        <w:tblStyle w:val="TableGrid"/>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4649"/>
            <w:shd w:val="clear" w:color="auto" w:fill="3B4A6B"/>
          </w:tcPr>
          <w:p>
            <w:pPr>
              <w:spacing w:after="20"/>
            </w:pPr>
            <w:r/>
            <w:r>
              <w:rPr>
                <w:b/>
                <w:color w:val="FFFFFF"/>
                <w:sz w:val="16"/>
              </w:rPr>
              <w:t>Scenario</w:t>
            </w:r>
          </w:p>
        </w:tc>
        <w:tc>
          <w:tcPr>
            <w:tcW w:type="dxa" w:w="794"/>
            <w:shd w:val="clear" w:color="auto" w:fill="3B4A6B"/>
          </w:tcPr>
          <w:p>
            <w:pPr>
              <w:spacing w:after="20"/>
            </w:pPr>
            <w:r/>
            <w:r>
              <w:rPr>
                <w:b/>
                <w:color w:val="FFFFFF"/>
                <w:sz w:val="16"/>
              </w:rPr>
              <w:t>Prob.</w:t>
            </w:r>
          </w:p>
        </w:tc>
        <w:tc>
          <w:tcPr>
            <w:tcW w:type="dxa" w:w="1020"/>
            <w:shd w:val="clear" w:color="auto" w:fill="3B4A6B"/>
          </w:tcPr>
          <w:p>
            <w:pPr>
              <w:spacing w:after="20"/>
            </w:pPr>
            <w:r/>
            <w:r>
              <w:rPr>
                <w:b/>
                <w:color w:val="FFFFFF"/>
                <w:sz w:val="16"/>
              </w:rPr>
              <w:t>Invested</w:t>
            </w:r>
          </w:p>
        </w:tc>
        <w:tc>
          <w:tcPr>
            <w:tcW w:type="dxa" w:w="1134"/>
            <w:shd w:val="clear" w:color="auto" w:fill="3B4A6B"/>
          </w:tcPr>
          <w:p>
            <w:pPr>
              <w:spacing w:after="20"/>
            </w:pPr>
            <w:r/>
            <w:r>
              <w:rPr>
                <w:b/>
                <w:color w:val="FFFFFF"/>
                <w:sz w:val="16"/>
              </w:rPr>
              <w:t>Proceeds</w:t>
            </w:r>
          </w:p>
        </w:tc>
        <w:tc>
          <w:tcPr>
            <w:tcW w:type="dxa" w:w="850"/>
            <w:shd w:val="clear" w:color="auto" w:fill="3B4A6B"/>
          </w:tcPr>
          <w:p>
            <w:pPr>
              <w:spacing w:after="20"/>
            </w:pPr>
            <w:r/>
            <w:r>
              <w:rPr>
                <w:b/>
                <w:color w:val="FFFFFF"/>
                <w:sz w:val="16"/>
              </w:rPr>
              <w:t>MOIC</w:t>
            </w:r>
          </w:p>
        </w:tc>
        <w:tc>
          <w:tcPr>
            <w:tcW w:type="dxa" w:w="850"/>
            <w:shd w:val="clear" w:color="auto" w:fill="3B4A6B"/>
          </w:tcPr>
          <w:p>
            <w:pPr>
              <w:spacing w:after="20"/>
            </w:pPr>
            <w:r/>
            <w:r>
              <w:rPr>
                <w:b/>
                <w:color w:val="FFFFFF"/>
                <w:sz w:val="16"/>
              </w:rPr>
              <w:t>Hold</w:t>
            </w:r>
          </w:p>
        </w:tc>
      </w:tr>
      <w:tr>
        <w:tc>
          <w:tcPr>
            <w:tcW w:type="dxa" w:w="4649"/>
          </w:tcPr>
          <w:p>
            <w:pPr>
              <w:spacing w:after="20"/>
            </w:pPr>
            <w:r/>
            <w:r>
              <w:rPr>
                <w:b/>
                <w:sz w:val="16"/>
              </w:rPr>
              <w:t xml:space="preserve">S1 Co-creation: X becomes the continuity layer in the Co-Creator </w:t>
            </w:r>
          </w:p>
        </w:tc>
        <w:tc>
          <w:tcPr>
            <w:tcW w:type="dxa" w:w="794"/>
          </w:tcPr>
          <w:p>
            <w:pPr>
              <w:spacing w:after="20"/>
            </w:pPr>
            <w:r/>
            <w:r>
              <w:rPr>
                <w:sz w:val="16"/>
              </w:rPr>
              <w:t>5%</w:t>
            </w:r>
          </w:p>
        </w:tc>
        <w:tc>
          <w:tcPr>
            <w:tcW w:type="dxa" w:w="1020"/>
          </w:tcPr>
          <w:p>
            <w:pPr>
              <w:spacing w:after="20"/>
            </w:pPr>
            <w:r/>
            <w:r>
              <w:rPr>
                <w:sz w:val="16"/>
              </w:rPr>
              <w:t>180</w:t>
            </w:r>
          </w:p>
        </w:tc>
        <w:tc>
          <w:tcPr>
            <w:tcW w:type="dxa" w:w="1134"/>
          </w:tcPr>
          <w:p>
            <w:pPr>
              <w:spacing w:after="20"/>
            </w:pPr>
            <w:r/>
            <w:r>
              <w:rPr>
                <w:sz w:val="16"/>
              </w:rPr>
              <w:t>1,890.0</w:t>
            </w:r>
          </w:p>
        </w:tc>
        <w:tc>
          <w:tcPr>
            <w:tcW w:type="dxa" w:w="850"/>
          </w:tcPr>
          <w:p>
            <w:pPr>
              <w:spacing w:after="20"/>
            </w:pPr>
            <w:r/>
            <w:r>
              <w:rPr>
                <w:sz w:val="16"/>
              </w:rPr>
              <w:t>10.5x</w:t>
            </w:r>
          </w:p>
        </w:tc>
        <w:tc>
          <w:tcPr>
            <w:tcW w:type="dxa" w:w="850"/>
          </w:tcPr>
          <w:p>
            <w:pPr>
              <w:spacing w:after="20"/>
            </w:pPr>
            <w:r/>
            <w:r>
              <w:rPr>
                <w:sz w:val="16"/>
              </w:rPr>
              <w:t>6 y</w:t>
            </w:r>
          </w:p>
        </w:tc>
      </w:tr>
      <w:tr>
        <w:tc>
          <w:tcPr>
            <w:tcW w:type="dxa" w:w="4649"/>
          </w:tcPr>
          <w:p>
            <w:pPr>
              <w:spacing w:after="20"/>
            </w:pPr>
            <w:r/>
            <w:r>
              <w:rPr>
                <w:b/>
                <w:sz w:val="16"/>
              </w:rPr>
              <w:t>S2 IP / platform sale or exclusive licence to Co-Creator</w:t>
            </w:r>
          </w:p>
        </w:tc>
        <w:tc>
          <w:tcPr>
            <w:tcW w:type="dxa" w:w="794"/>
          </w:tcPr>
          <w:p>
            <w:pPr>
              <w:spacing w:after="20"/>
            </w:pPr>
            <w:r/>
            <w:r>
              <w:rPr>
                <w:sz w:val="16"/>
              </w:rPr>
              <w:t>10%</w:t>
            </w:r>
          </w:p>
        </w:tc>
        <w:tc>
          <w:tcPr>
            <w:tcW w:type="dxa" w:w="1020"/>
          </w:tcPr>
          <w:p>
            <w:pPr>
              <w:spacing w:after="20"/>
            </w:pPr>
            <w:r/>
            <w:r>
              <w:rPr>
                <w:sz w:val="16"/>
              </w:rPr>
              <w:t>180</w:t>
            </w:r>
          </w:p>
        </w:tc>
        <w:tc>
          <w:tcPr>
            <w:tcW w:type="dxa" w:w="1134"/>
          </w:tcPr>
          <w:p>
            <w:pPr>
              <w:spacing w:after="20"/>
            </w:pPr>
            <w:r/>
            <w:r>
              <w:rPr>
                <w:sz w:val="16"/>
              </w:rPr>
              <w:t>765.0</w:t>
            </w:r>
          </w:p>
        </w:tc>
        <w:tc>
          <w:tcPr>
            <w:tcW w:type="dxa" w:w="850"/>
          </w:tcPr>
          <w:p>
            <w:pPr>
              <w:spacing w:after="20"/>
            </w:pPr>
            <w:r/>
            <w:r>
              <w:rPr>
                <w:sz w:val="16"/>
              </w:rPr>
              <w:t>4.2x</w:t>
            </w:r>
          </w:p>
        </w:tc>
        <w:tc>
          <w:tcPr>
            <w:tcW w:type="dxa" w:w="850"/>
          </w:tcPr>
          <w:p>
            <w:pPr>
              <w:spacing w:after="20"/>
            </w:pPr>
            <w:r/>
            <w:r>
              <w:rPr>
                <w:sz w:val="16"/>
              </w:rPr>
              <w:t>5 y</w:t>
            </w:r>
          </w:p>
        </w:tc>
      </w:tr>
      <w:tr>
        <w:tc>
          <w:tcPr>
            <w:tcW w:type="dxa" w:w="4649"/>
          </w:tcPr>
          <w:p>
            <w:pPr>
              <w:spacing w:after="20"/>
            </w:pPr>
            <w:r/>
            <w:r>
              <w:rPr>
                <w:b/>
                <w:sz w:val="16"/>
              </w:rPr>
              <w:t>S3 Partial: non-exclusive licence + team/IP transfer</w:t>
            </w:r>
          </w:p>
        </w:tc>
        <w:tc>
          <w:tcPr>
            <w:tcW w:type="dxa" w:w="794"/>
          </w:tcPr>
          <w:p>
            <w:pPr>
              <w:spacing w:after="20"/>
            </w:pPr>
            <w:r/>
            <w:r>
              <w:rPr>
                <w:sz w:val="16"/>
              </w:rPr>
              <w:t>15%</w:t>
            </w:r>
          </w:p>
        </w:tc>
        <w:tc>
          <w:tcPr>
            <w:tcW w:type="dxa" w:w="1020"/>
          </w:tcPr>
          <w:p>
            <w:pPr>
              <w:spacing w:after="20"/>
            </w:pPr>
            <w:r/>
            <w:r>
              <w:rPr>
                <w:sz w:val="16"/>
              </w:rPr>
              <w:t>180</w:t>
            </w:r>
          </w:p>
        </w:tc>
        <w:tc>
          <w:tcPr>
            <w:tcW w:type="dxa" w:w="1134"/>
          </w:tcPr>
          <w:p>
            <w:pPr>
              <w:spacing w:after="20"/>
            </w:pPr>
            <w:r/>
            <w:r>
              <w:rPr>
                <w:sz w:val="16"/>
              </w:rPr>
              <w:t>180.0</w:t>
            </w:r>
          </w:p>
        </w:tc>
        <w:tc>
          <w:tcPr>
            <w:tcW w:type="dxa" w:w="850"/>
          </w:tcPr>
          <w:p>
            <w:pPr>
              <w:spacing w:after="20"/>
            </w:pPr>
            <w:r/>
            <w:r>
              <w:rPr>
                <w:sz w:val="16"/>
              </w:rPr>
              <w:t>1.0x</w:t>
            </w:r>
          </w:p>
        </w:tc>
        <w:tc>
          <w:tcPr>
            <w:tcW w:type="dxa" w:w="850"/>
          </w:tcPr>
          <w:p>
            <w:pPr>
              <w:spacing w:after="20"/>
            </w:pPr>
            <w:r/>
            <w:r>
              <w:rPr>
                <w:sz w:val="16"/>
              </w:rPr>
              <w:t>4 y</w:t>
            </w:r>
          </w:p>
        </w:tc>
      </w:tr>
      <w:tr>
        <w:tc>
          <w:tcPr>
            <w:tcW w:type="dxa" w:w="4649"/>
          </w:tcPr>
          <w:p>
            <w:pPr>
              <w:spacing w:after="20"/>
            </w:pPr>
            <w:r/>
            <w:r>
              <w:rPr>
                <w:b/>
                <w:sz w:val="16"/>
              </w:rPr>
              <w:t>S4 Stops after Gate 3 not met (T4 never released)</w:t>
            </w:r>
          </w:p>
        </w:tc>
        <w:tc>
          <w:tcPr>
            <w:tcW w:type="dxa" w:w="794"/>
          </w:tcPr>
          <w:p>
            <w:pPr>
              <w:spacing w:after="20"/>
            </w:pPr>
            <w:r/>
            <w:r>
              <w:rPr>
                <w:sz w:val="16"/>
              </w:rPr>
              <w:t>10%</w:t>
            </w:r>
          </w:p>
        </w:tc>
        <w:tc>
          <w:tcPr>
            <w:tcW w:type="dxa" w:w="1020"/>
          </w:tcPr>
          <w:p>
            <w:pPr>
              <w:spacing w:after="20"/>
            </w:pPr>
            <w:r/>
            <w:r>
              <w:rPr>
                <w:sz w:val="16"/>
              </w:rPr>
              <w:t>135</w:t>
            </w:r>
          </w:p>
        </w:tc>
        <w:tc>
          <w:tcPr>
            <w:tcW w:type="dxa" w:w="1134"/>
          </w:tcPr>
          <w:p>
            <w:pPr>
              <w:spacing w:after="20"/>
            </w:pPr>
            <w:r/>
            <w:r>
              <w:rPr>
                <w:sz w:val="16"/>
              </w:rPr>
              <w:t>27.0</w:t>
            </w:r>
          </w:p>
        </w:tc>
        <w:tc>
          <w:tcPr>
            <w:tcW w:type="dxa" w:w="850"/>
          </w:tcPr>
          <w:p>
            <w:pPr>
              <w:spacing w:after="20"/>
            </w:pPr>
            <w:r/>
            <w:r>
              <w:rPr>
                <w:sz w:val="16"/>
              </w:rPr>
              <w:t>0.2x</w:t>
            </w:r>
          </w:p>
        </w:tc>
        <w:tc>
          <w:tcPr>
            <w:tcW w:type="dxa" w:w="850"/>
          </w:tcPr>
          <w:p>
            <w:pPr>
              <w:spacing w:after="20"/>
            </w:pPr>
            <w:r/>
            <w:r>
              <w:rPr>
                <w:sz w:val="16"/>
              </w:rPr>
              <w:t>3 y</w:t>
            </w:r>
          </w:p>
        </w:tc>
      </w:tr>
      <w:tr>
        <w:tc>
          <w:tcPr>
            <w:tcW w:type="dxa" w:w="4649"/>
          </w:tcPr>
          <w:p>
            <w:pPr>
              <w:spacing w:after="20"/>
            </w:pPr>
            <w:r/>
            <w:r>
              <w:rPr>
                <w:b/>
                <w:sz w:val="16"/>
              </w:rPr>
              <w:t>S5 Stops at Gate 2 (T3 never released)</w:t>
            </w:r>
          </w:p>
        </w:tc>
        <w:tc>
          <w:tcPr>
            <w:tcW w:type="dxa" w:w="794"/>
          </w:tcPr>
          <w:p>
            <w:pPr>
              <w:spacing w:after="20"/>
            </w:pPr>
            <w:r/>
            <w:r>
              <w:rPr>
                <w:sz w:val="16"/>
              </w:rPr>
              <w:t>25%</w:t>
            </w:r>
          </w:p>
        </w:tc>
        <w:tc>
          <w:tcPr>
            <w:tcW w:type="dxa" w:w="1020"/>
          </w:tcPr>
          <w:p>
            <w:pPr>
              <w:spacing w:after="20"/>
            </w:pPr>
            <w:r/>
            <w:r>
              <w:rPr>
                <w:sz w:val="16"/>
              </w:rPr>
              <w:t>90</w:t>
            </w:r>
          </w:p>
        </w:tc>
        <w:tc>
          <w:tcPr>
            <w:tcW w:type="dxa" w:w="1134"/>
          </w:tcPr>
          <w:p>
            <w:pPr>
              <w:spacing w:after="20"/>
            </w:pPr>
            <w:r/>
            <w:r>
              <w:rPr>
                <w:sz w:val="16"/>
              </w:rPr>
              <w:t>22.5</w:t>
            </w:r>
          </w:p>
        </w:tc>
        <w:tc>
          <w:tcPr>
            <w:tcW w:type="dxa" w:w="850"/>
          </w:tcPr>
          <w:p>
            <w:pPr>
              <w:spacing w:after="20"/>
            </w:pPr>
            <w:r/>
            <w:r>
              <w:rPr>
                <w:sz w:val="16"/>
              </w:rPr>
              <w:t>0.2x</w:t>
            </w:r>
          </w:p>
        </w:tc>
        <w:tc>
          <w:tcPr>
            <w:tcW w:type="dxa" w:w="850"/>
          </w:tcPr>
          <w:p>
            <w:pPr>
              <w:spacing w:after="20"/>
            </w:pPr>
            <w:r/>
            <w:r>
              <w:rPr>
                <w:sz w:val="16"/>
              </w:rPr>
              <w:t>2 y</w:t>
            </w:r>
          </w:p>
        </w:tc>
      </w:tr>
      <w:tr>
        <w:tc>
          <w:tcPr>
            <w:tcW w:type="dxa" w:w="4649"/>
          </w:tcPr>
          <w:p>
            <w:pPr>
              <w:spacing w:after="20"/>
            </w:pPr>
            <w:r/>
            <w:r>
              <w:rPr>
                <w:b/>
                <w:sz w:val="16"/>
              </w:rPr>
              <w:t>S6 Stops at Gate 1 (T2 never released)</w:t>
            </w:r>
          </w:p>
        </w:tc>
        <w:tc>
          <w:tcPr>
            <w:tcW w:type="dxa" w:w="794"/>
          </w:tcPr>
          <w:p>
            <w:pPr>
              <w:spacing w:after="20"/>
            </w:pPr>
            <w:r/>
            <w:r>
              <w:rPr>
                <w:sz w:val="16"/>
              </w:rPr>
              <w:t>35%</w:t>
            </w:r>
          </w:p>
        </w:tc>
        <w:tc>
          <w:tcPr>
            <w:tcW w:type="dxa" w:w="1020"/>
          </w:tcPr>
          <w:p>
            <w:pPr>
              <w:spacing w:after="20"/>
            </w:pPr>
            <w:r/>
            <w:r>
              <w:rPr>
                <w:sz w:val="16"/>
              </w:rPr>
              <w:t>45</w:t>
            </w:r>
          </w:p>
        </w:tc>
        <w:tc>
          <w:tcPr>
            <w:tcW w:type="dxa" w:w="1134"/>
          </w:tcPr>
          <w:p>
            <w:pPr>
              <w:spacing w:after="20"/>
            </w:pPr>
            <w:r/>
            <w:r>
              <w:rPr>
                <w:sz w:val="16"/>
              </w:rPr>
              <w:t>13.5</w:t>
            </w:r>
          </w:p>
        </w:tc>
        <w:tc>
          <w:tcPr>
            <w:tcW w:type="dxa" w:w="850"/>
          </w:tcPr>
          <w:p>
            <w:pPr>
              <w:spacing w:after="20"/>
            </w:pPr>
            <w:r/>
            <w:r>
              <w:rPr>
                <w:sz w:val="16"/>
              </w:rPr>
              <w:t>0.3x</w:t>
            </w:r>
          </w:p>
        </w:tc>
        <w:tc>
          <w:tcPr>
            <w:tcW w:type="dxa" w:w="850"/>
          </w:tcPr>
          <w:p>
            <w:pPr>
              <w:spacing w:after="20"/>
            </w:pPr>
            <w:r/>
            <w:r>
              <w:rPr>
                <w:sz w:val="16"/>
              </w:rPr>
              <w:t>1 y</w:t>
            </w:r>
          </w:p>
        </w:tc>
      </w:tr>
    </w:tbl>
    <w:p>
      <w:pPr>
        <w:spacing w:after="40"/>
      </w:pPr>
    </w:p>
    <w:tbl>
      <w:tblPr>
        <w:tblStyle w:val="TableGrid"/>
        <w:tblW w:type="auto" w:w="0"/>
        <w:jc w:val="center"/>
        <w:tblLayout w:type="fixed"/>
        <w:tblLook w:firstColumn="1" w:firstRow="1" w:lastColumn="0" w:lastRow="0" w:noHBand="0" w:noVBand="1" w:val="04A0"/>
      </w:tblPr>
      <w:tblGrid>
        <w:gridCol w:w="4873"/>
        <w:gridCol w:w="4873"/>
      </w:tblGrid>
      <w:tr>
        <w:tc>
          <w:tcPr>
            <w:tcW w:type="dxa" w:w="5669"/>
            <w:shd w:val="clear" w:color="auto" w:fill="3B4A6B"/>
          </w:tcPr>
          <w:p>
            <w:pPr>
              <w:spacing w:after="20"/>
            </w:pPr>
            <w:r/>
            <w:r>
              <w:rPr>
                <w:b/>
                <w:color w:val="FFFFFF"/>
                <w:sz w:val="18"/>
              </w:rPr>
              <w:t>Headline output</w:t>
            </w:r>
          </w:p>
        </w:tc>
        <w:tc>
          <w:tcPr>
            <w:tcW w:type="dxa" w:w="2835"/>
            <w:shd w:val="clear" w:color="auto" w:fill="3B4A6B"/>
          </w:tcPr>
          <w:p>
            <w:pPr>
              <w:spacing w:after="20"/>
            </w:pPr>
            <w:r/>
            <w:r>
              <w:rPr>
                <w:b/>
                <w:color w:val="FFFFFF"/>
                <w:sz w:val="18"/>
              </w:rPr>
              <w:t>Value</w:t>
            </w:r>
          </w:p>
        </w:tc>
      </w:tr>
      <w:tr>
        <w:tc>
          <w:tcPr>
            <w:tcW w:type="dxa" w:w="5669"/>
          </w:tcPr>
          <w:p>
            <w:pPr>
              <w:spacing w:after="20"/>
            </w:pPr>
            <w:r/>
            <w:r>
              <w:rPr>
                <w:b/>
                <w:sz w:val="18"/>
              </w:rPr>
              <w:t>Best case (S1)</w:t>
            </w:r>
          </w:p>
        </w:tc>
        <w:tc>
          <w:tcPr>
            <w:tcW w:type="dxa" w:w="2835"/>
          </w:tcPr>
          <w:p>
            <w:pPr>
              <w:spacing w:after="20"/>
            </w:pPr>
            <w:r/>
            <w:r>
              <w:rPr>
                <w:sz w:val="18"/>
              </w:rPr>
              <w:t>10.5x</w:t>
            </w:r>
          </w:p>
        </w:tc>
      </w:tr>
      <w:tr>
        <w:tc>
          <w:tcPr>
            <w:tcW w:type="dxa" w:w="5669"/>
          </w:tcPr>
          <w:p>
            <w:pPr>
              <w:spacing w:after="20"/>
            </w:pPr>
            <w:r/>
            <w:r>
              <w:rPr>
                <w:b/>
                <w:sz w:val="18"/>
              </w:rPr>
              <w:t>Expected MOIC (probability-weighted)</w:t>
            </w:r>
          </w:p>
        </w:tc>
        <w:tc>
          <w:tcPr>
            <w:tcW w:type="dxa" w:w="2835"/>
          </w:tcPr>
          <w:p>
            <w:pPr>
              <w:spacing w:after="20"/>
            </w:pPr>
            <w:r/>
            <w:r>
              <w:rPr>
                <w:sz w:val="18"/>
              </w:rPr>
              <w:t>2.0x</w:t>
            </w:r>
          </w:p>
        </w:tc>
      </w:tr>
      <w:tr>
        <w:tc>
          <w:tcPr>
            <w:tcW w:type="dxa" w:w="5669"/>
          </w:tcPr>
          <w:p>
            <w:pPr>
              <w:spacing w:after="20"/>
            </w:pPr>
            <w:r/>
            <w:r>
              <w:rPr>
                <w:b/>
                <w:sz w:val="18"/>
              </w:rPr>
              <w:t>Probability capital is returned (≥1.0x)</w:t>
            </w:r>
          </w:p>
        </w:tc>
        <w:tc>
          <w:tcPr>
            <w:tcW w:type="dxa" w:w="2835"/>
          </w:tcPr>
          <w:p>
            <w:pPr>
              <w:spacing w:after="20"/>
            </w:pPr>
            <w:r/>
            <w:r>
              <w:rPr>
                <w:sz w:val="18"/>
              </w:rPr>
              <w:t>30%</w:t>
            </w:r>
          </w:p>
        </w:tc>
      </w:tr>
      <w:tr>
        <w:tc>
          <w:tcPr>
            <w:tcW w:type="dxa" w:w="5669"/>
          </w:tcPr>
          <w:p>
            <w:pPr>
              <w:spacing w:after="20"/>
            </w:pPr>
            <w:r/>
            <w:r>
              <w:rPr>
                <w:b/>
                <w:sz w:val="18"/>
              </w:rPr>
              <w:t>Probability of ≥3x</w:t>
            </w:r>
          </w:p>
        </w:tc>
        <w:tc>
          <w:tcPr>
            <w:tcW w:type="dxa" w:w="2835"/>
          </w:tcPr>
          <w:p>
            <w:pPr>
              <w:spacing w:after="20"/>
            </w:pPr>
            <w:r/>
            <w:r>
              <w:rPr>
                <w:sz w:val="18"/>
              </w:rPr>
              <w:t>15%</w:t>
            </w:r>
          </w:p>
        </w:tc>
      </w:tr>
      <w:tr>
        <w:tc>
          <w:tcPr>
            <w:tcW w:type="dxa" w:w="5669"/>
          </w:tcPr>
          <w:p>
            <w:pPr>
              <w:spacing w:after="20"/>
            </w:pPr>
            <w:r/>
            <w:r>
              <w:rPr>
                <w:b/>
                <w:sz w:val="18"/>
              </w:rPr>
              <w:t>Probability of ≥10x</w:t>
            </w:r>
          </w:p>
        </w:tc>
        <w:tc>
          <w:tcPr>
            <w:tcW w:type="dxa" w:w="2835"/>
          </w:tcPr>
          <w:p>
            <w:pPr>
              <w:spacing w:after="20"/>
            </w:pPr>
            <w:r/>
            <w:r>
              <w:rPr>
                <w:sz w:val="18"/>
              </w:rPr>
              <w:t>5%</w:t>
            </w:r>
          </w:p>
        </w:tc>
      </w:tr>
      <w:tr>
        <w:tc>
          <w:tcPr>
            <w:tcW w:type="dxa" w:w="5669"/>
          </w:tcPr>
          <w:p>
            <w:pPr>
              <w:spacing w:after="20"/>
            </w:pPr>
            <w:r/>
            <w:r>
              <w:rPr>
                <w:b/>
                <w:sz w:val="18"/>
              </w:rPr>
              <w:t>Probability of capital loss</w:t>
            </w:r>
          </w:p>
        </w:tc>
        <w:tc>
          <w:tcPr>
            <w:tcW w:type="dxa" w:w="2835"/>
          </w:tcPr>
          <w:p>
            <w:pPr>
              <w:spacing w:after="20"/>
            </w:pPr>
            <w:r/>
            <w:r>
              <w:rPr>
                <w:sz w:val="18"/>
              </w:rPr>
              <w:t>70%</w:t>
            </w:r>
          </w:p>
        </w:tc>
      </w:tr>
      <w:tr>
        <w:tc>
          <w:tcPr>
            <w:tcW w:type="dxa" w:w="5669"/>
          </w:tcPr>
          <w:p>
            <w:pPr>
              <w:spacing w:after="20"/>
            </w:pPr>
            <w:r/>
            <w:r>
              <w:rPr>
                <w:b/>
                <w:sz w:val="18"/>
              </w:rPr>
              <w:t>Hurdle-adjusted profitability index (30% hurdle)</w:t>
            </w:r>
          </w:p>
        </w:tc>
        <w:tc>
          <w:tcPr>
            <w:tcW w:type="dxa" w:w="2835"/>
          </w:tcPr>
          <w:p>
            <w:pPr>
              <w:spacing w:after="20"/>
            </w:pPr>
            <w:r/>
            <w:r>
              <w:rPr>
                <w:sz w:val="18"/>
              </w:rPr>
              <w:t>0.69x</w:t>
            </w:r>
          </w:p>
        </w:tc>
      </w:tr>
      <w:tr>
        <w:tc>
          <w:tcPr>
            <w:tcW w:type="dxa" w:w="5669"/>
          </w:tcPr>
          <w:p>
            <w:pPr>
              <w:spacing w:after="20"/>
            </w:pPr>
            <w:r/>
            <w:r>
              <w:rPr>
                <w:b/>
                <w:sz w:val="18"/>
              </w:rPr>
              <w:t>Maximum capital at risk if Gate 1 fails</w:t>
            </w:r>
          </w:p>
        </w:tc>
        <w:tc>
          <w:tcPr>
            <w:tcW w:type="dxa" w:w="2835"/>
          </w:tcPr>
          <w:p>
            <w:pPr>
              <w:spacing w:after="20"/>
            </w:pPr>
            <w:r/>
            <w:r>
              <w:rPr>
                <w:sz w:val="18"/>
              </w:rPr>
              <w:t>₹31.5 Cr (17.5% of round)</w:t>
            </w:r>
          </w:p>
        </w:tc>
      </w:tr>
    </w:tbl>
    <w:p>
      <w:pPr>
        <w:spacing w:after="40"/>
      </w:pPr>
    </w:p>
    <w:p>
      <w:r>
        <w:rPr>
          <w:b w:val="0"/>
          <w:i/>
          <w:sz w:val="18"/>
        </w:rPr>
        <w:t>These probabilities and exit values are illustrative placeholders. They are not derived from the Frozen Core, and an investor will bring their own. They are shown because a model that hides its odds cannot be trusted — the Canon’s own standard.</w:t>
      </w:r>
    </w:p>
    <w:p>
      <w:pPr>
        <w:pStyle w:val="Heading2"/>
      </w:pPr>
      <w:r>
        <w:t>5.3 What exit value does the investor need?</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361"/>
            <w:shd w:val="clear" w:color="auto" w:fill="3B4A6B"/>
          </w:tcPr>
          <w:p>
            <w:pPr>
              <w:spacing w:after="20"/>
            </w:pPr>
            <w:r/>
            <w:r>
              <w:rPr>
                <w:b/>
                <w:color w:val="FFFFFF"/>
                <w:sz w:val="16"/>
              </w:rPr>
              <w:t>Target MOIC</w:t>
            </w:r>
          </w:p>
        </w:tc>
        <w:tc>
          <w:tcPr>
            <w:tcW w:type="dxa" w:w="1984"/>
            <w:shd w:val="clear" w:color="auto" w:fill="3B4A6B"/>
          </w:tcPr>
          <w:p>
            <w:pPr>
              <w:spacing w:after="20"/>
            </w:pPr>
            <w:r/>
            <w:r>
              <w:rPr>
                <w:b/>
                <w:color w:val="FFFFFF"/>
                <w:sz w:val="16"/>
              </w:rPr>
              <w:t>No extra dilution</w:t>
            </w:r>
          </w:p>
        </w:tc>
        <w:tc>
          <w:tcPr>
            <w:tcW w:type="dxa" w:w="1984"/>
            <w:shd w:val="clear" w:color="auto" w:fill="3B4A6B"/>
          </w:tcPr>
          <w:p>
            <w:pPr>
              <w:spacing w:after="20"/>
            </w:pPr>
            <w:r/>
            <w:r>
              <w:rPr>
                <w:b/>
                <w:color w:val="FFFFFF"/>
                <w:sz w:val="16"/>
              </w:rPr>
              <w:t>15% dilution</w:t>
            </w:r>
          </w:p>
        </w:tc>
        <w:tc>
          <w:tcPr>
            <w:tcW w:type="dxa" w:w="1984"/>
            <w:shd w:val="clear" w:color="auto" w:fill="3B4A6B"/>
          </w:tcPr>
          <w:p>
            <w:pPr>
              <w:spacing w:after="20"/>
            </w:pPr>
            <w:r/>
            <w:r>
              <w:rPr>
                <w:b/>
                <w:color w:val="FFFFFF"/>
                <w:sz w:val="16"/>
              </w:rPr>
              <w:t>30% dilution</w:t>
            </w:r>
          </w:p>
        </w:tc>
        <w:tc>
          <w:tcPr>
            <w:tcW w:type="dxa" w:w="1984"/>
            <w:shd w:val="clear" w:color="auto" w:fill="3B4A6B"/>
          </w:tcPr>
          <w:p>
            <w:pPr>
              <w:spacing w:after="20"/>
            </w:pPr>
            <w:r/>
            <w:r>
              <w:rPr>
                <w:b/>
                <w:color w:val="FFFFFF"/>
                <w:sz w:val="16"/>
              </w:rPr>
              <w:t>45% dilution</w:t>
            </w:r>
          </w:p>
        </w:tc>
      </w:tr>
      <w:tr>
        <w:tc>
          <w:tcPr>
            <w:tcW w:type="dxa" w:w="1361"/>
          </w:tcPr>
          <w:p>
            <w:pPr>
              <w:spacing w:after="20"/>
            </w:pPr>
            <w:r/>
            <w:r>
              <w:rPr>
                <w:b/>
                <w:sz w:val="16"/>
              </w:rPr>
              <w:t>1x</w:t>
            </w:r>
          </w:p>
        </w:tc>
        <w:tc>
          <w:tcPr>
            <w:tcW w:type="dxa" w:w="1984"/>
          </w:tcPr>
          <w:p>
            <w:pPr>
              <w:spacing w:after="20"/>
            </w:pPr>
            <w:r/>
            <w:r>
              <w:rPr>
                <w:sz w:val="16"/>
              </w:rPr>
              <w:t>₹6,000 Cr  (US$0.7 bn)</w:t>
            </w:r>
          </w:p>
        </w:tc>
        <w:tc>
          <w:tcPr>
            <w:tcW w:type="dxa" w:w="1984"/>
          </w:tcPr>
          <w:p>
            <w:pPr>
              <w:spacing w:after="20"/>
            </w:pPr>
            <w:r/>
            <w:r>
              <w:rPr>
                <w:sz w:val="16"/>
              </w:rPr>
              <w:t>₹7,059 Cr  (US$0.8 bn)</w:t>
            </w:r>
          </w:p>
        </w:tc>
        <w:tc>
          <w:tcPr>
            <w:tcW w:type="dxa" w:w="1984"/>
          </w:tcPr>
          <w:p>
            <w:pPr>
              <w:spacing w:after="20"/>
            </w:pPr>
            <w:r/>
            <w:r>
              <w:rPr>
                <w:sz w:val="16"/>
              </w:rPr>
              <w:t>₹8,571 Cr  (US$1.0 bn)</w:t>
            </w:r>
          </w:p>
        </w:tc>
        <w:tc>
          <w:tcPr>
            <w:tcW w:type="dxa" w:w="1984"/>
          </w:tcPr>
          <w:p>
            <w:pPr>
              <w:spacing w:after="20"/>
            </w:pPr>
            <w:r/>
            <w:r>
              <w:rPr>
                <w:sz w:val="16"/>
              </w:rPr>
              <w:t>₹10,909 Cr  (US$1.2 bn)</w:t>
            </w:r>
          </w:p>
        </w:tc>
      </w:tr>
      <w:tr>
        <w:tc>
          <w:tcPr>
            <w:tcW w:type="dxa" w:w="1361"/>
          </w:tcPr>
          <w:p>
            <w:pPr>
              <w:spacing w:after="20"/>
            </w:pPr>
            <w:r/>
            <w:r>
              <w:rPr>
                <w:b/>
                <w:sz w:val="16"/>
              </w:rPr>
              <w:t>3x</w:t>
            </w:r>
          </w:p>
        </w:tc>
        <w:tc>
          <w:tcPr>
            <w:tcW w:type="dxa" w:w="1984"/>
          </w:tcPr>
          <w:p>
            <w:pPr>
              <w:spacing w:after="20"/>
            </w:pPr>
            <w:r/>
            <w:r>
              <w:rPr>
                <w:sz w:val="16"/>
              </w:rPr>
              <w:t>₹18,000 Cr  (US$2.0 bn)</w:t>
            </w:r>
          </w:p>
        </w:tc>
        <w:tc>
          <w:tcPr>
            <w:tcW w:type="dxa" w:w="1984"/>
          </w:tcPr>
          <w:p>
            <w:pPr>
              <w:spacing w:after="20"/>
            </w:pPr>
            <w:r/>
            <w:r>
              <w:rPr>
                <w:sz w:val="16"/>
              </w:rPr>
              <w:t>₹21,176 Cr  (US$2.4 bn)</w:t>
            </w:r>
          </w:p>
        </w:tc>
        <w:tc>
          <w:tcPr>
            <w:tcW w:type="dxa" w:w="1984"/>
          </w:tcPr>
          <w:p>
            <w:pPr>
              <w:spacing w:after="20"/>
            </w:pPr>
            <w:r/>
            <w:r>
              <w:rPr>
                <w:sz w:val="16"/>
              </w:rPr>
              <w:t>₹25,714 Cr  (US$2.9 bn)</w:t>
            </w:r>
          </w:p>
        </w:tc>
        <w:tc>
          <w:tcPr>
            <w:tcW w:type="dxa" w:w="1984"/>
          </w:tcPr>
          <w:p>
            <w:pPr>
              <w:spacing w:after="20"/>
            </w:pPr>
            <w:r/>
            <w:r>
              <w:rPr>
                <w:sz w:val="16"/>
              </w:rPr>
              <w:t>₹32,727 Cr  (US$3.6 bn)</w:t>
            </w:r>
          </w:p>
        </w:tc>
      </w:tr>
      <w:tr>
        <w:tc>
          <w:tcPr>
            <w:tcW w:type="dxa" w:w="1361"/>
          </w:tcPr>
          <w:p>
            <w:pPr>
              <w:spacing w:after="20"/>
            </w:pPr>
            <w:r/>
            <w:r>
              <w:rPr>
                <w:b/>
                <w:sz w:val="16"/>
              </w:rPr>
              <w:t>5x</w:t>
            </w:r>
          </w:p>
        </w:tc>
        <w:tc>
          <w:tcPr>
            <w:tcW w:type="dxa" w:w="1984"/>
          </w:tcPr>
          <w:p>
            <w:pPr>
              <w:spacing w:after="20"/>
            </w:pPr>
            <w:r/>
            <w:r>
              <w:rPr>
                <w:sz w:val="16"/>
              </w:rPr>
              <w:t>₹30,000 Cr  (US$3.3 bn)</w:t>
            </w:r>
          </w:p>
        </w:tc>
        <w:tc>
          <w:tcPr>
            <w:tcW w:type="dxa" w:w="1984"/>
          </w:tcPr>
          <w:p>
            <w:pPr>
              <w:spacing w:after="20"/>
            </w:pPr>
            <w:r/>
            <w:r>
              <w:rPr>
                <w:sz w:val="16"/>
              </w:rPr>
              <w:t>₹35,294 Cr  (US$3.9 bn)</w:t>
            </w:r>
          </w:p>
        </w:tc>
        <w:tc>
          <w:tcPr>
            <w:tcW w:type="dxa" w:w="1984"/>
          </w:tcPr>
          <w:p>
            <w:pPr>
              <w:spacing w:after="20"/>
            </w:pPr>
            <w:r/>
            <w:r>
              <w:rPr>
                <w:sz w:val="16"/>
              </w:rPr>
              <w:t>₹42,857 Cr  (US$4.8 bn)</w:t>
            </w:r>
          </w:p>
        </w:tc>
        <w:tc>
          <w:tcPr>
            <w:tcW w:type="dxa" w:w="1984"/>
          </w:tcPr>
          <w:p>
            <w:pPr>
              <w:spacing w:after="20"/>
            </w:pPr>
            <w:r/>
            <w:r>
              <w:rPr>
                <w:sz w:val="16"/>
              </w:rPr>
              <w:t>₹54,545 Cr  (US$6.1 bn)</w:t>
            </w:r>
          </w:p>
        </w:tc>
      </w:tr>
      <w:tr>
        <w:tc>
          <w:tcPr>
            <w:tcW w:type="dxa" w:w="1361"/>
          </w:tcPr>
          <w:p>
            <w:pPr>
              <w:spacing w:after="20"/>
            </w:pPr>
            <w:r/>
            <w:r>
              <w:rPr>
                <w:b/>
                <w:sz w:val="16"/>
              </w:rPr>
              <w:t>10x</w:t>
            </w:r>
          </w:p>
        </w:tc>
        <w:tc>
          <w:tcPr>
            <w:tcW w:type="dxa" w:w="1984"/>
          </w:tcPr>
          <w:p>
            <w:pPr>
              <w:spacing w:after="20"/>
            </w:pPr>
            <w:r/>
            <w:r>
              <w:rPr>
                <w:sz w:val="16"/>
              </w:rPr>
              <w:t>₹60,000 Cr  (US$6.7 bn)</w:t>
            </w:r>
          </w:p>
        </w:tc>
        <w:tc>
          <w:tcPr>
            <w:tcW w:type="dxa" w:w="1984"/>
          </w:tcPr>
          <w:p>
            <w:pPr>
              <w:spacing w:after="20"/>
            </w:pPr>
            <w:r/>
            <w:r>
              <w:rPr>
                <w:sz w:val="16"/>
              </w:rPr>
              <w:t>₹70,588 Cr  (US$7.8 bn)</w:t>
            </w:r>
          </w:p>
        </w:tc>
        <w:tc>
          <w:tcPr>
            <w:tcW w:type="dxa" w:w="1984"/>
          </w:tcPr>
          <w:p>
            <w:pPr>
              <w:spacing w:after="20"/>
            </w:pPr>
            <w:r/>
            <w:r>
              <w:rPr>
                <w:sz w:val="16"/>
              </w:rPr>
              <w:t>₹85,714 Cr  (US$9.5 bn)</w:t>
            </w:r>
          </w:p>
        </w:tc>
        <w:tc>
          <w:tcPr>
            <w:tcW w:type="dxa" w:w="1984"/>
          </w:tcPr>
          <w:p>
            <w:pPr>
              <w:spacing w:after="20"/>
            </w:pPr>
            <w:r/>
            <w:r>
              <w:rPr>
                <w:sz w:val="16"/>
              </w:rPr>
              <w:t>₹109,091 Cr  (US$12.1 bn)</w:t>
            </w:r>
          </w:p>
        </w:tc>
      </w:tr>
      <w:tr>
        <w:tc>
          <w:tcPr>
            <w:tcW w:type="dxa" w:w="1361"/>
          </w:tcPr>
          <w:p>
            <w:pPr>
              <w:spacing w:after="20"/>
            </w:pPr>
            <w:r/>
            <w:r>
              <w:rPr>
                <w:b/>
                <w:sz w:val="16"/>
              </w:rPr>
              <w:t>20x</w:t>
            </w:r>
          </w:p>
        </w:tc>
        <w:tc>
          <w:tcPr>
            <w:tcW w:type="dxa" w:w="1984"/>
          </w:tcPr>
          <w:p>
            <w:pPr>
              <w:spacing w:after="20"/>
            </w:pPr>
            <w:r/>
            <w:r>
              <w:rPr>
                <w:sz w:val="16"/>
              </w:rPr>
              <w:t>₹120,000 Cr  (US$13.3 bn)</w:t>
            </w:r>
          </w:p>
        </w:tc>
        <w:tc>
          <w:tcPr>
            <w:tcW w:type="dxa" w:w="1984"/>
          </w:tcPr>
          <w:p>
            <w:pPr>
              <w:spacing w:after="20"/>
            </w:pPr>
            <w:r/>
            <w:r>
              <w:rPr>
                <w:sz w:val="16"/>
              </w:rPr>
              <w:t>₹141,176 Cr  (US$15.7 bn)</w:t>
            </w:r>
          </w:p>
        </w:tc>
        <w:tc>
          <w:tcPr>
            <w:tcW w:type="dxa" w:w="1984"/>
          </w:tcPr>
          <w:p>
            <w:pPr>
              <w:spacing w:after="20"/>
            </w:pPr>
            <w:r/>
            <w:r>
              <w:rPr>
                <w:sz w:val="16"/>
              </w:rPr>
              <w:t>₹171,429 Cr  (US$19.0 bn)</w:t>
            </w:r>
          </w:p>
        </w:tc>
        <w:tc>
          <w:tcPr>
            <w:tcW w:type="dxa" w:w="1984"/>
          </w:tcPr>
          <w:p>
            <w:pPr>
              <w:spacing w:after="20"/>
            </w:pPr>
            <w:r/>
            <w:r>
              <w:rPr>
                <w:sz w:val="16"/>
              </w:rPr>
              <w:t>₹218,182 Cr  (US$24.2 bn)</w:t>
            </w:r>
          </w:p>
        </w:tc>
      </w:tr>
    </w:tbl>
    <w:p>
      <w:pPr>
        <w:spacing w:after="40"/>
      </w:pPr>
    </w:p>
    <w:p>
      <w:r>
        <w:rPr>
          <w:b w:val="0"/>
          <w:i w:val="0"/>
        </w:rPr>
        <w:t>Reading: a 10x outcome on a 3% stake needs an equity value near ₹60,000 Cr (≈ US$6.7 bn) with no further dilution, or about ₹86,000 Cr after 30% dilution. That is below the pre-product valuation reported for Safe Superintelligence and in the range of what strategic buyers have paid for technology plus teams (Section 6).</w:t>
      </w:r>
    </w:p>
    <w:p>
      <w:pPr>
        <w:pStyle w:val="Heading1"/>
      </w:pPr>
      <w:r>
        <w:t>6. Building credibility around the valuation</w:t>
      </w:r>
    </w:p>
    <w:p>
      <w:r>
        <w:rPr>
          <w:b w:val="0"/>
          <w:i w:val="0"/>
        </w:rPr>
        <w:t>A ₹6,000 Cr post-money cannot be defended with a revenue multiple, and it should not be presented as one. It is defensible as the price of a stage-gated option on a category-defining infrastructure layer — if five things are shown together.</w:t>
      </w:r>
    </w:p>
    <w:p>
      <w:pPr>
        <w:pStyle w:val="Heading2"/>
      </w:pPr>
      <w:r>
        <w:t>6.1 Five pillars</w:t>
      </w:r>
    </w:p>
    <w:p>
      <w:pPr>
        <w:pStyle w:val="ListBullet"/>
        <w:spacing w:after="40"/>
      </w:pPr>
      <w:r>
        <w:rPr>
          <w:b/>
        </w:rPr>
        <w:t>1. Relative scale.</w:t>
      </w:r>
      <w:r>
        <w:t xml:space="preserve"> Post-money is 44% of the valuation reported for Sarvam AI (US$1.5 bn, Series B, June 2026, press-reported) — India’s lead sovereign-model company, which has released models and public compute support — and about 2.1% of SSI’s reported US$32 bn pre-product valuation. The round itself is US$20 mn, about 1.3% of Sarvam’s valuation.</w:t>
      </w:r>
    </w:p>
    <w:p>
      <w:pPr>
        <w:pStyle w:val="ListBullet"/>
        <w:spacing w:after="40"/>
      </w:pPr>
      <w:r>
        <w:rPr>
          <w:b/>
        </w:rPr>
        <w:t>2. Strategic precedent for exits.</w:t>
      </w:r>
      <w:r>
        <w:t xml:space="preserve"> Large technology buyers have paid US$0.65 bn (Microsoft–Inflection), about US$2.7 bn (Google–Character.AI) and about US$20 bn (Nvidia–Groq) for licences to foundational technology plus teams (all press-reported). The model’s exit scenarios S2 and S3 sit at ₹30,000 Cr (≈US$3.3 bn) and ₹6,000 Cr (≈US$0.67 bn) — the same order as the lower precedents, not the top one.</w:t>
      </w:r>
    </w:p>
    <w:p>
      <w:pPr>
        <w:pStyle w:val="ListBullet"/>
        <w:spacing w:after="40"/>
      </w:pPr>
      <w:r>
        <w:rPr>
          <w:b/>
        </w:rPr>
        <w:t>3. Structure earns the price.</w:t>
      </w:r>
      <w:r>
        <w:t xml:space="preserve"> The headline price is paid in four instalments against independently verified gates, with a 1x preference. Capital at risk if the venture stops at Gate 1 is ₹31.5 Cr (17.5% of the round), not the full ₹180 Cr. A high price with strong protection is a different proposition from a high price with none.</w:t>
      </w:r>
    </w:p>
    <w:p>
      <w:pPr>
        <w:pStyle w:val="ListBullet"/>
        <w:spacing w:after="40"/>
      </w:pPr>
      <w:r>
        <w:rPr>
          <w:b/>
        </w:rPr>
        <w:t>4. Calibrated honesty.</w:t>
      </w:r>
      <w:r>
        <w:t xml:space="preserve"> The Truthiness_Ledger lists twelve claims with their state, limit, strongest counter-lens and falsifier. Investors rarely see a founder volunteer what would prove them wrong. This is the Canon applied to fundraising and it is a genuine differentiator — provided every state is honest.</w:t>
      </w:r>
    </w:p>
    <w:p>
      <w:pPr>
        <w:pStyle w:val="ListBullet"/>
        <w:spacing w:after="40"/>
      </w:pPr>
      <w:r>
        <w:rPr>
          <w:b/>
        </w:rPr>
        <w:t>5. Capital efficiency by design.</w:t>
      </w:r>
      <w:r>
        <w:t xml:space="preserve"> US$20 mn is sized to prove the layer and place it with a Co-Creator, not to fund a frontier training programme. The capital-intensive build is designed to sit on the Co-Creator’s balance sheet.</w:t>
      </w:r>
    </w:p>
    <w:p>
      <w:pPr>
        <w:pStyle w:val="Heading2"/>
      </w:pPr>
      <w:r>
        <w:t>6.2 What the numbers say — plainly</w:t>
      </w:r>
    </w:p>
    <w:p>
      <w:r>
        <w:rPr>
          <w:b w:val="0"/>
          <w:i w:val="0"/>
        </w:rPr>
        <w:t>At a flat ₹6,000 Cr and the illustrative odds above, expected MOIC is 2.0x but the hurdle-adjusted profitability index is 0.69x — below 1.0 at a 30% hurdle. In words: the price only clears a rigorous investor’s hurdle if they believe success is considerably more likely than these placeholders. The model’s “what you must believe” table shows the index reaches 1.0x when the combined probability of the three success outcomes is about 60% (versus 30% in the base case). The price sensitivity shows it reaching 1.0x at roughly ₹3,700–4,000 Cr flat.</w:t>
      </w:r>
    </w:p>
    <w:p>
      <w:r>
        <w:rPr>
          <w:b w:val="0"/>
          <w:i w:val="0"/>
        </w:rPr>
        <w:t>This does not make ₹6,000 Cr wrong. Angel and family-office investors usually underwrite a power-law portfolio, where a small chance of a very large outcome is the point. But the founder should expect sophisticated lead investors to run this arithmetic, and should choose in advance how to close the gap. Three honest levers:</w:t>
      </w:r>
    </w:p>
    <w:p>
      <w:pPr>
        <w:pStyle w:val="ListBullet"/>
        <w:spacing w:after="40"/>
      </w:pPr>
      <w:r>
        <w:rPr>
          <w:b/>
        </w:rPr>
        <w:t>Evidence.</w:t>
      </w:r>
      <w:r>
        <w:t xml:space="preserve"> Reduce uncertainty before the round closes: a working reference implementation on one model family, one independent benchmark result, two signed design-partner letters. Each moves the success odds the investor assigns — the only lever that raises value without changing terms.</w:t>
      </w:r>
    </w:p>
    <w:p>
      <w:pPr>
        <w:pStyle w:val="ListBullet"/>
        <w:spacing w:after="40"/>
      </w:pPr>
      <w:r>
        <w:rPr>
          <w:b/>
        </w:rPr>
        <w:t>Structure.</w:t>
      </w:r>
      <w:r>
        <w:t xml:space="preserve"> Keep the ₹6,000 Cr headline but earn it: for example tranches priced at ₹3,000 / 4,500 / 6,000 / 6,000 Cr post-money. In the model this lifts expected MOIC from 2.0x to 2.6x and the profitability index from 0.69x to 0.87x, at the cost of dilution rising from 3.0% to 4.0%. (Set Inputs!I23:I26 to reproduce.) A downside ratchet — conversion price resets if a gate is missed — achieves a similar effect.</w:t>
      </w:r>
    </w:p>
    <w:p>
      <w:pPr>
        <w:pStyle w:val="ListBullet"/>
        <w:spacing w:after="40"/>
      </w:pPr>
      <w:r>
        <w:rPr>
          <w:b/>
        </w:rPr>
        <w:t>Price.</w:t>
      </w:r>
      <w:r>
        <w:t xml:space="preserve"> A flat entry near ₹3,700 Cr clears a 30% hurdle on these odds (index 1.03x) but means about 4.9% dilution for the same ₹180 Cr.</w:t>
      </w:r>
    </w:p>
    <w:p>
      <w:r>
        <w:rPr>
          <w:b/>
          <w:i w:val="0"/>
        </w:rPr>
        <w:t>Recommendation: lead with evidence, offer the stepped or ratcheted structure to the lead investor, and hold the ₹6,000 Cr headline for the later tranches. That keeps the number the founder wants in the term sheet while giving a rigorous investor a reason to sign.</w:t>
      </w:r>
    </w:p>
    <w:p>
      <w:pPr>
        <w:pStyle w:val="Heading2"/>
      </w:pPr>
      <w:r>
        <w:t>6.3 Questions an investor will ask, and straight answers</w:t>
      </w:r>
    </w:p>
    <w:tbl>
      <w:tblPr>
        <w:tblStyle w:val="TableGrid"/>
        <w:tblW w:type="auto" w:w="0"/>
        <w:jc w:val="center"/>
        <w:tblLayout w:type="fixed"/>
        <w:tblLook w:firstColumn="1" w:firstRow="1" w:lastColumn="0" w:lastRow="0" w:noHBand="0" w:noVBand="1" w:val="04A0"/>
      </w:tblPr>
      <w:tblGrid>
        <w:gridCol w:w="4873"/>
        <w:gridCol w:w="4873"/>
      </w:tblGrid>
      <w:tr>
        <w:tc>
          <w:tcPr>
            <w:tcW w:type="dxa" w:w="2835"/>
            <w:shd w:val="clear" w:color="auto" w:fill="3B4A6B"/>
          </w:tcPr>
          <w:p>
            <w:pPr>
              <w:spacing w:after="20"/>
            </w:pPr>
            <w:r/>
            <w:r>
              <w:rPr>
                <w:b/>
                <w:color w:val="FFFFFF"/>
                <w:sz w:val="17"/>
              </w:rPr>
              <w:t>Question</w:t>
            </w:r>
          </w:p>
        </w:tc>
        <w:tc>
          <w:tcPr>
            <w:tcW w:type="dxa" w:w="6576"/>
            <w:shd w:val="clear" w:color="auto" w:fill="3B4A6B"/>
          </w:tcPr>
          <w:p>
            <w:pPr>
              <w:spacing w:after="20"/>
            </w:pPr>
            <w:r/>
            <w:r>
              <w:rPr>
                <w:b/>
                <w:color w:val="FFFFFF"/>
                <w:sz w:val="17"/>
              </w:rPr>
              <w:t>Answer</w:t>
            </w:r>
          </w:p>
        </w:tc>
      </w:tr>
      <w:tr>
        <w:tc>
          <w:tcPr>
            <w:tcW w:type="dxa" w:w="2835"/>
          </w:tcPr>
          <w:p>
            <w:pPr>
              <w:spacing w:after="20"/>
            </w:pPr>
            <w:r/>
            <w:r>
              <w:rPr>
                <w:b/>
                <w:sz w:val="17"/>
              </w:rPr>
              <w:t>Is there a product or revenue?</w:t>
            </w:r>
          </w:p>
        </w:tc>
        <w:tc>
          <w:tcPr>
            <w:tcW w:type="dxa" w:w="6576"/>
          </w:tcPr>
          <w:p>
            <w:pPr>
              <w:spacing w:after="20"/>
            </w:pPr>
            <w:r/>
            <w:r>
              <w:rPr>
                <w:sz w:val="17"/>
              </w:rPr>
              <w:t>Not yet. The Canon is a constitutional definition; the reference implementation is what Round 1 funds. Revenue in the model (pilots, from year 2) is ASSUMED and excluded from investor returns.</w:t>
            </w:r>
          </w:p>
        </w:tc>
      </w:tr>
      <w:tr>
        <w:tc>
          <w:tcPr>
            <w:tcW w:type="dxa" w:w="2835"/>
          </w:tcPr>
          <w:p>
            <w:pPr>
              <w:spacing w:after="20"/>
            </w:pPr>
            <w:r/>
            <w:r>
              <w:rPr>
                <w:b/>
                <w:sz w:val="17"/>
              </w:rPr>
              <w:t>Why can’t OpenAI, Google or Anthropic just build this?</w:t>
            </w:r>
          </w:p>
        </w:tc>
        <w:tc>
          <w:tcPr>
            <w:tcW w:type="dxa" w:w="6576"/>
          </w:tcPr>
          <w:p>
            <w:pPr>
              <w:spacing w:after="20"/>
            </w:pPr>
            <w:r/>
            <w:r>
              <w:rPr>
                <w:sz w:val="17"/>
              </w:rPr>
              <w:t>They can build vendor-native memory. The thesis is that governed continuity must be portable across vendors and owned by the user/enterprise — which a single vendor has structural reasons not to provide. State: UNCERTAIN; a vendor shipping genuinely portable identity would be the falsifier.</w:t>
            </w:r>
          </w:p>
        </w:tc>
      </w:tr>
      <w:tr>
        <w:tc>
          <w:tcPr>
            <w:tcW w:type="dxa" w:w="2835"/>
          </w:tcPr>
          <w:p>
            <w:pPr>
              <w:spacing w:after="20"/>
            </w:pPr>
            <w:r/>
            <w:r>
              <w:rPr>
                <w:b/>
                <w:sz w:val="17"/>
              </w:rPr>
              <w:t>Is Interpretive Intelligence measurable?</w:t>
            </w:r>
          </w:p>
        </w:tc>
        <w:tc>
          <w:tcPr>
            <w:tcW w:type="dxa" w:w="6576"/>
          </w:tcPr>
          <w:p>
            <w:pPr>
              <w:spacing w:after="20"/>
            </w:pPr>
            <w:r/>
            <w:r>
              <w:rPr>
                <w:sz w:val="17"/>
              </w:rPr>
              <w:t>It must be. Gate 1 requires an independent benchmark of calibrated claims against strong baselines. If there is no lift, the thesis weakens — the Canon’s own falsifier.</w:t>
            </w:r>
          </w:p>
        </w:tc>
      </w:tr>
      <w:tr>
        <w:tc>
          <w:tcPr>
            <w:tcW w:type="dxa" w:w="2835"/>
          </w:tcPr>
          <w:p>
            <w:pPr>
              <w:spacing w:after="20"/>
            </w:pPr>
            <w:r/>
            <w:r>
              <w:rPr>
                <w:b/>
                <w:sz w:val="17"/>
              </w:rPr>
              <w:t>How is the IP protected?</w:t>
            </w:r>
          </w:p>
        </w:tc>
        <w:tc>
          <w:tcPr>
            <w:tcW w:type="dxa" w:w="6576"/>
          </w:tcPr>
          <w:p>
            <w:pPr>
              <w:spacing w:after="20"/>
            </w:pPr>
            <w:r/>
            <w:r>
              <w:rPr>
                <w:sz w:val="17"/>
              </w:rPr>
              <w:t>Specification, patents where possible, trademarks and a standards position. Prior art and freedom-to-operate are UNCERTAIN until a search is done (funded in Use of Funds).</w:t>
            </w:r>
          </w:p>
        </w:tc>
      </w:tr>
      <w:tr>
        <w:tc>
          <w:tcPr>
            <w:tcW w:type="dxa" w:w="2835"/>
          </w:tcPr>
          <w:p>
            <w:pPr>
              <w:spacing w:after="20"/>
            </w:pPr>
            <w:r/>
            <w:r>
              <w:rPr>
                <w:b/>
                <w:sz w:val="17"/>
              </w:rPr>
              <w:t>What is the role of quantum computing?</w:t>
            </w:r>
          </w:p>
        </w:tc>
        <w:tc>
          <w:tcPr>
            <w:tcW w:type="dxa" w:w="6576"/>
          </w:tcPr>
          <w:p>
            <w:pPr>
              <w:spacing w:after="20"/>
            </w:pPr>
            <w:r/>
            <w:r>
              <w:rPr>
                <w:sz w:val="17"/>
              </w:rPr>
              <w:t>None required for Stages 1–2. It is a long-horizon option, labelled UNCERTAIN.</w:t>
            </w:r>
          </w:p>
        </w:tc>
      </w:tr>
      <w:tr>
        <w:tc>
          <w:tcPr>
            <w:tcW w:type="dxa" w:w="2835"/>
          </w:tcPr>
          <w:p>
            <w:pPr>
              <w:spacing w:after="20"/>
            </w:pPr>
            <w:r/>
            <w:r>
              <w:rPr>
                <w:b/>
                <w:sz w:val="17"/>
              </w:rPr>
              <w:t>Who is the Co-Creator?</w:t>
            </w:r>
          </w:p>
        </w:tc>
        <w:tc>
          <w:tcPr>
            <w:tcW w:type="dxa" w:w="6576"/>
          </w:tcPr>
          <w:p>
            <w:pPr>
              <w:spacing w:after="20"/>
            </w:pPr>
            <w:r/>
            <w:r>
              <w:rPr>
                <w:sz w:val="17"/>
              </w:rPr>
              <w:t>Not yet identified. The process is Stage 2; the long list should be built before the round closes.</w:t>
            </w:r>
          </w:p>
        </w:tc>
      </w:tr>
      <w:tr>
        <w:tc>
          <w:tcPr>
            <w:tcW w:type="dxa" w:w="2835"/>
          </w:tcPr>
          <w:p>
            <w:pPr>
              <w:spacing w:after="20"/>
            </w:pPr>
            <w:r/>
            <w:r>
              <w:rPr>
                <w:b/>
                <w:sz w:val="17"/>
              </w:rPr>
              <w:t>What does the founder get from this round?</w:t>
            </w:r>
          </w:p>
        </w:tc>
        <w:tc>
          <w:tcPr>
            <w:tcW w:type="dxa" w:w="6576"/>
          </w:tcPr>
          <w:p>
            <w:pPr>
              <w:spacing w:after="20"/>
            </w:pPr>
            <w:r/>
            <w:r>
              <w:rPr>
                <w:sz w:val="17"/>
              </w:rPr>
              <w:t>To be disclosed. A founder allocation line exists in the model (currently ₹0, TBD). Recommend a capped, disclosed amount.</w:t>
            </w:r>
          </w:p>
        </w:tc>
      </w:tr>
      <w:tr>
        <w:tc>
          <w:tcPr>
            <w:tcW w:type="dxa" w:w="2835"/>
          </w:tcPr>
          <w:p>
            <w:pPr>
              <w:spacing w:after="20"/>
            </w:pPr>
            <w:r/>
            <w:r>
              <w:rPr>
                <w:b/>
                <w:sz w:val="17"/>
              </w:rPr>
              <w:t>Why ₹6,000 Cr?</w:t>
            </w:r>
          </w:p>
        </w:tc>
        <w:tc>
          <w:tcPr>
            <w:tcW w:type="dxa" w:w="6576"/>
          </w:tcPr>
          <w:p>
            <w:pPr>
              <w:spacing w:after="20"/>
            </w:pPr>
            <w:r/>
            <w:r>
              <w:rPr>
                <w:sz w:val="17"/>
              </w:rPr>
              <w:t>Section 6: relative scale, strategic precedent, structure, calibrated honesty, capital efficiency — and a candid note that rigorous investors may ask for stepped pricing.</w:t>
            </w:r>
          </w:p>
        </w:tc>
      </w:tr>
    </w:tbl>
    <w:p>
      <w:pPr>
        <w:spacing w:after="40"/>
      </w:pPr>
    </w:p>
    <w:p>
      <w:pPr>
        <w:pStyle w:val="Heading1"/>
      </w:pPr>
      <w:r>
        <w:t>7. Utilisation of Round 1 funds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5783"/>
            <w:shd w:val="clear" w:color="auto" w:fill="3B4A6B"/>
          </w:tcPr>
          <w:p>
            <w:pPr>
              <w:spacing w:after="20"/>
            </w:pPr>
            <w:r/>
            <w:r>
              <w:rPr>
                <w:b/>
                <w:color w:val="FFFFFF"/>
                <w:sz w:val="17"/>
              </w:rPr>
              <w:t>Category</w:t>
            </w:r>
          </w:p>
        </w:tc>
        <w:tc>
          <w:tcPr>
            <w:tcW w:type="dxa" w:w="1701"/>
            <w:shd w:val="clear" w:color="auto" w:fill="3B4A6B"/>
          </w:tcPr>
          <w:p>
            <w:pPr>
              <w:spacing w:after="20"/>
            </w:pPr>
            <w:r/>
            <w:r>
              <w:rPr>
                <w:b/>
                <w:color w:val="FFFFFF"/>
                <w:sz w:val="17"/>
              </w:rPr>
              <w:t>₹ Cr</w:t>
            </w:r>
          </w:p>
        </w:tc>
        <w:tc>
          <w:tcPr>
            <w:tcW w:type="dxa" w:w="1701"/>
            <w:shd w:val="clear" w:color="auto" w:fill="3B4A6B"/>
          </w:tcPr>
          <w:p>
            <w:pPr>
              <w:spacing w:after="20"/>
            </w:pPr>
            <w:r/>
            <w:r>
              <w:rPr>
                <w:b/>
                <w:color w:val="FFFFFF"/>
                <w:sz w:val="17"/>
              </w:rPr>
              <w:t>% of round</w:t>
            </w:r>
          </w:p>
        </w:tc>
      </w:tr>
      <w:tr>
        <w:tc>
          <w:tcPr>
            <w:tcW w:type="dxa" w:w="5783"/>
          </w:tcPr>
          <w:p>
            <w:pPr>
              <w:spacing w:after="20"/>
            </w:pPr>
            <w:r/>
            <w:r>
              <w:rPr>
                <w:b/>
                <w:sz w:val="17"/>
              </w:rPr>
              <w:t>People — research, platform, trust, product, pilots, ops</w:t>
            </w:r>
          </w:p>
        </w:tc>
        <w:tc>
          <w:tcPr>
            <w:tcW w:type="dxa" w:w="1701"/>
          </w:tcPr>
          <w:p>
            <w:pPr>
              <w:spacing w:after="20"/>
            </w:pPr>
            <w:r/>
            <w:r>
              <w:rPr>
                <w:sz w:val="17"/>
              </w:rPr>
              <w:t>82.7</w:t>
            </w:r>
          </w:p>
        </w:tc>
        <w:tc>
          <w:tcPr>
            <w:tcW w:type="dxa" w:w="1701"/>
          </w:tcPr>
          <w:p>
            <w:pPr>
              <w:spacing w:after="20"/>
            </w:pPr>
            <w:r/>
            <w:r>
              <w:rPr>
                <w:sz w:val="17"/>
              </w:rPr>
              <w:t>45.9%</w:t>
            </w:r>
          </w:p>
        </w:tc>
      </w:tr>
      <w:tr>
        <w:tc>
          <w:tcPr>
            <w:tcW w:type="dxa" w:w="5783"/>
          </w:tcPr>
          <w:p>
            <w:pPr>
              <w:spacing w:after="20"/>
            </w:pPr>
            <w:r/>
            <w:r>
              <w:rPr>
                <w:b/>
                <w:sz w:val="17"/>
              </w:rPr>
              <w:t>Compute</w:t>
            </w:r>
          </w:p>
        </w:tc>
        <w:tc>
          <w:tcPr>
            <w:tcW w:type="dxa" w:w="1701"/>
          </w:tcPr>
          <w:p>
            <w:pPr>
              <w:spacing w:after="20"/>
            </w:pPr>
            <w:r/>
            <w:r>
              <w:rPr>
                <w:sz w:val="17"/>
              </w:rPr>
              <w:t>12.4</w:t>
            </w:r>
          </w:p>
        </w:tc>
        <w:tc>
          <w:tcPr>
            <w:tcW w:type="dxa" w:w="1701"/>
          </w:tcPr>
          <w:p>
            <w:pPr>
              <w:spacing w:after="20"/>
            </w:pPr>
            <w:r/>
            <w:r>
              <w:rPr>
                <w:sz w:val="17"/>
              </w:rPr>
              <w:t>6.9%</w:t>
            </w:r>
          </w:p>
        </w:tc>
      </w:tr>
      <w:tr>
        <w:tc>
          <w:tcPr>
            <w:tcW w:type="dxa" w:w="5783"/>
          </w:tcPr>
          <w:p>
            <w:pPr>
              <w:spacing w:after="20"/>
            </w:pPr>
            <w:r/>
            <w:r>
              <w:rPr>
                <w:b/>
                <w:sz w:val="17"/>
              </w:rPr>
              <w:t>Model API &amp; evaluation</w:t>
            </w:r>
          </w:p>
        </w:tc>
        <w:tc>
          <w:tcPr>
            <w:tcW w:type="dxa" w:w="1701"/>
          </w:tcPr>
          <w:p>
            <w:pPr>
              <w:spacing w:after="20"/>
            </w:pPr>
            <w:r/>
            <w:r>
              <w:rPr>
                <w:sz w:val="17"/>
              </w:rPr>
              <w:t>6.2</w:t>
            </w:r>
          </w:p>
        </w:tc>
        <w:tc>
          <w:tcPr>
            <w:tcW w:type="dxa" w:w="1701"/>
          </w:tcPr>
          <w:p>
            <w:pPr>
              <w:spacing w:after="20"/>
            </w:pPr>
            <w:r/>
            <w:r>
              <w:rPr>
                <w:sz w:val="17"/>
              </w:rPr>
              <w:t>3.4%</w:t>
            </w:r>
          </w:p>
        </w:tc>
      </w:tr>
      <w:tr>
        <w:tc>
          <w:tcPr>
            <w:tcW w:type="dxa" w:w="5783"/>
          </w:tcPr>
          <w:p>
            <w:pPr>
              <w:spacing w:after="20"/>
            </w:pPr>
            <w:r/>
            <w:r>
              <w:rPr>
                <w:b/>
                <w:sz w:val="17"/>
              </w:rPr>
              <w:t>Independent validation, SAB &amp; red-team</w:t>
            </w:r>
          </w:p>
        </w:tc>
        <w:tc>
          <w:tcPr>
            <w:tcW w:type="dxa" w:w="1701"/>
          </w:tcPr>
          <w:p>
            <w:pPr>
              <w:spacing w:after="20"/>
            </w:pPr>
            <w:r/>
            <w:r>
              <w:rPr>
                <w:sz w:val="17"/>
              </w:rPr>
              <w:t>8.5</w:t>
            </w:r>
          </w:p>
        </w:tc>
        <w:tc>
          <w:tcPr>
            <w:tcW w:type="dxa" w:w="1701"/>
          </w:tcPr>
          <w:p>
            <w:pPr>
              <w:spacing w:after="20"/>
            </w:pPr>
            <w:r/>
            <w:r>
              <w:rPr>
                <w:sz w:val="17"/>
              </w:rPr>
              <w:t>4.7%</w:t>
            </w:r>
          </w:p>
        </w:tc>
      </w:tr>
      <w:tr>
        <w:tc>
          <w:tcPr>
            <w:tcW w:type="dxa" w:w="5783"/>
          </w:tcPr>
          <w:p>
            <w:pPr>
              <w:spacing w:after="20"/>
            </w:pPr>
            <w:r/>
            <w:r>
              <w:rPr>
                <w:b/>
                <w:sz w:val="17"/>
              </w:rPr>
              <w:t>Security, privacy &amp; trust certification</w:t>
            </w:r>
          </w:p>
        </w:tc>
        <w:tc>
          <w:tcPr>
            <w:tcW w:type="dxa" w:w="1701"/>
          </w:tcPr>
          <w:p>
            <w:pPr>
              <w:spacing w:after="20"/>
            </w:pPr>
            <w:r/>
            <w:r>
              <w:rPr>
                <w:sz w:val="17"/>
              </w:rPr>
              <w:t>9.1</w:t>
            </w:r>
          </w:p>
        </w:tc>
        <w:tc>
          <w:tcPr>
            <w:tcW w:type="dxa" w:w="1701"/>
          </w:tcPr>
          <w:p>
            <w:pPr>
              <w:spacing w:after="20"/>
            </w:pPr>
            <w:r/>
            <w:r>
              <w:rPr>
                <w:sz w:val="17"/>
              </w:rPr>
              <w:t>5.1%</w:t>
            </w:r>
          </w:p>
        </w:tc>
      </w:tr>
      <w:tr>
        <w:tc>
          <w:tcPr>
            <w:tcW w:type="dxa" w:w="5783"/>
          </w:tcPr>
          <w:p>
            <w:pPr>
              <w:spacing w:after="20"/>
            </w:pPr>
            <w:r/>
            <w:r>
              <w:rPr>
                <w:b/>
                <w:sz w:val="17"/>
              </w:rPr>
              <w:t>IP &amp; standards</w:t>
            </w:r>
          </w:p>
        </w:tc>
        <w:tc>
          <w:tcPr>
            <w:tcW w:type="dxa" w:w="1701"/>
          </w:tcPr>
          <w:p>
            <w:pPr>
              <w:spacing w:after="20"/>
            </w:pPr>
            <w:r/>
            <w:r>
              <w:rPr>
                <w:sz w:val="17"/>
              </w:rPr>
              <w:t>6.5</w:t>
            </w:r>
          </w:p>
        </w:tc>
        <w:tc>
          <w:tcPr>
            <w:tcW w:type="dxa" w:w="1701"/>
          </w:tcPr>
          <w:p>
            <w:pPr>
              <w:spacing w:after="20"/>
            </w:pPr>
            <w:r/>
            <w:r>
              <w:rPr>
                <w:sz w:val="17"/>
              </w:rPr>
              <w:t>3.6%</w:t>
            </w:r>
          </w:p>
        </w:tc>
      </w:tr>
      <w:tr>
        <w:tc>
          <w:tcPr>
            <w:tcW w:type="dxa" w:w="5783"/>
          </w:tcPr>
          <w:p>
            <w:pPr>
              <w:spacing w:after="20"/>
            </w:pPr>
            <w:r/>
            <w:r>
              <w:rPr>
                <w:b/>
                <w:sz w:val="17"/>
              </w:rPr>
              <w:t>Pilots &amp; design partners</w:t>
            </w:r>
          </w:p>
        </w:tc>
        <w:tc>
          <w:tcPr>
            <w:tcW w:type="dxa" w:w="1701"/>
          </w:tcPr>
          <w:p>
            <w:pPr>
              <w:spacing w:after="20"/>
            </w:pPr>
            <w:r/>
            <w:r>
              <w:rPr>
                <w:sz w:val="17"/>
              </w:rPr>
              <w:t>14.7</w:t>
            </w:r>
          </w:p>
        </w:tc>
        <w:tc>
          <w:tcPr>
            <w:tcW w:type="dxa" w:w="1701"/>
          </w:tcPr>
          <w:p>
            <w:pPr>
              <w:spacing w:after="20"/>
            </w:pPr>
            <w:r/>
            <w:r>
              <w:rPr>
                <w:sz w:val="17"/>
              </w:rPr>
              <w:t>8.2%</w:t>
            </w:r>
          </w:p>
        </w:tc>
      </w:tr>
      <w:tr>
        <w:tc>
          <w:tcPr>
            <w:tcW w:type="dxa" w:w="5783"/>
          </w:tcPr>
          <w:p>
            <w:pPr>
              <w:spacing w:after="20"/>
            </w:pPr>
            <w:r/>
            <w:r>
              <w:rPr>
                <w:b/>
                <w:sz w:val="17"/>
              </w:rPr>
              <w:t>Co-Creator search &amp; transaction advisory</w:t>
            </w:r>
          </w:p>
        </w:tc>
        <w:tc>
          <w:tcPr>
            <w:tcW w:type="dxa" w:w="1701"/>
          </w:tcPr>
          <w:p>
            <w:pPr>
              <w:spacing w:after="20"/>
            </w:pPr>
            <w:r/>
            <w:r>
              <w:rPr>
                <w:sz w:val="17"/>
              </w:rPr>
              <w:t>7.1</w:t>
            </w:r>
          </w:p>
        </w:tc>
        <w:tc>
          <w:tcPr>
            <w:tcW w:type="dxa" w:w="1701"/>
          </w:tcPr>
          <w:p>
            <w:pPr>
              <w:spacing w:after="20"/>
            </w:pPr>
            <w:r/>
            <w:r>
              <w:rPr>
                <w:sz w:val="17"/>
              </w:rPr>
              <w:t>3.9%</w:t>
            </w:r>
          </w:p>
        </w:tc>
      </w:tr>
      <w:tr>
        <w:tc>
          <w:tcPr>
            <w:tcW w:type="dxa" w:w="5783"/>
          </w:tcPr>
          <w:p>
            <w:pPr>
              <w:spacing w:after="20"/>
            </w:pPr>
            <w:r/>
            <w:r>
              <w:rPr>
                <w:b/>
                <w:sz w:val="17"/>
              </w:rPr>
              <w:t>Governance, legal &amp; audit</w:t>
            </w:r>
          </w:p>
        </w:tc>
        <w:tc>
          <w:tcPr>
            <w:tcW w:type="dxa" w:w="1701"/>
          </w:tcPr>
          <w:p>
            <w:pPr>
              <w:spacing w:after="20"/>
            </w:pPr>
            <w:r/>
            <w:r>
              <w:rPr>
                <w:sz w:val="17"/>
              </w:rPr>
              <w:t>3.2</w:t>
            </w:r>
          </w:p>
        </w:tc>
        <w:tc>
          <w:tcPr>
            <w:tcW w:type="dxa" w:w="1701"/>
          </w:tcPr>
          <w:p>
            <w:pPr>
              <w:spacing w:after="20"/>
            </w:pPr>
            <w:r/>
            <w:r>
              <w:rPr>
                <w:sz w:val="17"/>
              </w:rPr>
              <w:t>1.8%</w:t>
            </w:r>
          </w:p>
        </w:tc>
      </w:tr>
      <w:tr>
        <w:tc>
          <w:tcPr>
            <w:tcW w:type="dxa" w:w="5783"/>
          </w:tcPr>
          <w:p>
            <w:pPr>
              <w:spacing w:after="20"/>
            </w:pPr>
            <w:r/>
            <w:r>
              <w:rPr>
                <w:b/>
                <w:sz w:val="17"/>
              </w:rPr>
              <w:t>Facilities &amp; tooling</w:t>
            </w:r>
          </w:p>
        </w:tc>
        <w:tc>
          <w:tcPr>
            <w:tcW w:type="dxa" w:w="1701"/>
          </w:tcPr>
          <w:p>
            <w:pPr>
              <w:spacing w:after="20"/>
            </w:pPr>
            <w:r/>
            <w:r>
              <w:rPr>
                <w:sz w:val="17"/>
              </w:rPr>
              <w:t>6.8</w:t>
            </w:r>
          </w:p>
        </w:tc>
        <w:tc>
          <w:tcPr>
            <w:tcW w:type="dxa" w:w="1701"/>
          </w:tcPr>
          <w:p>
            <w:pPr>
              <w:spacing w:after="20"/>
            </w:pPr>
            <w:r/>
            <w:r>
              <w:rPr>
                <w:sz w:val="17"/>
              </w:rPr>
              <w:t>3.8%</w:t>
            </w:r>
          </w:p>
        </w:tc>
      </w:tr>
      <w:tr>
        <w:tc>
          <w:tcPr>
            <w:tcW w:type="dxa" w:w="5783"/>
          </w:tcPr>
          <w:p>
            <w:pPr>
              <w:spacing w:after="20"/>
            </w:pPr>
            <w:r/>
            <w:r>
              <w:rPr>
                <w:b/>
                <w:sz w:val="17"/>
              </w:rPr>
              <w:t>Frontier research option (incl. quantum exploration)</w:t>
            </w:r>
          </w:p>
        </w:tc>
        <w:tc>
          <w:tcPr>
            <w:tcW w:type="dxa" w:w="1701"/>
          </w:tcPr>
          <w:p>
            <w:pPr>
              <w:spacing w:after="20"/>
            </w:pPr>
            <w:r/>
            <w:r>
              <w:rPr>
                <w:sz w:val="17"/>
              </w:rPr>
              <w:t>3.5</w:t>
            </w:r>
          </w:p>
        </w:tc>
        <w:tc>
          <w:tcPr>
            <w:tcW w:type="dxa" w:w="1701"/>
          </w:tcPr>
          <w:p>
            <w:pPr>
              <w:spacing w:after="20"/>
            </w:pPr>
            <w:r/>
            <w:r>
              <w:rPr>
                <w:sz w:val="17"/>
              </w:rPr>
              <w:t>1.9%</w:t>
            </w:r>
          </w:p>
        </w:tc>
      </w:tr>
      <w:tr>
        <w:tc>
          <w:tcPr>
            <w:tcW w:type="dxa" w:w="5783"/>
          </w:tcPr>
          <w:p>
            <w:pPr>
              <w:spacing w:after="20"/>
            </w:pPr>
            <w:r/>
            <w:r>
              <w:rPr>
                <w:b/>
                <w:sz w:val="17"/>
              </w:rPr>
              <w:t>Founder allocation (TBD)</w:t>
            </w:r>
          </w:p>
        </w:tc>
        <w:tc>
          <w:tcPr>
            <w:tcW w:type="dxa" w:w="1701"/>
          </w:tcPr>
          <w:p>
            <w:pPr>
              <w:spacing w:after="20"/>
            </w:pPr>
            <w:r/>
            <w:r>
              <w:rPr>
                <w:sz w:val="17"/>
              </w:rPr>
              <w:t>0.0</w:t>
            </w:r>
          </w:p>
        </w:tc>
        <w:tc>
          <w:tcPr>
            <w:tcW w:type="dxa" w:w="1701"/>
          </w:tcPr>
          <w:p>
            <w:pPr>
              <w:spacing w:after="20"/>
            </w:pPr>
            <w:r/>
            <w:r>
              <w:rPr>
                <w:sz w:val="17"/>
              </w:rPr>
              <w:t>0.0%</w:t>
            </w:r>
          </w:p>
        </w:tc>
      </w:tr>
      <w:tr>
        <w:tc>
          <w:tcPr>
            <w:tcW w:type="dxa" w:w="5783"/>
          </w:tcPr>
          <w:p>
            <w:pPr>
              <w:spacing w:after="20"/>
            </w:pPr>
            <w:r/>
            <w:r>
              <w:rPr>
                <w:b/>
                <w:sz w:val="17"/>
              </w:rPr>
              <w:t>Contingency reserve (balance)</w:t>
            </w:r>
          </w:p>
        </w:tc>
        <w:tc>
          <w:tcPr>
            <w:tcW w:type="dxa" w:w="1701"/>
          </w:tcPr>
          <w:p>
            <w:pPr>
              <w:spacing w:after="20"/>
            </w:pPr>
            <w:r/>
            <w:r>
              <w:rPr>
                <w:sz w:val="17"/>
              </w:rPr>
              <w:t>19.3</w:t>
            </w:r>
          </w:p>
        </w:tc>
        <w:tc>
          <w:tcPr>
            <w:tcW w:type="dxa" w:w="1701"/>
          </w:tcPr>
          <w:p>
            <w:pPr>
              <w:spacing w:after="20"/>
            </w:pPr>
            <w:r/>
            <w:r>
              <w:rPr>
                <w:sz w:val="17"/>
              </w:rPr>
              <w:t>10.7%</w:t>
            </w:r>
          </w:p>
        </w:tc>
      </w:tr>
      <w:tr>
        <w:tc>
          <w:tcPr>
            <w:tcW w:type="dxa" w:w="5783"/>
          </w:tcPr>
          <w:p>
            <w:pPr>
              <w:spacing w:after="20"/>
            </w:pPr>
            <w:r/>
            <w:r>
              <w:rPr>
                <w:b/>
                <w:sz w:val="17"/>
              </w:rPr>
              <w:t>TOTAL</w:t>
            </w:r>
          </w:p>
        </w:tc>
        <w:tc>
          <w:tcPr>
            <w:tcW w:type="dxa" w:w="1701"/>
          </w:tcPr>
          <w:p>
            <w:pPr>
              <w:spacing w:after="20"/>
            </w:pPr>
            <w:r/>
            <w:r>
              <w:rPr>
                <w:sz w:val="17"/>
              </w:rPr>
              <w:t>180.0</w:t>
            </w:r>
          </w:p>
        </w:tc>
        <w:tc>
          <w:tcPr>
            <w:tcW w:type="dxa" w:w="1701"/>
          </w:tcPr>
          <w:p>
            <w:pPr>
              <w:spacing w:after="20"/>
            </w:pPr>
            <w:r/>
            <w:r>
              <w:rPr>
                <w:sz w:val="17"/>
              </w:rPr>
              <w:t>100.0%</w:t>
            </w:r>
          </w:p>
        </w:tc>
      </w:tr>
    </w:tbl>
    <w:p>
      <w:pPr>
        <w:spacing w:after="40"/>
      </w:pPr>
    </w:p>
    <w:p>
      <w:pPr>
        <w:pStyle w:val="ListBullet"/>
        <w:spacing w:after="40"/>
      </w:pPr>
      <w:r>
        <w:rPr>
          <w:b/>
        </w:rPr>
        <w:t>People:</w:t>
      </w:r>
      <w:r>
        <w:t xml:space="preserve"> about 46% — a team of research, platform, trust, product and pilot specialists. Headcount and cost per role are in Burn_Plan.</w:t>
      </w:r>
    </w:p>
    <w:p>
      <w:pPr>
        <w:pStyle w:val="ListBullet"/>
        <w:spacing w:after="40"/>
      </w:pPr>
      <w:r>
        <w:rPr>
          <w:b/>
        </w:rPr>
        <w:t>Proof and protection:</w:t>
      </w:r>
      <w:r>
        <w:t xml:space="preserve"> independent validation, security certification and IP/standards (together about ₹24 Cr) are what convert claims into evidence and protect the exit asset.</w:t>
      </w:r>
    </w:p>
    <w:p>
      <w:pPr>
        <w:pStyle w:val="ListBullet"/>
        <w:spacing w:after="40"/>
      </w:pPr>
      <w:r>
        <w:rPr>
          <w:b/>
        </w:rPr>
        <w:t>Demand and counterparty:</w:t>
      </w:r>
      <w:r>
        <w:t xml:space="preserve"> pilots, design partners and Co-Creator advisory (about ₹22 Cr) are the Stage 2 engine.</w:t>
      </w:r>
    </w:p>
    <w:p>
      <w:pPr>
        <w:pStyle w:val="ListBullet"/>
        <w:spacing w:after="40"/>
      </w:pPr>
      <w:r>
        <w:rPr>
          <w:b/>
        </w:rPr>
        <w:t>Compute:</w:t>
      </w:r>
      <w:r>
        <w:t xml:space="preserve"> compute is deliberately modest (about 7%) because the product is a model-agnostic layer, not a model.</w:t>
      </w:r>
    </w:p>
    <w:p>
      <w:pPr>
        <w:pStyle w:val="ListBullet"/>
        <w:spacing w:after="40"/>
      </w:pPr>
      <w:r>
        <w:rPr>
          <w:b/>
        </w:rPr>
        <w:t>Reserve and founder allocation:</w:t>
      </w:r>
      <w:r>
        <w:t xml:space="preserve"> ₹19.3 Cr (10.7%) — slippage, extended runway or Gate 3 transaction costs. The founder’s allocation, once defined, reduces this line, which is why it should be agreed before term sheets circulate.</w:t>
      </w:r>
    </w:p>
    <w:p>
      <w:r>
        <w:rPr>
          <w:b w:val="0"/>
          <w:i w:val="0"/>
          <w:sz w:val="18"/>
        </w:rPr>
        <w:t>Each tranche funds a defined stage window; the model shows window spend against tranche received. Windows 2 and 3 run marginally over their tranche (−₹2.0 Cr and −₹0.5 Cr) and are covered by surplus carried from window 1; cash never falls below ₹12.9 Cr.</w:t>
      </w:r>
    </w:p>
    <w:p>
      <w:pPr>
        <w:pStyle w:val="Heading1"/>
      </w:pPr>
      <w:r>
        <w:t>8. Exit plan</w:t>
      </w:r>
    </w:p>
    <w:p>
      <w:r>
        <w:rPr>
          <w:b w:val="0"/>
          <w:i w:val="0"/>
        </w:rPr>
        <w:t>The founder’s roadmap gives two end-games at Stage 3: build the Super Intellect with the Co-Creator, or hand the research to the Co-Creator and exit. In practice there are five routes to liquidity, and the term sheet should preserve all of them.</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154"/>
            <w:shd w:val="clear" w:color="auto" w:fill="3B4A6B"/>
          </w:tcPr>
          <w:p>
            <w:pPr>
              <w:spacing w:after="20"/>
            </w:pPr>
            <w:r/>
            <w:r>
              <w:rPr>
                <w:b/>
                <w:color w:val="FFFFFF"/>
                <w:sz w:val="16"/>
              </w:rPr>
              <w:t>Route</w:t>
            </w:r>
          </w:p>
        </w:tc>
        <w:tc>
          <w:tcPr>
            <w:tcW w:type="dxa" w:w="2721"/>
            <w:shd w:val="clear" w:color="auto" w:fill="3B4A6B"/>
          </w:tcPr>
          <w:p>
            <w:pPr>
              <w:spacing w:after="20"/>
            </w:pPr>
            <w:r/>
            <w:r>
              <w:rPr>
                <w:b/>
                <w:color w:val="FFFFFF"/>
                <w:sz w:val="16"/>
              </w:rPr>
              <w:t>How the investor is paid</w:t>
            </w:r>
          </w:p>
        </w:tc>
        <w:tc>
          <w:tcPr>
            <w:tcW w:type="dxa" w:w="1247"/>
            <w:shd w:val="clear" w:color="auto" w:fill="3B4A6B"/>
          </w:tcPr>
          <w:p>
            <w:pPr>
              <w:spacing w:after="20"/>
            </w:pPr>
            <w:r/>
            <w:r>
              <w:rPr>
                <w:b/>
                <w:color w:val="FFFFFF"/>
                <w:sz w:val="16"/>
              </w:rPr>
              <w:t>Typical timing</w:t>
            </w:r>
          </w:p>
        </w:tc>
        <w:tc>
          <w:tcPr>
            <w:tcW w:type="dxa" w:w="3288"/>
            <w:shd w:val="clear" w:color="auto" w:fill="3B4A6B"/>
          </w:tcPr>
          <w:p>
            <w:pPr>
              <w:spacing w:after="20"/>
            </w:pPr>
            <w:r/>
            <w:r>
              <w:rPr>
                <w:b/>
                <w:color w:val="FFFFFF"/>
                <w:sz w:val="16"/>
              </w:rPr>
              <w:t>Notes</w:t>
            </w:r>
          </w:p>
        </w:tc>
      </w:tr>
      <w:tr>
        <w:tc>
          <w:tcPr>
            <w:tcW w:type="dxa" w:w="2154"/>
          </w:tcPr>
          <w:p>
            <w:pPr>
              <w:spacing w:after="20"/>
            </w:pPr>
            <w:r/>
            <w:r>
              <w:rPr>
                <w:b/>
                <w:sz w:val="16"/>
              </w:rPr>
              <w:t>A. Strategic sale / exclusive licence of IP and platform</w:t>
            </w:r>
          </w:p>
        </w:tc>
        <w:tc>
          <w:tcPr>
            <w:tcW w:type="dxa" w:w="2721"/>
          </w:tcPr>
          <w:p>
            <w:pPr>
              <w:spacing w:after="20"/>
            </w:pPr>
            <w:r/>
            <w:r>
              <w:rPr>
                <w:sz w:val="16"/>
              </w:rPr>
              <w:t>Cash or stock from the Co-Creator; proceeds distributed per waterfall (1x preference first)</w:t>
            </w:r>
          </w:p>
        </w:tc>
        <w:tc>
          <w:tcPr>
            <w:tcW w:type="dxa" w:w="1247"/>
          </w:tcPr>
          <w:p>
            <w:pPr>
              <w:spacing w:after="20"/>
            </w:pPr>
            <w:r/>
            <w:r>
              <w:rPr>
                <w:sz w:val="16"/>
              </w:rPr>
              <w:t>Years 4–6</w:t>
            </w:r>
          </w:p>
        </w:tc>
        <w:tc>
          <w:tcPr>
            <w:tcW w:type="dxa" w:w="3288"/>
          </w:tcPr>
          <w:p>
            <w:pPr>
              <w:spacing w:after="20"/>
            </w:pPr>
            <w:r/>
            <w:r>
              <w:rPr>
                <w:sz w:val="16"/>
              </w:rPr>
              <w:t>Maps to scenario S2. Licence-and-hire structures have precedent. Co-creation agreement should state a floor price or formula up front.</w:t>
            </w:r>
          </w:p>
        </w:tc>
      </w:tr>
      <w:tr>
        <w:tc>
          <w:tcPr>
            <w:tcW w:type="dxa" w:w="2154"/>
          </w:tcPr>
          <w:p>
            <w:pPr>
              <w:spacing w:after="20"/>
            </w:pPr>
            <w:r/>
            <w:r>
              <w:rPr>
                <w:b/>
                <w:sz w:val="16"/>
              </w:rPr>
              <w:t>B. Co-creation JV with share swap</w:t>
            </w:r>
          </w:p>
        </w:tc>
        <w:tc>
          <w:tcPr>
            <w:tcW w:type="dxa" w:w="2721"/>
          </w:tcPr>
          <w:p>
            <w:pPr>
              <w:spacing w:after="20"/>
            </w:pPr>
            <w:r/>
            <w:r>
              <w:rPr>
                <w:sz w:val="16"/>
              </w:rPr>
              <w:t>Equity in the JV or the Co-Creator’s listed/unlisted stock; liquidity via lock-up expiry or secondary</w:t>
            </w:r>
          </w:p>
        </w:tc>
        <w:tc>
          <w:tcPr>
            <w:tcW w:type="dxa" w:w="1247"/>
          </w:tcPr>
          <w:p>
            <w:pPr>
              <w:spacing w:after="20"/>
            </w:pPr>
            <w:r/>
            <w:r>
              <w:rPr>
                <w:sz w:val="16"/>
              </w:rPr>
              <w:t>Years 5–7</w:t>
            </w:r>
          </w:p>
        </w:tc>
        <w:tc>
          <w:tcPr>
            <w:tcW w:type="dxa" w:w="3288"/>
          </w:tcPr>
          <w:p>
            <w:pPr>
              <w:spacing w:after="20"/>
            </w:pPr>
            <w:r/>
            <w:r>
              <w:rPr>
                <w:sz w:val="16"/>
              </w:rPr>
              <w:t>Maps to S1 — the large outcome. Needs FEMA/FDI review if the Co-Creator is foreign.</w:t>
            </w:r>
          </w:p>
        </w:tc>
      </w:tr>
      <w:tr>
        <w:tc>
          <w:tcPr>
            <w:tcW w:type="dxa" w:w="2154"/>
          </w:tcPr>
          <w:p>
            <w:pPr>
              <w:spacing w:after="20"/>
            </w:pPr>
            <w:r/>
            <w:r>
              <w:rPr>
                <w:b/>
                <w:sz w:val="16"/>
              </w:rPr>
              <w:t>C. Partial licence + team/IP transfer</w:t>
            </w:r>
          </w:p>
        </w:tc>
        <w:tc>
          <w:tcPr>
            <w:tcW w:type="dxa" w:w="2721"/>
          </w:tcPr>
          <w:p>
            <w:pPr>
              <w:spacing w:after="20"/>
            </w:pPr>
            <w:r/>
            <w:r>
              <w:rPr>
                <w:sz w:val="16"/>
              </w:rPr>
              <w:t>Licence fees and transfer consideration; preference protects capital</w:t>
            </w:r>
          </w:p>
        </w:tc>
        <w:tc>
          <w:tcPr>
            <w:tcW w:type="dxa" w:w="1247"/>
          </w:tcPr>
          <w:p>
            <w:pPr>
              <w:spacing w:after="20"/>
            </w:pPr>
            <w:r/>
            <w:r>
              <w:rPr>
                <w:sz w:val="16"/>
              </w:rPr>
              <w:t>Years 3–5</w:t>
            </w:r>
          </w:p>
        </w:tc>
        <w:tc>
          <w:tcPr>
            <w:tcW w:type="dxa" w:w="3288"/>
          </w:tcPr>
          <w:p>
            <w:pPr>
              <w:spacing w:after="20"/>
            </w:pPr>
            <w:r/>
            <w:r>
              <w:rPr>
                <w:sz w:val="16"/>
              </w:rPr>
              <w:t>Maps to S3. Capital back, modest upside.</w:t>
            </w:r>
          </w:p>
        </w:tc>
      </w:tr>
      <w:tr>
        <w:tc>
          <w:tcPr>
            <w:tcW w:type="dxa" w:w="2154"/>
          </w:tcPr>
          <w:p>
            <w:pPr>
              <w:spacing w:after="20"/>
            </w:pPr>
            <w:r/>
            <w:r>
              <w:rPr>
                <w:b/>
                <w:sz w:val="16"/>
              </w:rPr>
              <w:t>D. Secondary sale at a priced follow-on round</w:t>
            </w:r>
          </w:p>
        </w:tc>
        <w:tc>
          <w:tcPr>
            <w:tcW w:type="dxa" w:w="2721"/>
          </w:tcPr>
          <w:p>
            <w:pPr>
              <w:spacing w:after="20"/>
            </w:pPr>
            <w:r/>
            <w:r>
              <w:rPr>
                <w:sz w:val="16"/>
              </w:rPr>
              <w:t>Investor sells part of the stake to a later-stage investor at a step-up</w:t>
            </w:r>
          </w:p>
        </w:tc>
        <w:tc>
          <w:tcPr>
            <w:tcW w:type="dxa" w:w="1247"/>
          </w:tcPr>
          <w:p>
            <w:pPr>
              <w:spacing w:after="20"/>
            </w:pPr>
            <w:r/>
            <w:r>
              <w:rPr>
                <w:sz w:val="16"/>
              </w:rPr>
              <w:t>Years 3–4</w:t>
            </w:r>
          </w:p>
        </w:tc>
        <w:tc>
          <w:tcPr>
            <w:tcW w:type="dxa" w:w="3288"/>
          </w:tcPr>
          <w:p>
            <w:pPr>
              <w:spacing w:after="20"/>
            </w:pPr>
            <w:r/>
            <w:r>
              <w:rPr>
                <w:sz w:val="16"/>
              </w:rPr>
              <w:t>Depends on Gate 2 evidence. Requires tag/co-sale rights and no transfer lock beyond a set period.</w:t>
            </w:r>
          </w:p>
        </w:tc>
      </w:tr>
      <w:tr>
        <w:tc>
          <w:tcPr>
            <w:tcW w:type="dxa" w:w="2154"/>
          </w:tcPr>
          <w:p>
            <w:pPr>
              <w:spacing w:after="20"/>
            </w:pPr>
            <w:r/>
            <w:r>
              <w:rPr>
                <w:b/>
                <w:sz w:val="16"/>
              </w:rPr>
              <w:t>E. Option, put or buy-back from the Co-Creator</w:t>
            </w:r>
          </w:p>
        </w:tc>
        <w:tc>
          <w:tcPr>
            <w:tcW w:type="dxa" w:w="2721"/>
          </w:tcPr>
          <w:p>
            <w:pPr>
              <w:spacing w:after="20"/>
            </w:pPr>
            <w:r/>
            <w:r>
              <w:rPr>
                <w:sz w:val="16"/>
              </w:rPr>
              <w:t>Pre-agreed price on exercise of an option/put negotiated in the co-creation agreement</w:t>
            </w:r>
          </w:p>
        </w:tc>
        <w:tc>
          <w:tcPr>
            <w:tcW w:type="dxa" w:w="1247"/>
          </w:tcPr>
          <w:p>
            <w:pPr>
              <w:spacing w:after="20"/>
            </w:pPr>
            <w:r/>
            <w:r>
              <w:rPr>
                <w:sz w:val="16"/>
              </w:rPr>
              <w:t>On trigger</w:t>
            </w:r>
          </w:p>
        </w:tc>
        <w:tc>
          <w:tcPr>
            <w:tcW w:type="dxa" w:w="3288"/>
          </w:tcPr>
          <w:p>
            <w:pPr>
              <w:spacing w:after="20"/>
            </w:pPr>
            <w:r/>
            <w:r>
              <w:rPr>
                <w:sz w:val="16"/>
              </w:rPr>
              <w:t>Best protection. The exclusivity fee in Stage 2 is the natural place to negotiate it.</w:t>
            </w:r>
          </w:p>
        </w:tc>
      </w:tr>
    </w:tbl>
    <w:p>
      <w:pPr>
        <w:spacing w:after="40"/>
      </w:pPr>
    </w:p>
    <w:p>
      <w:r>
        <w:rPr>
          <w:b w:val="0"/>
          <w:i w:val="0"/>
        </w:rPr>
        <w:t>Exit-readiness is built in from day one: clean cap table, all IP assigned to the company, a data room (Section 11), SAB reports, an amendment ledger of Canon changes, and a Truthiness report each quarter. A buyer’s diligence is cheaper and faster when claims already carry their states.</w:t>
      </w:r>
    </w:p>
    <w:p>
      <w:pPr>
        <w:pStyle w:val="Heading1"/>
      </w:pPr>
      <w:r>
        <w:t>9. Investor protection</w:t>
      </w:r>
    </w:p>
    <w:p>
      <w:r>
        <w:rPr>
          <w:b w:val="0"/>
          <w:i w:val="0"/>
        </w:rPr>
        <w:t>Proposed term-sheet protections. All are negotiable and must be settled with counsel; they are listed with the risk each one addresses.</w:t>
      </w:r>
    </w:p>
    <w:tbl>
      <w:tblPr>
        <w:tblStyle w:val="TableGrid"/>
        <w:tblW w:type="auto" w:w="0"/>
        <w:jc w:val="center"/>
        <w:tblLayout w:type="fixed"/>
        <w:tblLook w:firstColumn="1" w:firstRow="1" w:lastColumn="0" w:lastRow="0" w:noHBand="0" w:noVBand="1" w:val="04A0"/>
      </w:tblPr>
      <w:tblGrid>
        <w:gridCol w:w="4873"/>
        <w:gridCol w:w="4873"/>
      </w:tblGrid>
      <w:tr>
        <w:tc>
          <w:tcPr>
            <w:tcW w:type="dxa" w:w="6350"/>
            <w:shd w:val="clear" w:color="auto" w:fill="3B4A6B"/>
          </w:tcPr>
          <w:p>
            <w:pPr>
              <w:spacing w:after="20"/>
            </w:pPr>
            <w:r/>
            <w:r>
              <w:rPr>
                <w:b/>
                <w:color w:val="FFFFFF"/>
                <w:sz w:val="17"/>
              </w:rPr>
              <w:t>Protection</w:t>
            </w:r>
          </w:p>
        </w:tc>
        <w:tc>
          <w:tcPr>
            <w:tcW w:type="dxa" w:w="3061"/>
            <w:shd w:val="clear" w:color="auto" w:fill="3B4A6B"/>
          </w:tcPr>
          <w:p>
            <w:pPr>
              <w:spacing w:after="20"/>
            </w:pPr>
            <w:r/>
            <w:r>
              <w:rPr>
                <w:b/>
                <w:color w:val="FFFFFF"/>
                <w:sz w:val="17"/>
              </w:rPr>
              <w:t>Risk addressed</w:t>
            </w:r>
          </w:p>
        </w:tc>
      </w:tr>
      <w:tr>
        <w:tc>
          <w:tcPr>
            <w:tcW w:type="dxa" w:w="6350"/>
          </w:tcPr>
          <w:p>
            <w:pPr>
              <w:spacing w:after="20"/>
            </w:pPr>
            <w:r/>
            <w:r>
              <w:rPr>
                <w:b/>
                <w:sz w:val="17"/>
              </w:rPr>
              <w:t>Four tranches released on gates verified by an independent Scientific Advisory Board; unreleased funds held in escrow/with a trustee</w:t>
            </w:r>
          </w:p>
        </w:tc>
        <w:tc>
          <w:tcPr>
            <w:tcW w:type="dxa" w:w="3061"/>
          </w:tcPr>
          <w:p>
            <w:pPr>
              <w:spacing w:after="20"/>
            </w:pPr>
            <w:r/>
            <w:r>
              <w:rPr>
                <w:sz w:val="17"/>
              </w:rPr>
              <w:t>Paying full price before proof</w:t>
            </w:r>
          </w:p>
        </w:tc>
      </w:tr>
      <w:tr>
        <w:tc>
          <w:tcPr>
            <w:tcW w:type="dxa" w:w="6350"/>
          </w:tcPr>
          <w:p>
            <w:pPr>
              <w:spacing w:after="20"/>
            </w:pPr>
            <w:r/>
            <w:r>
              <w:rPr>
                <w:b/>
                <w:sz w:val="17"/>
              </w:rPr>
              <w:t>CCPS with 1x non-participating liquidation preference, senior to common</w:t>
            </w:r>
          </w:p>
        </w:tc>
        <w:tc>
          <w:tcPr>
            <w:tcW w:type="dxa" w:w="3061"/>
          </w:tcPr>
          <w:p>
            <w:pPr>
              <w:spacing w:after="20"/>
            </w:pPr>
            <w:r/>
            <w:r>
              <w:rPr>
                <w:sz w:val="17"/>
              </w:rPr>
              <w:t>Low-value exits (S3) and wind-downs</w:t>
            </w:r>
          </w:p>
        </w:tc>
      </w:tr>
      <w:tr>
        <w:tc>
          <w:tcPr>
            <w:tcW w:type="dxa" w:w="6350"/>
          </w:tcPr>
          <w:p>
            <w:pPr>
              <w:spacing w:after="20"/>
            </w:pPr>
            <w:r/>
            <w:r>
              <w:rPr>
                <w:b/>
                <w:sz w:val="17"/>
              </w:rPr>
              <w:t>Optional valuation step-up pricing or downside ratchet if a gate is missed</w:t>
            </w:r>
          </w:p>
        </w:tc>
        <w:tc>
          <w:tcPr>
            <w:tcW w:type="dxa" w:w="3061"/>
          </w:tcPr>
          <w:p>
            <w:pPr>
              <w:spacing w:after="20"/>
            </w:pPr>
            <w:r/>
            <w:r>
              <w:rPr>
                <w:sz w:val="17"/>
              </w:rPr>
              <w:t>High headline price; resets entry price to evidence</w:t>
            </w:r>
          </w:p>
        </w:tc>
      </w:tr>
      <w:tr>
        <w:tc>
          <w:tcPr>
            <w:tcW w:type="dxa" w:w="6350"/>
          </w:tcPr>
          <w:p>
            <w:pPr>
              <w:spacing w:after="20"/>
            </w:pPr>
            <w:r/>
            <w:r>
              <w:rPr>
                <w:b/>
                <w:sz w:val="17"/>
              </w:rPr>
              <w:t>Broad-based weighted-average anti-dilution; pro-rata rights in future rounds</w:t>
            </w:r>
          </w:p>
        </w:tc>
        <w:tc>
          <w:tcPr>
            <w:tcW w:type="dxa" w:w="3061"/>
          </w:tcPr>
          <w:p>
            <w:pPr>
              <w:spacing w:after="20"/>
            </w:pPr>
            <w:r/>
            <w:r>
              <w:rPr>
                <w:sz w:val="17"/>
              </w:rPr>
              <w:t>Dilution at a lower price; losing ownership in a winner</w:t>
            </w:r>
          </w:p>
        </w:tc>
      </w:tr>
      <w:tr>
        <w:tc>
          <w:tcPr>
            <w:tcW w:type="dxa" w:w="6350"/>
          </w:tcPr>
          <w:p>
            <w:pPr>
              <w:spacing w:after="20"/>
            </w:pPr>
            <w:r/>
            <w:r>
              <w:rPr>
                <w:b/>
                <w:sz w:val="17"/>
              </w:rPr>
              <w:t>Reserved matters needing investor consent: sale, licence or encumbrance of core IP; changes to Canon definitions without a dated amendment; new share issues; related-party deals; founder compensation above the agreed cap; budget variances over 10%</w:t>
            </w:r>
          </w:p>
        </w:tc>
        <w:tc>
          <w:tcPr>
            <w:tcW w:type="dxa" w:w="3061"/>
          </w:tcPr>
          <w:p>
            <w:pPr>
              <w:spacing w:after="20"/>
            </w:pPr>
            <w:r/>
            <w:r>
              <w:rPr>
                <w:sz w:val="17"/>
              </w:rPr>
              <w:t>Value leakage and mission drift</w:t>
            </w:r>
          </w:p>
        </w:tc>
      </w:tr>
      <w:tr>
        <w:tc>
          <w:tcPr>
            <w:tcW w:type="dxa" w:w="6350"/>
          </w:tcPr>
          <w:p>
            <w:pPr>
              <w:spacing w:after="20"/>
            </w:pPr>
            <w:r/>
            <w:r>
              <w:rPr>
                <w:b/>
                <w:sz w:val="17"/>
              </w:rPr>
              <w:t>IP: assignment of all IP to the company (or a ring-fenced IP entity); specification and source escrowed with an independent agent; patents and trademarks filed</w:t>
            </w:r>
          </w:p>
        </w:tc>
        <w:tc>
          <w:tcPr>
            <w:tcW w:type="dxa" w:w="3061"/>
          </w:tcPr>
          <w:p>
            <w:pPr>
              <w:spacing w:after="20"/>
            </w:pPr>
            <w:r/>
            <w:r>
              <w:rPr>
                <w:sz w:val="17"/>
              </w:rPr>
              <w:t>Key-person and asset-transfer risk; ability to sell IP in a downside</w:t>
            </w:r>
          </w:p>
        </w:tc>
      </w:tr>
      <w:tr>
        <w:tc>
          <w:tcPr>
            <w:tcW w:type="dxa" w:w="6350"/>
          </w:tcPr>
          <w:p>
            <w:pPr>
              <w:spacing w:after="20"/>
            </w:pPr>
            <w:r/>
            <w:r>
              <w:rPr>
                <w:b/>
                <w:sz w:val="17"/>
              </w:rPr>
              <w:t>Information rights: quarterly financial and Truthiness report (claim states updated), KPI dashboard, annual audit</w:t>
            </w:r>
          </w:p>
        </w:tc>
        <w:tc>
          <w:tcPr>
            <w:tcW w:type="dxa" w:w="3061"/>
          </w:tcPr>
          <w:p>
            <w:pPr>
              <w:spacing w:after="20"/>
            </w:pPr>
            <w:r/>
            <w:r>
              <w:rPr>
                <w:sz w:val="17"/>
              </w:rPr>
              <w:t>Opacity; surprises</w:t>
            </w:r>
          </w:p>
        </w:tc>
      </w:tr>
      <w:tr>
        <w:tc>
          <w:tcPr>
            <w:tcW w:type="dxa" w:w="6350"/>
          </w:tcPr>
          <w:p>
            <w:pPr>
              <w:spacing w:after="20"/>
            </w:pPr>
            <w:r/>
            <w:r>
              <w:rPr>
                <w:b/>
                <w:sz w:val="17"/>
              </w:rPr>
              <w:t>Board: lead-investor director, an independent director, SAB reporting directly to the board</w:t>
            </w:r>
          </w:p>
        </w:tc>
        <w:tc>
          <w:tcPr>
            <w:tcW w:type="dxa" w:w="3061"/>
          </w:tcPr>
          <w:p>
            <w:pPr>
              <w:spacing w:after="20"/>
            </w:pPr>
            <w:r/>
            <w:r>
              <w:rPr>
                <w:sz w:val="17"/>
              </w:rPr>
              <w:t>Governance gaps</w:t>
            </w:r>
          </w:p>
        </w:tc>
      </w:tr>
      <w:tr>
        <w:tc>
          <w:tcPr>
            <w:tcW w:type="dxa" w:w="6350"/>
          </w:tcPr>
          <w:p>
            <w:pPr>
              <w:spacing w:after="20"/>
            </w:pPr>
            <w:r/>
            <w:r>
              <w:rPr>
                <w:b/>
                <w:sz w:val="17"/>
              </w:rPr>
              <w:t>Founder: reverse vesting, full-time commitment, key-person insurance, non-compete and IP/confidentiality undertakings, capped and disclosed compensation</w:t>
            </w:r>
          </w:p>
        </w:tc>
        <w:tc>
          <w:tcPr>
            <w:tcW w:type="dxa" w:w="3061"/>
          </w:tcPr>
          <w:p>
            <w:pPr>
              <w:spacing w:after="20"/>
            </w:pPr>
            <w:r/>
            <w:r>
              <w:rPr>
                <w:sz w:val="17"/>
              </w:rPr>
              <w:t>Founder risk; misaligned incentives</w:t>
            </w:r>
          </w:p>
        </w:tc>
      </w:tr>
      <w:tr>
        <w:tc>
          <w:tcPr>
            <w:tcW w:type="dxa" w:w="6350"/>
          </w:tcPr>
          <w:p>
            <w:pPr>
              <w:spacing w:after="20"/>
            </w:pPr>
            <w:r/>
            <w:r>
              <w:rPr>
                <w:b/>
                <w:sz w:val="17"/>
              </w:rPr>
              <w:t>Exit rights: right of first refusal, tag-along, drag-along with a price floor, investor-initiated sale process after a long-stop date, co-creation agreement terms (floor price / put) notified to investors</w:t>
            </w:r>
          </w:p>
        </w:tc>
        <w:tc>
          <w:tcPr>
            <w:tcW w:type="dxa" w:w="3061"/>
          </w:tcPr>
          <w:p>
            <w:pPr>
              <w:spacing w:after="20"/>
            </w:pPr>
            <w:r/>
            <w:r>
              <w:rPr>
                <w:sz w:val="17"/>
              </w:rPr>
              <w:t>Being trapped or being dragged at a bad price</w:t>
            </w:r>
          </w:p>
        </w:tc>
      </w:tr>
      <w:tr>
        <w:tc>
          <w:tcPr>
            <w:tcW w:type="dxa" w:w="6350"/>
          </w:tcPr>
          <w:p>
            <w:pPr>
              <w:spacing w:after="20"/>
            </w:pPr>
            <w:r/>
            <w:r>
              <w:rPr>
                <w:b/>
                <w:sz w:val="17"/>
              </w:rPr>
              <w:t>Wind-down waterfall: unspent cash returned first, then IP salvage sale</w:t>
            </w:r>
          </w:p>
        </w:tc>
        <w:tc>
          <w:tcPr>
            <w:tcW w:type="dxa" w:w="3061"/>
          </w:tcPr>
          <w:p>
            <w:pPr>
              <w:spacing w:after="20"/>
            </w:pPr>
            <w:r/>
            <w:r>
              <w:rPr>
                <w:sz w:val="17"/>
              </w:rPr>
              <w:t>Recovery in failure scenarios (model assumes 20–30% of capital deployed)</w:t>
            </w:r>
          </w:p>
        </w:tc>
      </w:tr>
    </w:tbl>
    <w:p>
      <w:pPr>
        <w:spacing w:after="40"/>
      </w:pPr>
    </w:p>
    <w:p>
      <w:r>
        <w:rPr>
          <w:b w:val="0"/>
          <w:i w:val="0"/>
          <w:sz w:val="19"/>
        </w:rPr>
        <w:t>Consistency with the Canon: the amendment ledger (“definitions cannot be silently rewritten; corrections require an explicit amendment”) is itself an investor protection, because the object being bought cannot change quietly.</w:t>
      </w:r>
    </w:p>
    <w:p>
      <w:pPr>
        <w:pStyle w:val="Heading1"/>
      </w:pPr>
      <w:r>
        <w:t>10. Running the round in India</w:t>
      </w:r>
    </w:p>
    <w:p>
      <w:pPr>
        <w:pStyle w:val="ListBullet"/>
        <w:spacing w:after="40"/>
      </w:pPr>
      <w:r>
        <w:rPr>
          <w:b/>
        </w:rPr>
        <w:t>Angel funds cannot fill ₹180 Cr.</w:t>
      </w:r>
      <w:r>
        <w:t xml:space="preserve"> SEBI’s board approved (June 2025) angel funds investing between ₹10 lakh and ₹25 Cr per startup, with accredited investors only; the final notification should be verified. A single angel fund therefore covers at most about 14% of this round. A lead investor, anchors and family offices are structurally required.</w:t>
      </w:r>
    </w:p>
    <w:p>
      <w:pPr>
        <w:pStyle w:val="ListBullet"/>
        <w:spacing w:after="40"/>
      </w:pPr>
      <w:r>
        <w:rPr>
          <w:b/>
        </w:rPr>
        <w:t>Placement limits.</w:t>
      </w:r>
      <w:r>
        <w:t xml:space="preserve"> Private placement is limited to a maximum number of persons per financial year (200 in the usual formulation); qualified institutional buyers are treated differently. Counsel should confirm how the syndicate is built.</w:t>
      </w:r>
    </w:p>
    <w:p>
      <w:pPr>
        <w:pStyle w:val="ListBullet"/>
        <w:spacing w:after="40"/>
      </w:pPr>
      <w:r>
        <w:rPr>
          <w:b/>
        </w:rPr>
        <w:t>Tax and valuation.</w:t>
      </w:r>
      <w:r>
        <w:t xml:space="preserve"> The angel tax under Section 56(2)(viib) was abolished with effect from 1 April 2025, removing the tax risk of a premium over fair value for resident and non-resident investors. A valuation report may still be needed for company-law or FEMA pricing purposes.</w:t>
      </w:r>
    </w:p>
    <w:p>
      <w:pPr>
        <w:pStyle w:val="ListBullet"/>
        <w:spacing w:after="40"/>
      </w:pPr>
      <w:r>
        <w:rPr>
          <w:b/>
        </w:rPr>
        <w:t>FEMA.</w:t>
      </w:r>
      <w:r>
        <w:t xml:space="preserve"> If any investor or the Co-Creator is non-resident, FEMA/FDI pricing, reporting and sectoral conditions apply; share-swap exits need specific review.</w:t>
      </w:r>
    </w:p>
    <w:p>
      <w:pPr>
        <w:pStyle w:val="ListBullet"/>
        <w:spacing w:after="40"/>
      </w:pPr>
      <w:r>
        <w:rPr>
          <w:b/>
        </w:rPr>
        <w:t>Counsel.</w:t>
      </w:r>
      <w:r>
        <w:t xml:space="preserve"> All of the above is a planning outline, not legal or tax advice.</w:t>
      </w:r>
    </w:p>
    <w:p>
      <w:pPr>
        <w:pStyle w:val="Heading1"/>
      </w:pPr>
      <w:r>
        <w:t>11. Diligence readiness and next 90 days</w:t>
      </w:r>
    </w:p>
    <w:p>
      <w:pPr>
        <w:spacing w:after="40"/>
      </w:pPr>
      <w:r>
        <w:rPr>
          <w:b/>
          <w:i w:val="0"/>
        </w:rPr>
        <w:t>Data room (build now):</w:t>
      </w:r>
    </w:p>
    <w:p>
      <w:pPr>
        <w:pStyle w:val="ListBullet"/>
        <w:spacing w:after="40"/>
      </w:pPr>
      <w:r>
        <w:t xml:space="preserve"> Frozen Core 1.0, Decision Ledger and amendment ledger</w:t>
      </w:r>
    </w:p>
    <w:p>
      <w:pPr>
        <w:pStyle w:val="ListBullet"/>
        <w:spacing w:after="40"/>
      </w:pPr>
      <w:r>
        <w:t xml:space="preserve"> Specification v0.x of Portable Cognitive Identity (8 layers) and the continuity handshake; XOS architecture overview</w:t>
      </w:r>
    </w:p>
    <w:p>
      <w:pPr>
        <w:pStyle w:val="ListBullet"/>
        <w:spacing w:after="40"/>
      </w:pPr>
      <w:r>
        <w:t xml:space="preserve"> Truthiness_Ledger with current states, owners and falsifier dates</w:t>
      </w:r>
    </w:p>
    <w:p>
      <w:pPr>
        <w:pStyle w:val="ListBullet"/>
        <w:spacing w:after="40"/>
      </w:pPr>
      <w:r>
        <w:t xml:space="preserve"> Financial model, Burn_Plan and hiring plan</w:t>
      </w:r>
    </w:p>
    <w:p>
      <w:pPr>
        <w:pStyle w:val="ListBullet"/>
        <w:spacing w:after="40"/>
      </w:pPr>
      <w:r>
        <w:t xml:space="preserve"> Cap table, IP assignment, founder agreements, board and SAB composition</w:t>
      </w:r>
    </w:p>
    <w:p>
      <w:pPr>
        <w:pStyle w:val="ListBullet"/>
        <w:spacing w:after="40"/>
      </w:pPr>
      <w:r>
        <w:t xml:space="preserve"> Prior-art / freedom-to-operate search plan; patent strategy</w:t>
      </w:r>
    </w:p>
    <w:p>
      <w:pPr>
        <w:pStyle w:val="ListBullet"/>
        <w:spacing w:after="40"/>
      </w:pPr>
      <w:r>
        <w:t xml:space="preserve"> Legal opinion on DPDP Act fit; data-protection design principles</w:t>
      </w:r>
    </w:p>
    <w:p>
      <w:pPr>
        <w:pStyle w:val="ListBullet"/>
        <w:spacing w:after="40"/>
      </w:pPr>
      <w:r>
        <w:t xml:space="preserve"> Co-Creator long list (20–30 organisations) with relationship owners</w:t>
      </w:r>
    </w:p>
    <w:p>
      <w:pPr>
        <w:pStyle w:val="ListBullet"/>
        <w:spacing w:after="40"/>
      </w:pPr>
      <w:r>
        <w:t xml:space="preserve"> Design-partner shortlist and draft pilot terms</w:t>
      </w:r>
    </w:p>
    <w:p>
      <w:pPr>
        <w:spacing w:after="40"/>
      </w:pPr>
      <w:r>
        <w:rPr>
          <w:b/>
          <w:i w:val="0"/>
        </w:rPr>
        <w:t>90-day plan (proposed):</w:t>
      </w:r>
    </w:p>
    <w:tbl>
      <w:tblPr>
        <w:tblStyle w:val="TableGrid"/>
        <w:tblW w:type="auto" w:w="0"/>
        <w:jc w:val="center"/>
        <w:tblLayout w:type="fixed"/>
        <w:tblLook w:firstColumn="1" w:firstRow="1" w:lastColumn="0" w:lastRow="0" w:noHBand="0" w:noVBand="1" w:val="04A0"/>
      </w:tblPr>
      <w:tblGrid>
        <w:gridCol w:w="4873"/>
        <w:gridCol w:w="4873"/>
      </w:tblGrid>
      <w:tr>
        <w:tc>
          <w:tcPr>
            <w:tcW w:type="dxa" w:w="1134"/>
            <w:shd w:val="clear" w:color="auto" w:fill="3B4A6B"/>
          </w:tcPr>
          <w:p>
            <w:pPr>
              <w:spacing w:after="20"/>
            </w:pPr>
            <w:r/>
            <w:r>
              <w:rPr>
                <w:b/>
                <w:color w:val="FFFFFF"/>
                <w:sz w:val="17"/>
              </w:rPr>
              <w:t>Weeks</w:t>
            </w:r>
          </w:p>
        </w:tc>
        <w:tc>
          <w:tcPr>
            <w:tcW w:type="dxa" w:w="8277"/>
            <w:shd w:val="clear" w:color="auto" w:fill="3B4A6B"/>
          </w:tcPr>
          <w:p>
            <w:pPr>
              <w:spacing w:after="20"/>
            </w:pPr>
            <w:r/>
            <w:r>
              <w:rPr>
                <w:b/>
                <w:color w:val="FFFFFF"/>
                <w:sz w:val="17"/>
              </w:rPr>
              <w:t>Actions</w:t>
            </w:r>
          </w:p>
        </w:tc>
      </w:tr>
      <w:tr>
        <w:tc>
          <w:tcPr>
            <w:tcW w:type="dxa" w:w="1134"/>
          </w:tcPr>
          <w:p>
            <w:pPr>
              <w:spacing w:after="20"/>
            </w:pPr>
            <w:r/>
            <w:r>
              <w:rPr>
                <w:b/>
                <w:sz w:val="17"/>
              </w:rPr>
              <w:t>0–4</w:t>
            </w:r>
          </w:p>
        </w:tc>
        <w:tc>
          <w:tcPr>
            <w:tcW w:type="dxa" w:w="8277"/>
          </w:tcPr>
          <w:p>
            <w:pPr>
              <w:spacing w:after="20"/>
            </w:pPr>
            <w:r/>
            <w:r>
              <w:rPr>
                <w:sz w:val="17"/>
              </w:rPr>
              <w:t>Confirm founder allocation, cap table and labels; finish XOS/proof sections of the Canon; appoint counsel and CA; draft data room; shortlist SAB members</w:t>
            </w:r>
          </w:p>
        </w:tc>
      </w:tr>
      <w:tr>
        <w:tc>
          <w:tcPr>
            <w:tcW w:type="dxa" w:w="1134"/>
          </w:tcPr>
          <w:p>
            <w:pPr>
              <w:spacing w:after="20"/>
            </w:pPr>
            <w:r/>
            <w:r>
              <w:rPr>
                <w:b/>
                <w:sz w:val="17"/>
              </w:rPr>
              <w:t>4–8</w:t>
            </w:r>
          </w:p>
        </w:tc>
        <w:tc>
          <w:tcPr>
            <w:tcW w:type="dxa" w:w="8277"/>
          </w:tcPr>
          <w:p>
            <w:pPr>
              <w:spacing w:after="20"/>
            </w:pPr>
            <w:r/>
            <w:r>
              <w:rPr>
                <w:sz w:val="17"/>
              </w:rPr>
              <w:t>Build a thin reference implementation on one model family; commission an independent benchmark; open conversations with 5 design partners; approach 3 potential lead investors with the evidence pack</w:t>
            </w:r>
          </w:p>
        </w:tc>
      </w:tr>
      <w:tr>
        <w:tc>
          <w:tcPr>
            <w:tcW w:type="dxa" w:w="1134"/>
          </w:tcPr>
          <w:p>
            <w:pPr>
              <w:spacing w:after="20"/>
            </w:pPr>
            <w:r/>
            <w:r>
              <w:rPr>
                <w:b/>
                <w:sz w:val="17"/>
              </w:rPr>
              <w:t>8–12</w:t>
            </w:r>
          </w:p>
        </w:tc>
        <w:tc>
          <w:tcPr>
            <w:tcW w:type="dxa" w:w="8277"/>
          </w:tcPr>
          <w:p>
            <w:pPr>
              <w:spacing w:after="20"/>
            </w:pPr>
            <w:r/>
            <w:r>
              <w:rPr>
                <w:sz w:val="17"/>
              </w:rPr>
              <w:t>Two design-partner letters; SAB charter signed; term-sheet discussions with the lead (stepped pricing or ratchet as the bridge); finalise syndicate; first Co-Creator exploratory meetings</w:t>
            </w:r>
          </w:p>
        </w:tc>
      </w:tr>
    </w:tbl>
    <w:p>
      <w:pPr>
        <w:spacing w:after="40"/>
      </w:pPr>
    </w:p>
    <w:p>
      <w:pPr>
        <w:pStyle w:val="Heading1"/>
      </w:pPr>
      <w:r>
        <w:t>12. What I still need from the founder</w:t>
      </w:r>
    </w:p>
    <w:p>
      <w:pPr>
        <w:pStyle w:val="ListBullet"/>
        <w:spacing w:after="40"/>
      </w:pPr>
      <w:r>
        <w:t xml:space="preserve"> The remaining Canon pages: XOS architecture, proof plan and commercial plan (the PDF extract ends at slide 80).</w:t>
      </w:r>
    </w:p>
    <w:p>
      <w:pPr>
        <w:pStyle w:val="ListBullet"/>
        <w:spacing w:after="40"/>
      </w:pPr>
      <w:r>
        <w:t xml:space="preserve"> “My part” — the founder allocation or contribution within the ₹180 Cr, and any founder rollover or secondary.</w:t>
      </w:r>
    </w:p>
    <w:p>
      <w:pPr>
        <w:pStyle w:val="ListBullet"/>
        <w:spacing w:after="40"/>
      </w:pPr>
      <w:r>
        <w:t xml:space="preserve"> The actual pre-round cap table, existing investors and any prior commitments.</w:t>
      </w:r>
    </w:p>
    <w:p>
      <w:pPr>
        <w:pStyle w:val="ListBullet"/>
        <w:spacing w:after="40"/>
      </w:pPr>
      <w:r>
        <w:t xml:space="preserve"> What exists today: code, prototypes, pilots, IP filings, advisers.</w:t>
      </w:r>
    </w:p>
    <w:p>
      <w:pPr>
        <w:pStyle w:val="ListBullet"/>
        <w:spacing w:after="40"/>
      </w:pPr>
      <w:r>
        <w:t xml:space="preserve"> Confirmation of the epistemic labels in the Truthiness_Ledger, especially DISPUTED on the valuation and UNCERTAIN on quantum.</w:t>
      </w:r>
    </w:p>
    <w:p>
      <w:pPr>
        <w:pStyle w:val="ListBullet"/>
        <w:spacing w:after="40"/>
      </w:pPr>
      <w:r>
        <w:t xml:space="preserve"> Your target lead-investor profile and whether “angel” in this plan means a syndicate led by a family office or strategic.</w:t>
      </w:r>
    </w:p>
    <w:p>
      <w:pPr>
        <w:pStyle w:val="Heading1"/>
      </w:pPr>
      <w:r>
        <w:t>Sources and confidence</w:t>
      </w:r>
    </w:p>
    <w:p>
      <w:r>
        <w:rPr>
          <w:b w:val="0"/>
          <w:i/>
          <w:sz w:val="18"/>
        </w:rPr>
        <w:t>Press-reported figures are not company-confirmed; re-verify before external use.</w:t>
      </w:r>
    </w:p>
    <w:p>
      <w:pPr>
        <w:pStyle w:val="ListBullet"/>
        <w:spacing w:after="20"/>
      </w:pPr>
      <w:r>
        <w:rPr>
          <w:sz w:val="17"/>
        </w:rPr>
        <w:t xml:space="preserve">Safe Superintelligence valuation (US$32 bn, Apr 2025) — </w:t>
      </w:r>
      <w:r>
        <w:rPr>
          <w:color w:val="3B4A6B"/>
          <w:sz w:val="16"/>
        </w:rPr>
        <w:t>https://www.maginative.com/article/sutskevers-safe-superintelligence-raises-another-2b-at-32b-valuation//</w:t>
      </w:r>
    </w:p>
    <w:p>
      <w:pPr>
        <w:pStyle w:val="ListBullet"/>
        <w:spacing w:after="20"/>
      </w:pPr>
      <w:r>
        <w:rPr>
          <w:sz w:val="17"/>
        </w:rPr>
        <w:t xml:space="preserve">Sarvam AI Series B first close at US$1.5 bn (Jun 2026) — </w:t>
      </w:r>
      <w:r>
        <w:rPr>
          <w:color w:val="3B4A6B"/>
          <w:sz w:val="16"/>
        </w:rPr>
        <w:t>https://www.exchange4media.com/industry-briefing-news/sarvam-raises-234m-in-first-close-of-300m-series-b-at-15b-valuation-155498.html</w:t>
      </w:r>
    </w:p>
    <w:p>
      <w:pPr>
        <w:pStyle w:val="ListBullet"/>
        <w:spacing w:after="20"/>
      </w:pPr>
      <w:r>
        <w:rPr>
          <w:sz w:val="17"/>
        </w:rPr>
        <w:t xml:space="preserve">Licence-and-hire precedents (Inflection, Character.AI, Groq, Scale) — </w:t>
      </w:r>
      <w:r>
        <w:rPr>
          <w:color w:val="3B4A6B"/>
          <w:sz w:val="16"/>
        </w:rPr>
        <w:t>https://www.implicator.ai/nvidias-20-billion-groq-deal-perfects-silicon-valleys-favorite-antitrust-dodge/</w:t>
      </w:r>
    </w:p>
    <w:p>
      <w:pPr>
        <w:pStyle w:val="ListBullet"/>
        <w:spacing w:after="20"/>
      </w:pPr>
      <w:r>
        <w:rPr>
          <w:sz w:val="17"/>
        </w:rPr>
        <w:t xml:space="preserve">SEBI angel-fund framework (June 2025 board approval; verify final notification) — </w:t>
      </w:r>
      <w:r>
        <w:rPr>
          <w:color w:val="3B4A6B"/>
          <w:sz w:val="16"/>
        </w:rPr>
        <w:t>https://www.angelone.in/news/market-updates/sebi-proposes-key-reforms-for-angel-funds-to-boost-capital-flow-to-start-ups</w:t>
      </w:r>
    </w:p>
    <w:p>
      <w:pPr>
        <w:pStyle w:val="ListBullet"/>
        <w:spacing w:after="20"/>
      </w:pPr>
      <w:r>
        <w:rPr>
          <w:sz w:val="17"/>
        </w:rPr>
        <w:t xml:space="preserve">Angel tax abolition (Section 56(2)(viib), from 1 April 2025) — </w:t>
      </w:r>
      <w:r>
        <w:rPr>
          <w:color w:val="3B4A6B"/>
          <w:sz w:val="16"/>
        </w:rPr>
        <w:t>https://www.legal500.com/developments/thought-leadership/abolition-of-angel-tax-in-india-a-boost-for-the-startup-ecosystem/</w:t>
      </w:r>
    </w:p>
    <w:p>
      <w:pPr>
        <w:pStyle w:val="ListBullet"/>
        <w:spacing w:after="20"/>
      </w:pPr>
      <w:r>
        <w:rPr>
          <w:sz w:val="17"/>
        </w:rPr>
        <w:t xml:space="preserve">IndiaAI Mission outlay and subsidised compute — </w:t>
      </w:r>
      <w:r>
        <w:rPr>
          <w:color w:val="3B4A6B"/>
          <w:sz w:val="16"/>
        </w:rPr>
        <w:t>https://www.angelone.in/news/market-updates/india-s-first-made-in-india-ai-gpus-to-be-demoed-by-2025-under-10-372-crore-indiaai-mission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X · Round 1 Investor Memorandum · DRAFT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eastAsia="Arial"/>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3B4A6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3B4A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