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00000"/>
          <w:sz w:val="40"/>
        </w:rPr>
        <w:t>Competitive Intelligence Dashboard</w:t>
      </w:r>
    </w:p>
    <w:p>
      <w:r>
        <w:rPr>
          <w:rFonts w:ascii="Arial" w:hAnsi="Arial"/>
          <w:color w:val="000000"/>
          <w:sz w:val="24"/>
        </w:rPr>
        <w:t>Product Requirements Document</w:t>
      </w:r>
    </w:p>
    <w:p>
      <w:pPr>
        <w:spacing w:after="400"/>
      </w:pPr>
      <w:r>
        <w:rPr>
          <w:rFonts w:ascii="Arial" w:hAnsi="Arial"/>
          <w:i/>
          <w:color w:val="000000"/>
          <w:sz w:val="20"/>
        </w:rPr>
        <w:t>Author: Ronak Vusirikala  |  Last updated: August 26, 2026  |  Status: Live (v1)</w:t>
      </w:r>
    </w:p>
    <w:p>
      <w:pPr>
        <w:pStyle w:val="Heading1"/>
      </w:pPr>
      <w:r>
        <w:rPr>
          <w:rFonts w:ascii="Arial" w:hAnsi="Arial"/>
          <w:b/>
          <w:color w:val="000000"/>
        </w:rPr>
        <w:t>1. Summary</w:t>
      </w:r>
    </w:p>
    <w:p>
      <w:pPr>
        <w:spacing w:after="160"/>
      </w:pPr>
      <w:r>
        <w:rPr>
          <w:rFonts w:ascii="Arial" w:hAnsi="Arial"/>
          <w:b w:val="0"/>
          <w:i w:val="0"/>
          <w:color w:val="000000"/>
        </w:rPr>
        <w:t>This is the PRD for the internal Competitive Intelligence Dashboard built for Patlytics. It's a single site that tracks the AI-patent and AI-legal competitive landscape: who our competitors are, what they're doing day to day, who's entering the market, and what industry events are worth knowing about. It updates itself automatically once a day, so nobody has to remember to refresh it.</w:t>
      </w:r>
    </w:p>
    <w:p>
      <w:pPr>
        <w:pStyle w:val="Heading1"/>
      </w:pPr>
      <w:r>
        <w:rPr>
          <w:rFonts w:ascii="Arial" w:hAnsi="Arial"/>
          <w:b/>
          <w:color w:val="000000"/>
        </w:rPr>
        <w:t>2. Why we built this</w:t>
      </w:r>
    </w:p>
    <w:p>
      <w:pPr>
        <w:spacing w:after="160"/>
      </w:pPr>
      <w:r>
        <w:rPr>
          <w:rFonts w:ascii="Arial" w:hAnsi="Arial"/>
          <w:b w:val="0"/>
          <w:i w:val="0"/>
          <w:color w:val="000000"/>
        </w:rPr>
        <w:t>Patlytics competes in a market that moves fast. Competitors rebrand, get acquired, shut down, or raise new rounds every few weeks, and there wasn't one place inside the company where all of that showed up. Pieces of it lived in Notion, some of it surfaced secondhand on sales calls, and some of it just never made it back to the team at all until a prospect brought it up first.</w:t>
      </w:r>
    </w:p>
    <w:p>
      <w:pPr>
        <w:spacing w:after="160"/>
      </w:pPr>
      <w:r>
        <w:rPr>
          <w:rFonts w:ascii="Arial" w:hAnsi="Arial"/>
          <w:b w:val="0"/>
          <w:i w:val="0"/>
          <w:color w:val="000000"/>
        </w:rPr>
        <w:t>The goal was a page that's genuinely worth checking every morning — not a slide deck or a doc that goes stale a week after someone puts it together.</w:t>
      </w:r>
    </w:p>
    <w:p>
      <w:pPr>
        <w:pStyle w:val="Heading1"/>
      </w:pPr>
      <w:r>
        <w:rPr>
          <w:rFonts w:ascii="Arial" w:hAnsi="Arial"/>
          <w:b/>
          <w:color w:val="000000"/>
        </w:rPr>
        <w:t>3. Who this is for</w:t>
      </w:r>
    </w:p>
    <w:p>
      <w:pPr>
        <w:spacing w:after="160"/>
      </w:pPr>
      <w:r>
        <w:rPr>
          <w:rFonts w:ascii="Arial" w:hAnsi="Arial"/>
          <w:b w:val="0"/>
          <w:i w:val="0"/>
          <w:color w:val="000000"/>
        </w:rPr>
        <w:t>Any Patlytics employee — sales, product, leadership — who wants a fast read on what competitors and new entrants are doing. It's built for internal, trusted users. It is not built for anyone outside the company, and that assumption matters for a few of the decisions described later in this doc, particularly around access.</w:t>
      </w:r>
    </w:p>
    <w:p>
      <w:pPr>
        <w:pStyle w:val="Heading1"/>
      </w:pPr>
      <w:r>
        <w:rPr>
          <w:rFonts w:ascii="Arial" w:hAnsi="Arial"/>
          <w:b/>
          <w:color w:val="000000"/>
        </w:rPr>
        <w:t>4. What's in the dashboard today</w:t>
      </w:r>
    </w:p>
    <w:p>
      <w:pPr>
        <w:pStyle w:val="Heading2"/>
      </w:pPr>
      <w:r>
        <w:rPr>
          <w:rFonts w:ascii="Arial" w:hAnsi="Arial"/>
          <w:b/>
          <w:color w:val="000000"/>
        </w:rPr>
        <w:t>4.1 Home</w:t>
      </w:r>
    </w:p>
    <w:p>
      <w:pPr>
        <w:pStyle w:val="ListBullet"/>
        <w:spacing w:after="80"/>
        <w:ind w:left="360"/>
      </w:pPr>
      <w:r>
        <w:rPr>
          <w:rFonts w:ascii="Arial" w:hAnsi="Arial"/>
          <w:color w:val="000000"/>
        </w:rPr>
        <w:t>Landing page. Explains what the tool is, links out to each section, shows a few live counts (competitors tracked, upcoming webinars, and so on).</w:t>
      </w:r>
    </w:p>
    <w:p>
      <w:pPr>
        <w:pStyle w:val="ListBullet"/>
        <w:spacing w:after="80"/>
        <w:ind w:left="360"/>
      </w:pPr>
      <w:r>
        <w:rPr>
          <w:rFonts w:ascii="Arial" w:hAnsi="Arial"/>
          <w:color w:val="000000"/>
        </w:rPr>
        <w:t>Clicking the Patlytics logo in the sidebar always brings you back here, from anywhere in the tool.</w:t>
      </w:r>
    </w:p>
    <w:p>
      <w:pPr>
        <w:pStyle w:val="Heading2"/>
      </w:pPr>
      <w:r>
        <w:rPr>
          <w:rFonts w:ascii="Arial" w:hAnsi="Arial"/>
          <w:b/>
          <w:color w:val="000000"/>
        </w:rPr>
        <w:t>4.2 Daily Brief</w:t>
      </w:r>
    </w:p>
    <w:p>
      <w:pPr>
        <w:pStyle w:val="ListBullet"/>
        <w:spacing w:after="80"/>
        <w:ind w:left="360"/>
      </w:pPr>
      <w:r>
        <w:rPr>
          <w:rFonts w:ascii="Arial" w:hAnsi="Arial"/>
          <w:color w:val="000000"/>
        </w:rPr>
        <w:t>The day's biggest industry and competitor news, ranked by how much it actually matters to Patlytics — not just by how recent it is.</w:t>
      </w:r>
    </w:p>
    <w:p>
      <w:pPr>
        <w:pStyle w:val="ListBullet"/>
        <w:spacing w:after="80"/>
        <w:ind w:left="360"/>
      </w:pPr>
      <w:r>
        <w:rPr>
          <w:rFonts w:ascii="Arial" w:hAnsi="Arial"/>
          <w:color w:val="000000"/>
        </w:rPr>
        <w:t>Each item has a priority tag (critical / high / medium / low), a short “why it matters” note written specifically for Patlytics' situation, and a link to the real source.</w:t>
      </w:r>
    </w:p>
    <w:p>
      <w:pPr>
        <w:pStyle w:val="ListBullet"/>
        <w:spacing w:after="80"/>
        <w:ind w:left="360"/>
      </w:pPr>
      <w:r>
        <w:rPr>
          <w:rFonts w:ascii="Arial" w:hAnsi="Arial"/>
          <w:color w:val="000000"/>
        </w:rPr>
        <w:t>A Day / Week / Month toggle plus date arrows let you go back and see what the brief looked like on any earlier day, going back a few weeks.</w:t>
      </w:r>
    </w:p>
    <w:p>
      <w:pPr>
        <w:pStyle w:val="Heading2"/>
      </w:pPr>
      <w:r>
        <w:rPr>
          <w:rFonts w:ascii="Arial" w:hAnsi="Arial"/>
          <w:b/>
          <w:color w:val="000000"/>
        </w:rPr>
        <w:t>4.3 Competitors</w:t>
      </w:r>
    </w:p>
    <w:p>
      <w:pPr>
        <w:pStyle w:val="ListBullet"/>
        <w:spacing w:after="80"/>
        <w:ind w:left="360"/>
      </w:pPr>
      <w:r>
        <w:rPr>
          <w:rFonts w:ascii="Arial" w:hAnsi="Arial"/>
          <w:color w:val="000000"/>
        </w:rPr>
        <w:t>42 companies as of this writing, ranked by how directly they compete with us. DeepIP, Solve Intelligence, and PatSnap sit at the top; broader legal-AI tools like Harvey and Ironclad sit further down because the overlap with Patlytics is real but less direct.</w:t>
      </w:r>
    </w:p>
    <w:p>
      <w:pPr>
        <w:pStyle w:val="ListBullet"/>
        <w:spacing w:after="80"/>
        <w:ind w:left="360"/>
      </w:pPr>
      <w:r>
        <w:rPr>
          <w:rFonts w:ascii="Arial" w:hAnsi="Arial"/>
          <w:color w:val="000000"/>
        </w:rPr>
        <w:t>Each company has its own page: logo, a short description, employee count, founding year, headquarters, and founders — with real background information wherever we were able to verify it, and an honest “not yet verified” note where we weren't.</w:t>
      </w:r>
    </w:p>
    <w:p>
      <w:pPr>
        <w:pStyle w:val="ListBullet"/>
        <w:spacing w:after="80"/>
        <w:ind w:left="360"/>
      </w:pPr>
      <w:r>
        <w:rPr>
          <w:rFonts w:ascii="Arial" w:hAnsi="Arial"/>
          <w:color w:val="000000"/>
        </w:rPr>
        <w:t>Below that: what happened today, what happened in the last week, hiring signals (how many open roles, what opened today, who they just hired), and any notable marketing activity.</w:t>
      </w:r>
    </w:p>
    <w:p>
      <w:pPr>
        <w:pStyle w:val="ListBullet"/>
        <w:spacing w:after="80"/>
        <w:ind w:left="360"/>
      </w:pPr>
      <w:r>
        <w:rPr>
          <w:rFonts w:ascii="Arial" w:hAnsi="Arial"/>
          <w:color w:val="000000"/>
        </w:rPr>
        <w:t>Every activity item links back to where it actually came from — a press release, a job posting, a company blog post, whatever the real source was.</w:t>
      </w:r>
    </w:p>
    <w:p>
      <w:pPr>
        <w:pStyle w:val="Heading2"/>
      </w:pPr>
      <w:r>
        <w:rPr>
          <w:rFonts w:ascii="Arial" w:hAnsi="Arial"/>
          <w:b/>
          <w:color w:val="000000"/>
        </w:rPr>
        <w:t>4.4 New Market Entrants</w:t>
      </w:r>
    </w:p>
    <w:p>
      <w:pPr>
        <w:pStyle w:val="ListBullet"/>
        <w:spacing w:after="80"/>
        <w:ind w:left="360"/>
      </w:pPr>
      <w:r>
        <w:rPr>
          <w:rFonts w:ascii="Arial" w:hAnsi="Arial"/>
          <w:color w:val="000000"/>
        </w:rPr>
        <w:t>Startups that are new to this space, ordered by how much of a threat they look like right now.</w:t>
      </w:r>
    </w:p>
    <w:p>
      <w:pPr>
        <w:pStyle w:val="ListBullet"/>
        <w:spacing w:after="80"/>
        <w:ind w:left="360"/>
      </w:pPr>
      <w:r>
        <w:rPr>
          <w:rFonts w:ascii="Arial" w:hAnsi="Arial"/>
          <w:color w:val="000000"/>
        </w:rPr>
        <w:t>Same idea as the Competitors tab, but for companies we're still forming an opinion on — lighter profiles, funding stage and backers instead of a full activity history.</w:t>
      </w:r>
    </w:p>
    <w:p>
      <w:pPr>
        <w:pStyle w:val="Heading2"/>
      </w:pPr>
      <w:r>
        <w:rPr>
          <w:rFonts w:ascii="Arial" w:hAnsi="Arial"/>
          <w:b/>
          <w:color w:val="000000"/>
        </w:rPr>
        <w:t>4.5 Webinars</w:t>
      </w:r>
    </w:p>
    <w:p>
      <w:pPr>
        <w:pStyle w:val="ListBullet"/>
        <w:spacing w:after="80"/>
        <w:ind w:left="360"/>
      </w:pPr>
      <w:r>
        <w:rPr>
          <w:rFonts w:ascii="Arial" w:hAnsi="Arial"/>
          <w:color w:val="000000"/>
        </w:rPr>
        <w:t>Industry and competitor webinars, filterable by upcoming, past, or a specific date range.</w:t>
      </w:r>
    </w:p>
    <w:p>
      <w:pPr>
        <w:pStyle w:val="ListBullet"/>
        <w:spacing w:after="80"/>
        <w:ind w:left="360"/>
      </w:pPr>
      <w:r>
        <w:rPr>
          <w:rFonts w:ascii="Arial" w:hAnsi="Arial"/>
          <w:color w:val="000000"/>
        </w:rPr>
        <w:t>Where a webinar can be tied back to a real hosting company, it links out to that company's site. Where it can't be verified as real, there's no link — we didn't want to send anyone to register for something we couldn't confirm exists.</w:t>
      </w:r>
    </w:p>
    <w:p>
      <w:pPr>
        <w:pStyle w:val="Heading2"/>
      </w:pPr>
      <w:r>
        <w:rPr>
          <w:rFonts w:ascii="Arial" w:hAnsi="Arial"/>
          <w:b/>
          <w:color w:val="000000"/>
        </w:rPr>
        <w:t>4.6 Search</w:t>
      </w:r>
    </w:p>
    <w:p>
      <w:pPr>
        <w:pStyle w:val="ListBullet"/>
        <w:spacing w:after="80"/>
        <w:ind w:left="360"/>
      </w:pPr>
      <w:r>
        <w:rPr>
          <w:rFonts w:ascii="Arial" w:hAnsi="Arial"/>
          <w:color w:val="000000"/>
        </w:rPr>
        <w:t>One search bar in the sidebar searches everything at once — highlights, competitor activity, new entrants, and webinars.</w:t>
      </w:r>
    </w:p>
    <w:p>
      <w:pPr>
        <w:pStyle w:val="ListBullet"/>
        <w:spacing w:after="80"/>
        <w:ind w:left="360"/>
      </w:pPr>
      <w:r>
        <w:rPr>
          <w:rFonts w:ascii="Arial" w:hAnsi="Arial"/>
          <w:color w:val="000000"/>
        </w:rPr>
        <w:t>Typing “/” anywhere in the tool jumps straight to the search box.</w:t>
      </w:r>
    </w:p>
    <w:p>
      <w:pPr>
        <w:pStyle w:val="Heading1"/>
      </w:pPr>
      <w:r>
        <w:rPr>
          <w:rFonts w:ascii="Arial" w:hAnsi="Arial"/>
          <w:b/>
          <w:color w:val="000000"/>
        </w:rPr>
        <w:t>5. How the data gets in there</w:t>
      </w:r>
    </w:p>
    <w:p>
      <w:pPr>
        <w:spacing w:after="160"/>
      </w:pPr>
      <w:r>
        <w:rPr>
          <w:rFonts w:ascii="Arial" w:hAnsi="Arial"/>
          <w:b w:val="0"/>
          <w:i w:val="0"/>
          <w:color w:val="000000"/>
        </w:rPr>
        <w:t>The first version of this was mock data — built to get the design and the layout right before worrying about where the real numbers would come from. From there, we did a few rounds of manual research (some of it cross-checked against Patlytics' own Notion competitive-analysis pages) to replace placeholders with real information: real founders, real funding rounds, real headcounts, wherever we could actually confirm them.</w:t>
      </w:r>
    </w:p>
    <w:p>
      <w:pPr>
        <w:spacing w:after="160"/>
      </w:pPr>
      <w:r>
        <w:rPr>
          <w:rFonts w:ascii="Arial" w:hAnsi="Arial"/>
          <w:b w:val="0"/>
          <w:i w:val="0"/>
          <w:color w:val="000000"/>
        </w:rPr>
        <w:t>After that, we set up a job that runs automatically every day at 8:00 AM ET. Each run:</w:t>
      </w:r>
    </w:p>
    <w:p>
      <w:pPr>
        <w:pStyle w:val="ListBullet"/>
        <w:spacing w:after="80"/>
        <w:ind w:left="360"/>
      </w:pPr>
      <w:r>
        <w:rPr>
          <w:rFonts w:ascii="Arial" w:hAnsi="Arial"/>
          <w:color w:val="000000"/>
        </w:rPr>
        <w:t>Rereads the entire competitor list and checks every company for anything genuinely new in the last day or two — not a sample, the whole list.</w:t>
      </w:r>
    </w:p>
    <w:p>
      <w:pPr>
        <w:pStyle w:val="ListBullet"/>
        <w:spacing w:after="80"/>
        <w:ind w:left="360"/>
      </w:pPr>
      <w:r>
        <w:rPr>
          <w:rFonts w:ascii="Arial" w:hAnsi="Arial"/>
          <w:color w:val="000000"/>
        </w:rPr>
        <w:t>Checks Y Combinator and a16z's public listings for newly funded startups in this space.</w:t>
      </w:r>
    </w:p>
    <w:p>
      <w:pPr>
        <w:pStyle w:val="ListBullet"/>
        <w:spacing w:after="80"/>
        <w:ind w:left="360"/>
      </w:pPr>
      <w:r>
        <w:rPr>
          <w:rFonts w:ascii="Arial" w:hAnsi="Arial"/>
          <w:color w:val="000000"/>
        </w:rPr>
        <w:t>Checks for newly announced webinars from companies we already track.</w:t>
      </w:r>
    </w:p>
    <w:p>
      <w:pPr>
        <w:pStyle w:val="ListBullet"/>
        <w:spacing w:after="80"/>
        <w:ind w:left="360"/>
      </w:pPr>
      <w:r>
        <w:rPr>
          <w:rFonts w:ascii="Arial" w:hAnsi="Arial"/>
          <w:color w:val="000000"/>
        </w:rPr>
        <w:t>Sweeps the major trade press — TechCrunch, IPWatchdog, Law360, Artificial Lawyer, and a few others — so a big story doesn't get missed just because the company wasn't already on our list.</w:t>
      </w:r>
    </w:p>
    <w:p>
      <w:pPr>
        <w:pStyle w:val="ListBullet"/>
        <w:spacing w:after="80"/>
        <w:ind w:left="360"/>
      </w:pPr>
      <w:r>
        <w:rPr>
          <w:rFonts w:ascii="Arial" w:hAnsi="Arial"/>
          <w:color w:val="000000"/>
        </w:rPr>
        <w:t>Rewrites the data file and pushes the update, which redeploys the live site automatically within a couple of minutes.</w:t>
      </w:r>
    </w:p>
    <w:p>
      <w:pPr>
        <w:spacing w:after="160"/>
      </w:pPr>
      <w:r>
        <w:rPr>
          <w:rFonts w:ascii="Arial" w:hAnsi="Arial"/>
          <w:b w:val="0"/>
          <w:i w:val="0"/>
          <w:color w:val="000000"/>
        </w:rPr>
        <w:t>A few rules were built into this job on purpose, because we didn't want it to quietly invent something or do anything we'd have to walk back later:</w:t>
      </w:r>
    </w:p>
    <w:p>
      <w:pPr>
        <w:pStyle w:val="ListBullet"/>
        <w:spacing w:after="80"/>
        <w:ind w:left="360"/>
      </w:pPr>
      <w:r>
        <w:rPr>
          <w:rFonts w:ascii="Arial" w:hAnsi="Arial"/>
          <w:color w:val="000000"/>
        </w:rPr>
        <w:t>It never fabricates a fact or a link. If something can't be verified, it says so (“not yet verified”) instead of guessing at a plausible-sounding number.</w:t>
      </w:r>
    </w:p>
    <w:p>
      <w:pPr>
        <w:pStyle w:val="ListBullet"/>
        <w:spacing w:after="80"/>
        <w:ind w:left="360"/>
      </w:pPr>
      <w:r>
        <w:rPr>
          <w:rFonts w:ascii="Arial" w:hAnsi="Arial"/>
          <w:color w:val="000000"/>
        </w:rPr>
        <w:t>It doesn't log into LinkedIn, and it doesn't try to get around a login wall or a CAPTCHA. It'll use a public LinkedIn page if one loads without signing in, but if it hits a wall, it backs off and uses the company's own site or a job board instead.</w:t>
      </w:r>
    </w:p>
    <w:p>
      <w:pPr>
        <w:pStyle w:val="ListBullet"/>
        <w:spacing w:after="80"/>
        <w:ind w:left="360"/>
      </w:pPr>
      <w:r>
        <w:rPr>
          <w:rFonts w:ascii="Arial" w:hAnsi="Arial"/>
          <w:color w:val="000000"/>
        </w:rPr>
        <w:t>It's targeted, not an open-ended crawl. It checks specific companies and specific trade outlets — it isn't scraping “the whole internet.”</w:t>
      </w:r>
    </w:p>
    <w:p>
      <w:pPr>
        <w:pStyle w:val="Heading1"/>
      </w:pPr>
      <w:r>
        <w:rPr>
          <w:rFonts w:ascii="Arial" w:hAnsi="Arial"/>
          <w:b/>
          <w:color w:val="000000"/>
        </w:rPr>
        <w:t>6. Where it lives</w:t>
      </w:r>
    </w:p>
    <w:p>
      <w:pPr>
        <w:spacing w:after="160"/>
      </w:pPr>
      <w:r>
        <w:rPr>
          <w:rFonts w:ascii="Arial" w:hAnsi="Arial"/>
          <w:b w:val="0"/>
          <w:i w:val="0"/>
          <w:color w:val="000000"/>
        </w:rPr>
        <w:t>It's a plain static site — HTML, CSS, and JavaScript, no framework and no backend server to maintain. It's hosted on GitHub Pages, out of a public GitHub repository.</w:t>
      </w:r>
    </w:p>
    <w:p>
      <w:pPr>
        <w:spacing w:after="160"/>
      </w:pPr>
      <w:r>
        <w:rPr>
          <w:rFonts w:ascii="Arial" w:hAnsi="Arial"/>
          <w:b w:val="0"/>
          <w:i w:val="0"/>
          <w:color w:val="000000"/>
        </w:rPr>
        <w:t>It has to be public for free GitHub Pages hosting, which is a real tradeoff we talked through directly rather than glossing over. Anyone with the link could technically reach it.</w:t>
      </w:r>
    </w:p>
    <w:p>
      <w:pPr>
        <w:spacing w:after="160"/>
      </w:pPr>
      <w:r>
        <w:rPr>
          <w:rFonts w:ascii="Arial" w:hAnsi="Arial"/>
          <w:b w:val="0"/>
          <w:i w:val="0"/>
          <w:color w:val="000000"/>
        </w:rPr>
        <w:t>To cut down on casual access, the site sits behind a shared password (an “Employees Only” screen). It's worth being straightforward about what that actually does: it's a check that runs in the browser, not real security. Anyone who knows to look at the page source or the network tab can still reach the underlying files directly. It stops someone from stumbling onto the page by accident; it would not stop someone who was actually trying to get in. If the information in here ever gets sensitive enough to need real access control, that means moving to something like Cloudflare Access or a private host — a bigger project than what exists today, and one we haven't started.</w:t>
      </w:r>
    </w:p>
    <w:p>
      <w:pPr>
        <w:pStyle w:val="Heading1"/>
      </w:pPr>
      <w:r>
        <w:rPr>
          <w:rFonts w:ascii="Arial" w:hAnsi="Arial"/>
          <w:b/>
          <w:color w:val="000000"/>
        </w:rPr>
        <w:t>7. Design</w:t>
      </w:r>
    </w:p>
    <w:p>
      <w:pPr>
        <w:spacing w:after="160"/>
      </w:pPr>
      <w:r>
        <w:rPr>
          <w:rFonts w:ascii="Arial" w:hAnsi="Arial"/>
          <w:b w:val="0"/>
          <w:i w:val="0"/>
          <w:color w:val="000000"/>
        </w:rPr>
        <w:t>Colors and the logo came directly from Patlytics' own site and brand assets, not invented for this project — the dark green sidebar, the bright green accent, the mint highlight color all trace back to the real Patlytics palette. Headers use SF Pro Display, which was supplied directly for this purpose. Icons are Iconify's Phosphor set, outlined style throughout, with no filled icons anywhere in the tool.</w:t>
      </w:r>
    </w:p>
    <w:p>
      <w:pPr>
        <w:pStyle w:val="Heading1"/>
      </w:pPr>
      <w:r>
        <w:rPr>
          <w:rFonts w:ascii="Arial" w:hAnsi="Arial"/>
          <w:b/>
          <w:color w:val="000000"/>
        </w:rPr>
        <w:t>8. What this isn't, at least not yet</w:t>
      </w:r>
    </w:p>
    <w:p>
      <w:pPr>
        <w:pStyle w:val="ListBullet"/>
        <w:spacing w:after="80"/>
        <w:ind w:left="360"/>
      </w:pPr>
      <w:r>
        <w:rPr>
          <w:rFonts w:ascii="Arial" w:hAnsi="Arial"/>
          <w:color w:val="000000"/>
        </w:rPr>
        <w:t>No real user accounts or role-based access. Everyone who knows the shared password sees everything.</w:t>
      </w:r>
    </w:p>
    <w:p>
      <w:pPr>
        <w:pStyle w:val="ListBullet"/>
        <w:spacing w:after="80"/>
        <w:ind w:left="360"/>
      </w:pPr>
      <w:r>
        <w:rPr>
          <w:rFonts w:ascii="Arial" w:hAnsi="Arial"/>
          <w:color w:val="000000"/>
        </w:rPr>
        <w:t>The password gate is not a substitute for real authentication — see the note in Section 6.</w:t>
      </w:r>
    </w:p>
    <w:p>
      <w:pPr>
        <w:pStyle w:val="ListBullet"/>
        <w:spacing w:after="80"/>
        <w:ind w:left="360"/>
      </w:pPr>
      <w:r>
        <w:rPr>
          <w:rFonts w:ascii="Arial" w:hAnsi="Arial"/>
          <w:color w:val="000000"/>
        </w:rPr>
        <w:t>It doesn't scrape logged-in LinkedIn pages, paywalled sites, or anything behind a CAPTCHA, on purpose.</w:t>
      </w:r>
    </w:p>
    <w:p>
      <w:pPr>
        <w:pStyle w:val="ListBullet"/>
        <w:spacing w:after="80"/>
        <w:ind w:left="360"/>
      </w:pPr>
      <w:r>
        <w:rPr>
          <w:rFonts w:ascii="Arial" w:hAnsi="Arial"/>
          <w:color w:val="000000"/>
        </w:rPr>
        <w:t>It isn't a CRM or a sales tool. It doesn't track our own deals or accounts — just the outside competitive landscape.</w:t>
      </w:r>
    </w:p>
    <w:p>
      <w:pPr>
        <w:pStyle w:val="Heading1"/>
      </w:pPr>
      <w:r>
        <w:rPr>
          <w:rFonts w:ascii="Arial" w:hAnsi="Arial"/>
          <w:b/>
          <w:color w:val="000000"/>
        </w:rPr>
        <w:t>9. Known limitations and open risks</w:t>
      </w:r>
    </w:p>
    <w:p>
      <w:pPr>
        <w:pStyle w:val="ListBullet"/>
        <w:spacing w:after="80"/>
        <w:ind w:left="360"/>
      </w:pPr>
      <w:r>
        <w:rPr>
          <w:rFonts w:ascii="Arial" w:hAnsi="Arial"/>
          <w:color w:val="000000"/>
        </w:rPr>
        <w:t>A handful of competitor facts are marked “not yet verified” where sources genuinely disagreed — a couple of employee counts, one company's exact founding year — rather than us picking whichever number sounded most plausible.</w:t>
      </w:r>
    </w:p>
    <w:p>
      <w:pPr>
        <w:pStyle w:val="ListBullet"/>
        <w:spacing w:after="80"/>
        <w:ind w:left="360"/>
      </w:pPr>
      <w:r>
        <w:rPr>
          <w:rFonts w:ascii="Arial" w:hAnsi="Arial"/>
          <w:color w:val="000000"/>
        </w:rPr>
        <w:t>Logos are cached locally as image files after we ran into a third-party favicon service that rate-limited real usage almost immediately. There's no live dependency on that service anymore, but a brand-new competitor added later still needs a logo fetched once, which the daily job now handles.</w:t>
      </w:r>
    </w:p>
    <w:p>
      <w:pPr>
        <w:pStyle w:val="ListBullet"/>
        <w:spacing w:after="80"/>
        <w:ind w:left="360"/>
      </w:pPr>
      <w:r>
        <w:rPr>
          <w:rFonts w:ascii="Arial" w:hAnsi="Arial"/>
          <w:color w:val="000000"/>
        </w:rPr>
        <w:t>Because both a person and the automated daily job can edit the same data file, there's real potential for a merge conflict if both touch the same company on the same day. We've hit this twice already and resolved it by hand both times. It's a manageable annoyance, not a blocker, but it's worth knowing about before it surprises someone.</w:t>
      </w:r>
    </w:p>
    <w:p>
      <w:pPr>
        <w:pStyle w:val="ListBullet"/>
        <w:spacing w:after="80"/>
        <w:ind w:left="360"/>
      </w:pPr>
      <w:r>
        <w:rPr>
          <w:rFonts w:ascii="Arial" w:hAnsi="Arial"/>
          <w:color w:val="000000"/>
        </w:rPr>
        <w:t>An early highlight about a Thomson Reuters / Solve Intelligence partnership couldn't be independently confirmed on the first pass. A later automated run found a real source — a founder's own LinkedIn post — confirming it, and the item was updated accordingly. That's the verification process working as intended, but it's a good reminder that “not yet verified” items deserve a second look rather than being left alone indefinitely.</w:t>
      </w:r>
    </w:p>
    <w:p>
      <w:pPr>
        <w:pStyle w:val="Heading1"/>
      </w:pPr>
      <w:r>
        <w:rPr>
          <w:rFonts w:ascii="Arial" w:hAnsi="Arial"/>
          <w:b/>
          <w:color w:val="000000"/>
        </w:rPr>
        <w:t>10. Possible next steps</w:t>
      </w:r>
    </w:p>
    <w:p>
      <w:pPr>
        <w:spacing w:after="160"/>
      </w:pPr>
      <w:r>
        <w:rPr>
          <w:rFonts w:ascii="Arial" w:hAnsi="Arial"/>
          <w:b w:val="0"/>
          <w:i w:val="0"/>
          <w:color w:val="000000"/>
        </w:rPr>
        <w:t>Nothing below is committed — just worth naming so it doesn't get forgotten.</w:t>
      </w:r>
    </w:p>
    <w:p>
      <w:pPr>
        <w:pStyle w:val="ListBullet"/>
        <w:spacing w:after="80"/>
        <w:ind w:left="360"/>
      </w:pPr>
      <w:r>
        <w:rPr>
          <w:rFonts w:ascii="Arial" w:hAnsi="Arial"/>
          <w:color w:val="000000"/>
        </w:rPr>
        <w:t>Move to a private host with real authentication if the information in here becomes sensitive enough to justify the extra setup.</w:t>
      </w:r>
    </w:p>
    <w:p>
      <w:pPr>
        <w:pStyle w:val="ListBullet"/>
        <w:spacing w:after="80"/>
        <w:ind w:left="360"/>
      </w:pPr>
      <w:r>
        <w:rPr>
          <w:rFonts w:ascii="Arial" w:hAnsi="Arial"/>
          <w:color w:val="000000"/>
        </w:rPr>
        <w:t>Widen how many competitors the daily job can research in a single run, once there's a clearer sense of the ongoing time and token cost of doing that.</w:t>
      </w:r>
    </w:p>
    <w:p>
      <w:pPr>
        <w:pStyle w:val="ListBullet"/>
        <w:spacing w:after="80"/>
        <w:ind w:left="360"/>
      </w:pPr>
      <w:r>
        <w:rPr>
          <w:rFonts w:ascii="Arial" w:hAnsi="Arial"/>
          <w:color w:val="000000"/>
        </w:rPr>
        <w:t>Give employees a lightweight way to flag something on a competitor's page as wrong or out of date, instead of relying only on the next automated pass to catch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ascii="Arial" w:hAnsi="Arial" w:cs="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hemeFill="accent1" w:themeFillTint="3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hemeFill="accent1" w:themeFillTint="3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hemeFill="accent2" w:themeFillTint="3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hemeFill="accent2" w:themeFillTint="3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hemeFill="accent3" w:themeFillTint="3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hemeFill="accent3" w:themeFillTint="3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hemeFill="accent4" w:themeFillTint="3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hemeFill="accent4" w:themeFillTint="3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hemeFill="accent5" w:themeFillTint="3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hemeFill="accent5" w:themeFillTint="3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hemeFill="accent6" w:themeFillTint="3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hemeFill="accent6" w:themeFillTint="3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hemeFill="background1"/>
      </w:tcPr>
    </w:tblStylePr>
    <w:tblStylePr w:type="lastRow">
      <w:tblPr/>
      <w:tcPr>
        <w:tcBorders>
          <w:top w:val="single" w:sz="8" w:space="0" w:color="4F81B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insideH w:val="nil"/>
          <w:insideV w:val="nil"/>
        </w:tcBorders>
        <w:shd w:val="clear" w:color="auto" w:fill="FFFFFF" w:themeFill="background1"/>
      </w:tcPr>
    </w:tblStylePr>
    <w:tblStylePr w:type="lastCol">
      <w:tblPr/>
      <w:tcPr>
        <w:tcBorders>
          <w:top w:val="nil"/>
          <w:left w:val="single" w:sz="8" w:space="0" w:color="4F81B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hemeFill="background1"/>
      </w:tcPr>
    </w:tblStylePr>
    <w:tblStylePr w:type="lastRow">
      <w:tblPr/>
      <w:tcPr>
        <w:tcBorders>
          <w:top w:val="single" w:sz="8" w:space="0" w:color="C0504D"/>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insideH w:val="nil"/>
          <w:insideV w:val="nil"/>
        </w:tcBorders>
        <w:shd w:val="clear" w:color="auto" w:fill="FFFFFF" w:themeFill="background1"/>
      </w:tcPr>
    </w:tblStylePr>
    <w:tblStylePr w:type="lastCol">
      <w:tblPr/>
      <w:tcPr>
        <w:tcBorders>
          <w:top w:val="nil"/>
          <w:left w:val="single" w:sz="8" w:space="0" w:color="C0504D"/>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hemeFill="background1"/>
      </w:tcPr>
    </w:tblStylePr>
    <w:tblStylePr w:type="lastRow">
      <w:tblPr/>
      <w:tcPr>
        <w:tcBorders>
          <w:top w:val="single" w:sz="8" w:space="0" w:color="9BBB59"/>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insideH w:val="nil"/>
          <w:insideV w:val="nil"/>
        </w:tcBorders>
        <w:shd w:val="clear" w:color="auto" w:fill="FFFFFF" w:themeFill="background1"/>
      </w:tcPr>
    </w:tblStylePr>
    <w:tblStylePr w:type="lastCol">
      <w:tblPr/>
      <w:tcPr>
        <w:tcBorders>
          <w:top w:val="nil"/>
          <w:left w:val="single" w:sz="8" w:space="0" w:color="9BBB59"/>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hemeFill="background1"/>
      </w:tcPr>
    </w:tblStylePr>
    <w:tblStylePr w:type="lastRow">
      <w:tblPr/>
      <w:tcPr>
        <w:tcBorders>
          <w:top w:val="single" w:sz="8" w:space="0" w:color="8064A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insideH w:val="nil"/>
          <w:insideV w:val="nil"/>
        </w:tcBorders>
        <w:shd w:val="clear" w:color="auto" w:fill="FFFFFF" w:themeFill="background1"/>
      </w:tcPr>
    </w:tblStylePr>
    <w:tblStylePr w:type="lastCol">
      <w:tblPr/>
      <w:tcPr>
        <w:tcBorders>
          <w:top w:val="nil"/>
          <w:left w:val="single" w:sz="8" w:space="0" w:color="8064A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hemeFill="background1"/>
      </w:tcPr>
    </w:tblStylePr>
    <w:tblStylePr w:type="lastRow">
      <w:tblPr/>
      <w:tcPr>
        <w:tcBorders>
          <w:top w:val="single" w:sz="8" w:space="0" w:color="4BACC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insideH w:val="nil"/>
          <w:insideV w:val="nil"/>
        </w:tcBorders>
        <w:shd w:val="clear" w:color="auto" w:fill="FFFFFF" w:themeFill="background1"/>
      </w:tcPr>
    </w:tblStylePr>
    <w:tblStylePr w:type="lastCol">
      <w:tblPr/>
      <w:tcPr>
        <w:tcBorders>
          <w:top w:val="nil"/>
          <w:left w:val="single" w:sz="8" w:space="0" w:color="4BACC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hemeFill="background1"/>
      </w:tcPr>
    </w:tblStylePr>
    <w:tblStylePr w:type="lastRow">
      <w:tblPr/>
      <w:tcPr>
        <w:tcBorders>
          <w:top w:val="single" w:sz="8" w:space="0" w:color="F7964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insideH w:val="nil"/>
          <w:insideV w:val="nil"/>
        </w:tcBorders>
        <w:shd w:val="clear" w:color="auto" w:fill="FFFFFF" w:themeFill="background1"/>
      </w:tcPr>
    </w:tblStylePr>
    <w:tblStylePr w:type="lastCol">
      <w:tblPr/>
      <w:tcPr>
        <w:tcBorders>
          <w:top w:val="nil"/>
          <w:left w:val="single" w:sz="8" w:space="0" w:color="F7964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insideV w:val="single" w:sz="6" w:space="0" w:color="4F81BD"/>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insideV w:val="single" w:sz="6" w:space="0" w:color="C0504D"/>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insideV w:val="single" w:sz="6" w:space="0" w:color="9BBB59"/>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insideV w:val="single" w:sz="6" w:space="0" w:color="8064A2"/>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insideV w:val="single" w:sz="6" w:space="0" w:color="4BACC6"/>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insideV w:val="single" w:sz="6" w:space="0" w:color="F7964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hemeFill="tex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hemeFill="tex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hemeFill="tex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hemeFill="tex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insideH w:val="nil"/>
          <w:insideV w:val="nil"/>
        </w:tcBorders>
        <w:shd w:val="clear" w:color="auto" w:fill="000000" w:themeFill="text1" w:themeFillShade="BF"/>
      </w:tcPr>
    </w:tblStylePr>
    <w:tblStylePr w:type="lastCol">
      <w:tblPr/>
      <w:tcPr>
        <w:tcBorders>
          <w:top w:val="nil"/>
          <w:left w:val="single" w:sz="18" w:space="0" w:color="FFFFFF"/>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hemeFill="text1"/>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right w:val="nil"/>
          <w:insideH w:val="nil"/>
          <w:insideV w:val="nil"/>
        </w:tcBorders>
        <w:shd w:val="clear" w:color="auto" w:fill="FFFFFF" w:themeFill="background1"/>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E3A38"/>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E82"/>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C4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2730A"/>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48DA5"/>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