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RONALD PICADO HERNÁNDEZ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Cartago, Costa Rica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+506 8611-1771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ronald.pica.h@gmail.com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https://www.linkedin.com/in/ronald-picado-hernandez-772531160/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Profile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Back-End Engineer with experience in .NET, C#, working with relational and non-relational databases, as well as technologies such as Kafka, Flink, and OpenSearch.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Asociación Sistema Educativo Saint Clare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Technical Support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2021 – 2025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Management of servers and user accounts in Active Directory and Azure AD.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Process automation using Power Automate.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Technical support, telecommunications, networks, and HikVision systems.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Moody’s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Back-End Development Intern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2025 – Present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Development of APIs using C# and .NET Core.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Real-time data ingestion using Kafka and Flink in Java.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Participation in microservices and Agile methodologies (SCRUM).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Bachelor’s Degree in Software Engineering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Universidad Cenfotec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2022 – Present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Technical Degree in Software Engineering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Universidad Cenfotec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2022 – 2025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Languages and frameworks: Java, Spring Boot, Node.js, C#, .NET Core, Python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Databases: MySQL, MariaDB, SQL Server, Oracle, MongoDB, AzureDB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DevOps and tools: Git, GitHub, Bitbucket, Azure DevOps, Power Automate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 Skills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Teamwork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Spanish: Native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English: C1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