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F00C6" w14:textId="77777777" w:rsidR="008043D7" w:rsidRPr="008043D7" w:rsidRDefault="008043D7" w:rsidP="008043D7">
      <w:pPr>
        <w:rPr>
          <w:rFonts w:ascii="Segoe UI Semibold" w:hAnsi="Segoe UI Semibold" w:cs="Segoe UI Semibold"/>
          <w:sz w:val="28"/>
        </w:rPr>
      </w:pPr>
      <w:r w:rsidRPr="008043D7">
        <w:rPr>
          <w:rFonts w:ascii="Segoe UI Semibold" w:hAnsi="Segoe UI Semibold" w:cs="Segoe UI Semibold"/>
          <w:sz w:val="28"/>
        </w:rPr>
        <w:t xml:space="preserve">GROUP </w:t>
      </w:r>
      <w:proofErr w:type="gramStart"/>
      <w:r w:rsidRPr="008043D7">
        <w:rPr>
          <w:rFonts w:ascii="Segoe UI Semibold" w:hAnsi="Segoe UI Semibold" w:cs="Segoe UI Semibold"/>
          <w:sz w:val="28"/>
        </w:rPr>
        <w:t>7</w:t>
      </w:r>
      <w:proofErr w:type="gramEnd"/>
      <w:r w:rsidRPr="008043D7">
        <w:rPr>
          <w:rFonts w:ascii="Segoe UI Semibold" w:hAnsi="Segoe UI Semibold" w:cs="Segoe UI Semibold"/>
          <w:sz w:val="28"/>
        </w:rPr>
        <w:t xml:space="preserve"> – TRENDS IN CANADIAN HOUSING</w:t>
      </w:r>
    </w:p>
    <w:p w14:paraId="3BDD8099" w14:textId="77777777" w:rsidR="008043D7" w:rsidRDefault="008043D7" w:rsidP="008043D7">
      <w:pPr>
        <w:rPr>
          <w:rFonts w:asciiTheme="majorHAnsi" w:hAnsiTheme="majorHAnsi" w:cstheme="majorHAnsi"/>
          <w:sz w:val="24"/>
        </w:rPr>
      </w:pPr>
      <w:r w:rsidRPr="008043D7">
        <w:rPr>
          <w:rFonts w:asciiTheme="majorHAnsi" w:hAnsiTheme="majorHAnsi" w:cstheme="majorHAnsi"/>
          <w:sz w:val="24"/>
        </w:rPr>
        <w:t>Data Source</w:t>
      </w:r>
    </w:p>
    <w:p w14:paraId="3B9B512A" w14:textId="77777777" w:rsidR="008043D7" w:rsidRDefault="008043D7" w:rsidP="008043D7">
      <w:pPr>
        <w:spacing w:line="240" w:lineRule="auto"/>
        <w:rPr>
          <w:sz w:val="24"/>
        </w:rPr>
      </w:pPr>
      <w:r>
        <w:rPr>
          <w:sz w:val="24"/>
        </w:rPr>
        <w:t>We have selected data related to Canadian housing as the basis for our research. We are seeking to determine the impact of demographic changes on living costs, the trends within home ownership, and the impact of these changes and trends on the financial health of Canadians. Our focus is on the following subjects:</w:t>
      </w:r>
    </w:p>
    <w:p w14:paraId="50857B18" w14:textId="77777777" w:rsidR="008043D7" w:rsidRDefault="008043D7" w:rsidP="008043D7">
      <w:pPr>
        <w:pStyle w:val="ListParagraph"/>
        <w:numPr>
          <w:ilvl w:val="0"/>
          <w:numId w:val="3"/>
        </w:numPr>
        <w:spacing w:line="240" w:lineRule="auto"/>
        <w:rPr>
          <w:sz w:val="24"/>
        </w:rPr>
      </w:pPr>
      <w:r>
        <w:rPr>
          <w:sz w:val="24"/>
        </w:rPr>
        <w:t>Demographic data:</w:t>
      </w:r>
    </w:p>
    <w:p w14:paraId="2BD02275" w14:textId="77777777" w:rsidR="008043D7" w:rsidRDefault="008043D7" w:rsidP="008043D7">
      <w:pPr>
        <w:pStyle w:val="ListParagraph"/>
        <w:numPr>
          <w:ilvl w:val="1"/>
          <w:numId w:val="3"/>
        </w:numPr>
        <w:spacing w:line="240" w:lineRule="auto"/>
        <w:rPr>
          <w:sz w:val="24"/>
        </w:rPr>
      </w:pPr>
      <w:r>
        <w:rPr>
          <w:sz w:val="24"/>
        </w:rPr>
        <w:t>Immigration;</w:t>
      </w:r>
    </w:p>
    <w:p w14:paraId="6AC6BB11" w14:textId="77777777" w:rsidR="008043D7" w:rsidRDefault="008043D7" w:rsidP="008043D7">
      <w:pPr>
        <w:pStyle w:val="ListParagraph"/>
        <w:numPr>
          <w:ilvl w:val="1"/>
          <w:numId w:val="3"/>
        </w:numPr>
        <w:spacing w:line="240" w:lineRule="auto"/>
        <w:rPr>
          <w:sz w:val="24"/>
        </w:rPr>
      </w:pPr>
      <w:r>
        <w:rPr>
          <w:sz w:val="24"/>
        </w:rPr>
        <w:t>Household income;</w:t>
      </w:r>
    </w:p>
    <w:p w14:paraId="65036FD6" w14:textId="77777777" w:rsidR="008043D7" w:rsidRDefault="008043D7" w:rsidP="008043D7">
      <w:pPr>
        <w:pStyle w:val="ListParagraph"/>
        <w:numPr>
          <w:ilvl w:val="1"/>
          <w:numId w:val="3"/>
        </w:numPr>
        <w:spacing w:line="240" w:lineRule="auto"/>
        <w:rPr>
          <w:sz w:val="24"/>
        </w:rPr>
      </w:pPr>
      <w:r>
        <w:rPr>
          <w:sz w:val="24"/>
        </w:rPr>
        <w:t>Household sizes;</w:t>
      </w:r>
    </w:p>
    <w:p w14:paraId="4FE65DE7" w14:textId="77777777" w:rsidR="008043D7" w:rsidRDefault="008043D7" w:rsidP="008043D7">
      <w:pPr>
        <w:pStyle w:val="ListParagraph"/>
        <w:numPr>
          <w:ilvl w:val="0"/>
          <w:numId w:val="3"/>
        </w:numPr>
        <w:spacing w:line="240" w:lineRule="auto"/>
        <w:rPr>
          <w:sz w:val="24"/>
        </w:rPr>
      </w:pPr>
      <w:r>
        <w:rPr>
          <w:sz w:val="24"/>
        </w:rPr>
        <w:t>Home ownership data:</w:t>
      </w:r>
    </w:p>
    <w:p w14:paraId="53AD35BE" w14:textId="77777777" w:rsidR="008043D7" w:rsidRDefault="008043D7" w:rsidP="008043D7">
      <w:pPr>
        <w:pStyle w:val="ListParagraph"/>
        <w:numPr>
          <w:ilvl w:val="1"/>
          <w:numId w:val="3"/>
        </w:numPr>
        <w:spacing w:line="240" w:lineRule="auto"/>
        <w:rPr>
          <w:sz w:val="24"/>
        </w:rPr>
      </w:pPr>
      <w:r>
        <w:rPr>
          <w:sz w:val="24"/>
        </w:rPr>
        <w:t>Age of first-time home owners;</w:t>
      </w:r>
    </w:p>
    <w:p w14:paraId="36F39729" w14:textId="77777777" w:rsidR="008043D7" w:rsidRDefault="008043D7" w:rsidP="008043D7">
      <w:pPr>
        <w:pStyle w:val="ListParagraph"/>
        <w:numPr>
          <w:ilvl w:val="1"/>
          <w:numId w:val="3"/>
        </w:numPr>
        <w:spacing w:line="240" w:lineRule="auto"/>
        <w:rPr>
          <w:sz w:val="24"/>
        </w:rPr>
      </w:pPr>
      <w:r>
        <w:rPr>
          <w:sz w:val="24"/>
        </w:rPr>
        <w:t>Type of home for first-time home buyers;</w:t>
      </w:r>
    </w:p>
    <w:p w14:paraId="39FAD144" w14:textId="77777777" w:rsidR="008043D7" w:rsidRDefault="008043D7" w:rsidP="008043D7">
      <w:pPr>
        <w:pStyle w:val="ListParagraph"/>
        <w:numPr>
          <w:ilvl w:val="1"/>
          <w:numId w:val="3"/>
        </w:numPr>
        <w:spacing w:line="240" w:lineRule="auto"/>
        <w:rPr>
          <w:sz w:val="24"/>
        </w:rPr>
      </w:pPr>
      <w:r>
        <w:rPr>
          <w:sz w:val="24"/>
        </w:rPr>
        <w:t xml:space="preserve">Marital </w:t>
      </w:r>
      <w:proofErr w:type="spellStart"/>
      <w:r>
        <w:rPr>
          <w:sz w:val="24"/>
        </w:rPr>
        <w:t>stats</w:t>
      </w:r>
      <w:proofErr w:type="spellEnd"/>
      <w:r>
        <w:rPr>
          <w:sz w:val="24"/>
        </w:rPr>
        <w:t xml:space="preserve"> of first-time home buyers;</w:t>
      </w:r>
    </w:p>
    <w:p w14:paraId="663B0195" w14:textId="77777777" w:rsidR="008043D7" w:rsidRDefault="008043D7" w:rsidP="008043D7">
      <w:pPr>
        <w:pStyle w:val="ListParagraph"/>
        <w:numPr>
          <w:ilvl w:val="1"/>
          <w:numId w:val="3"/>
        </w:numPr>
        <w:spacing w:line="240" w:lineRule="auto"/>
        <w:rPr>
          <w:sz w:val="24"/>
        </w:rPr>
      </w:pPr>
      <w:r>
        <w:rPr>
          <w:sz w:val="24"/>
        </w:rPr>
        <w:t>Location by city of first-time home buyers;</w:t>
      </w:r>
    </w:p>
    <w:p w14:paraId="00B88FD8" w14:textId="77777777" w:rsidR="008043D7" w:rsidRDefault="008043D7" w:rsidP="008043D7">
      <w:pPr>
        <w:pStyle w:val="ListParagraph"/>
        <w:numPr>
          <w:ilvl w:val="0"/>
          <w:numId w:val="3"/>
        </w:numPr>
        <w:spacing w:line="240" w:lineRule="auto"/>
        <w:rPr>
          <w:sz w:val="24"/>
        </w:rPr>
      </w:pPr>
      <w:r>
        <w:rPr>
          <w:sz w:val="24"/>
        </w:rPr>
        <w:t>Financial data:</w:t>
      </w:r>
    </w:p>
    <w:p w14:paraId="4372F55C" w14:textId="77777777" w:rsidR="008043D7" w:rsidRDefault="008043D7" w:rsidP="008043D7">
      <w:pPr>
        <w:pStyle w:val="ListParagraph"/>
        <w:numPr>
          <w:ilvl w:val="1"/>
          <w:numId w:val="3"/>
        </w:numPr>
        <w:spacing w:line="240" w:lineRule="auto"/>
        <w:rPr>
          <w:sz w:val="24"/>
        </w:rPr>
      </w:pPr>
      <w:r>
        <w:rPr>
          <w:sz w:val="24"/>
        </w:rPr>
        <w:t>Mortgage sizes;</w:t>
      </w:r>
    </w:p>
    <w:p w14:paraId="2C3BA47D" w14:textId="77777777" w:rsidR="008043D7" w:rsidRDefault="008043D7" w:rsidP="008043D7">
      <w:pPr>
        <w:pStyle w:val="ListParagraph"/>
        <w:numPr>
          <w:ilvl w:val="1"/>
          <w:numId w:val="3"/>
        </w:numPr>
        <w:spacing w:line="240" w:lineRule="auto"/>
        <w:rPr>
          <w:sz w:val="24"/>
        </w:rPr>
      </w:pPr>
      <w:r>
        <w:rPr>
          <w:sz w:val="24"/>
        </w:rPr>
        <w:t>Down-payment sizes; and,</w:t>
      </w:r>
    </w:p>
    <w:p w14:paraId="07221B17" w14:textId="77777777" w:rsidR="008043D7" w:rsidRDefault="008043D7" w:rsidP="008043D7">
      <w:pPr>
        <w:pStyle w:val="ListParagraph"/>
        <w:numPr>
          <w:ilvl w:val="1"/>
          <w:numId w:val="3"/>
        </w:numPr>
        <w:spacing w:line="240" w:lineRule="auto"/>
        <w:rPr>
          <w:sz w:val="24"/>
        </w:rPr>
      </w:pPr>
      <w:r>
        <w:rPr>
          <w:sz w:val="24"/>
        </w:rPr>
        <w:t>Overall household debt.</w:t>
      </w:r>
    </w:p>
    <w:p w14:paraId="4276065D" w14:textId="77777777" w:rsidR="008043D7" w:rsidRPr="008043D7" w:rsidRDefault="00B0001C" w:rsidP="008043D7">
      <w:pPr>
        <w:spacing w:line="240" w:lineRule="auto"/>
        <w:rPr>
          <w:sz w:val="24"/>
        </w:rPr>
      </w:pPr>
      <w:r>
        <w:rPr>
          <w:sz w:val="24"/>
        </w:rPr>
        <w:t xml:space="preserve">We believe this data to be interesting given the extensive coverage of the housing market in the media, yet very limited, unbiased representation of the facts. Most media coverage on housing is very neighbourhood-specific and often provided by real estate agents, who are not without bias when describing the trends they are observing. Lastly, Canada is witnessing a transformative change in its history with respect to housing. Demand from immigration and natural population growth have absorbed all of the housing supply. It is likely that first-time </w:t>
      </w:r>
      <w:proofErr w:type="gramStart"/>
      <w:r>
        <w:rPr>
          <w:sz w:val="24"/>
        </w:rPr>
        <w:t>home buyers</w:t>
      </w:r>
      <w:proofErr w:type="gramEnd"/>
      <w:r>
        <w:rPr>
          <w:sz w:val="24"/>
        </w:rPr>
        <w:t xml:space="preserve"> in major markets such as Vancouver and Toronto convert to home renters rather than owners much like established U.S. markets such as New York or Chicago. </w:t>
      </w:r>
    </w:p>
    <w:p w14:paraId="44DF02CA" w14:textId="77777777" w:rsidR="00B0001C" w:rsidRDefault="008043D7" w:rsidP="008043D7">
      <w:pPr>
        <w:rPr>
          <w:sz w:val="24"/>
        </w:rPr>
      </w:pPr>
      <w:r w:rsidRPr="00B0001C">
        <w:rPr>
          <w:rFonts w:asciiTheme="majorHAnsi" w:hAnsiTheme="majorHAnsi" w:cstheme="majorHAnsi"/>
          <w:sz w:val="24"/>
        </w:rPr>
        <w:t>Analysis</w:t>
      </w:r>
    </w:p>
    <w:p w14:paraId="3A7AD387" w14:textId="77777777" w:rsidR="008043D7" w:rsidRPr="008043D7" w:rsidRDefault="008043D7" w:rsidP="008043D7">
      <w:pPr>
        <w:rPr>
          <w:sz w:val="24"/>
        </w:rPr>
      </w:pPr>
      <w:r w:rsidRPr="008043D7">
        <w:rPr>
          <w:sz w:val="24"/>
        </w:rPr>
        <w:t>What were the challenges? How did you overcome them?</w:t>
      </w:r>
    </w:p>
    <w:p w14:paraId="1511BB36" w14:textId="77777777" w:rsidR="00C72BDD" w:rsidRDefault="008043D7" w:rsidP="008043D7">
      <w:pPr>
        <w:rPr>
          <w:rFonts w:asciiTheme="majorHAnsi" w:hAnsiTheme="majorHAnsi" w:cstheme="majorHAnsi"/>
          <w:sz w:val="24"/>
        </w:rPr>
      </w:pPr>
      <w:r w:rsidRPr="00C72BDD">
        <w:rPr>
          <w:rFonts w:asciiTheme="majorHAnsi" w:hAnsiTheme="majorHAnsi" w:cstheme="majorHAnsi"/>
          <w:sz w:val="24"/>
        </w:rPr>
        <w:t>Conclusions</w:t>
      </w:r>
    </w:p>
    <w:p w14:paraId="6447BFEF" w14:textId="77777777" w:rsidR="00A824EC" w:rsidRPr="008043D7" w:rsidRDefault="008043D7" w:rsidP="008043D7">
      <w:pPr>
        <w:rPr>
          <w:sz w:val="24"/>
        </w:rPr>
      </w:pPr>
      <w:bookmarkStart w:id="0" w:name="_GoBack"/>
      <w:bookmarkEnd w:id="0"/>
      <w:r w:rsidRPr="008043D7">
        <w:rPr>
          <w:sz w:val="24"/>
        </w:rPr>
        <w:t>What did you learn about your dataset?</w:t>
      </w:r>
    </w:p>
    <w:sectPr w:rsidR="00A824EC" w:rsidRPr="00804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ergia Normal Black">
    <w:altName w:val="Courier New"/>
    <w:panose1 w:val="00000A00000000000000"/>
    <w:charset w:val="00"/>
    <w:family w:val="modern"/>
    <w:notTrueType/>
    <w:pitch w:val="variable"/>
    <w:sig w:usb0="20000287" w:usb1="00000000" w:usb2="00000000" w:usb3="00000000" w:csb0="0000019F" w:csb1="00000000"/>
  </w:font>
  <w:font w:name="Alergia Normal Thin">
    <w:altName w:val="Courier New"/>
    <w:panose1 w:val="00000400000000000000"/>
    <w:charset w:val="00"/>
    <w:family w:val="modern"/>
    <w:notTrueType/>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4016F"/>
    <w:multiLevelType w:val="multilevel"/>
    <w:tmpl w:val="65AAA48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873827"/>
    <w:multiLevelType w:val="hybridMultilevel"/>
    <w:tmpl w:val="38A206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D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795B"/>
    <w:rsid w:val="00100822"/>
    <w:rsid w:val="001023E6"/>
    <w:rsid w:val="00110B51"/>
    <w:rsid w:val="00111AEF"/>
    <w:rsid w:val="001177AC"/>
    <w:rsid w:val="001217A1"/>
    <w:rsid w:val="0012327E"/>
    <w:rsid w:val="001268DE"/>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9C1"/>
    <w:rsid w:val="001E58F1"/>
    <w:rsid w:val="001E7514"/>
    <w:rsid w:val="001F3F27"/>
    <w:rsid w:val="00200E92"/>
    <w:rsid w:val="00204089"/>
    <w:rsid w:val="002055AD"/>
    <w:rsid w:val="00206275"/>
    <w:rsid w:val="0020643E"/>
    <w:rsid w:val="00206743"/>
    <w:rsid w:val="00207113"/>
    <w:rsid w:val="00221F86"/>
    <w:rsid w:val="002260EE"/>
    <w:rsid w:val="00226307"/>
    <w:rsid w:val="0023158A"/>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5E13"/>
    <w:rsid w:val="00431EEB"/>
    <w:rsid w:val="00432CFE"/>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71035"/>
    <w:rsid w:val="00671A61"/>
    <w:rsid w:val="00673472"/>
    <w:rsid w:val="00674738"/>
    <w:rsid w:val="00680935"/>
    <w:rsid w:val="006822A4"/>
    <w:rsid w:val="00683C3F"/>
    <w:rsid w:val="006879B6"/>
    <w:rsid w:val="00695E39"/>
    <w:rsid w:val="006A0308"/>
    <w:rsid w:val="006A0FC2"/>
    <w:rsid w:val="006A5609"/>
    <w:rsid w:val="006A676D"/>
    <w:rsid w:val="006B0825"/>
    <w:rsid w:val="006B312E"/>
    <w:rsid w:val="006C063B"/>
    <w:rsid w:val="006C7C5E"/>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D2E"/>
    <w:rsid w:val="00723181"/>
    <w:rsid w:val="00725BD0"/>
    <w:rsid w:val="00727BA9"/>
    <w:rsid w:val="007312F7"/>
    <w:rsid w:val="007425A5"/>
    <w:rsid w:val="00745721"/>
    <w:rsid w:val="007501AC"/>
    <w:rsid w:val="00751CB4"/>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43D7"/>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932EB"/>
    <w:rsid w:val="00894E2C"/>
    <w:rsid w:val="00895A07"/>
    <w:rsid w:val="00896C93"/>
    <w:rsid w:val="00897EBB"/>
    <w:rsid w:val="008A23E8"/>
    <w:rsid w:val="008A301B"/>
    <w:rsid w:val="008A760B"/>
    <w:rsid w:val="008B0167"/>
    <w:rsid w:val="008B55BE"/>
    <w:rsid w:val="008B7193"/>
    <w:rsid w:val="008C3206"/>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9DB"/>
    <w:rsid w:val="009049CB"/>
    <w:rsid w:val="00911EB2"/>
    <w:rsid w:val="009156A1"/>
    <w:rsid w:val="00915D3D"/>
    <w:rsid w:val="00917F65"/>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C83"/>
    <w:rsid w:val="00970A66"/>
    <w:rsid w:val="009739B7"/>
    <w:rsid w:val="00990389"/>
    <w:rsid w:val="00991345"/>
    <w:rsid w:val="009957E8"/>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BF2"/>
    <w:rsid w:val="009D4663"/>
    <w:rsid w:val="009D5E1B"/>
    <w:rsid w:val="009D798B"/>
    <w:rsid w:val="009E0564"/>
    <w:rsid w:val="009E09AA"/>
    <w:rsid w:val="009E1211"/>
    <w:rsid w:val="009E4841"/>
    <w:rsid w:val="009F1464"/>
    <w:rsid w:val="009F3499"/>
    <w:rsid w:val="009F68A4"/>
    <w:rsid w:val="009F6BC7"/>
    <w:rsid w:val="00A00493"/>
    <w:rsid w:val="00A01473"/>
    <w:rsid w:val="00A01CCF"/>
    <w:rsid w:val="00A104BC"/>
    <w:rsid w:val="00A10607"/>
    <w:rsid w:val="00A111FE"/>
    <w:rsid w:val="00A172C7"/>
    <w:rsid w:val="00A175D4"/>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63ED"/>
    <w:rsid w:val="00AB2B7A"/>
    <w:rsid w:val="00AB6CA0"/>
    <w:rsid w:val="00AC0D62"/>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001C"/>
    <w:rsid w:val="00B01479"/>
    <w:rsid w:val="00B0579F"/>
    <w:rsid w:val="00B05CB4"/>
    <w:rsid w:val="00B14AEB"/>
    <w:rsid w:val="00B1674D"/>
    <w:rsid w:val="00B17C28"/>
    <w:rsid w:val="00B22E07"/>
    <w:rsid w:val="00B24ACE"/>
    <w:rsid w:val="00B27AA0"/>
    <w:rsid w:val="00B27AF4"/>
    <w:rsid w:val="00B27CB8"/>
    <w:rsid w:val="00B30340"/>
    <w:rsid w:val="00B31670"/>
    <w:rsid w:val="00B316FE"/>
    <w:rsid w:val="00B37253"/>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2BDD"/>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4EE7"/>
    <w:rsid w:val="00D67048"/>
    <w:rsid w:val="00D7280B"/>
    <w:rsid w:val="00D734A6"/>
    <w:rsid w:val="00D80318"/>
    <w:rsid w:val="00D826E8"/>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E0FF2"/>
    <w:rsid w:val="00DE1029"/>
    <w:rsid w:val="00DF06E0"/>
    <w:rsid w:val="00DF26CA"/>
    <w:rsid w:val="00E0227D"/>
    <w:rsid w:val="00E02AB1"/>
    <w:rsid w:val="00E03131"/>
    <w:rsid w:val="00E047F0"/>
    <w:rsid w:val="00E06344"/>
    <w:rsid w:val="00E13B82"/>
    <w:rsid w:val="00E14D40"/>
    <w:rsid w:val="00E165BE"/>
    <w:rsid w:val="00E1757A"/>
    <w:rsid w:val="00E22457"/>
    <w:rsid w:val="00E268E7"/>
    <w:rsid w:val="00E27071"/>
    <w:rsid w:val="00E30873"/>
    <w:rsid w:val="00E31279"/>
    <w:rsid w:val="00E32BEA"/>
    <w:rsid w:val="00E34131"/>
    <w:rsid w:val="00E43B5C"/>
    <w:rsid w:val="00E46863"/>
    <w:rsid w:val="00E50074"/>
    <w:rsid w:val="00E5034F"/>
    <w:rsid w:val="00E54871"/>
    <w:rsid w:val="00E5711B"/>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AD2"/>
    <w:rsid w:val="00ED741A"/>
    <w:rsid w:val="00ED7432"/>
    <w:rsid w:val="00EE233F"/>
    <w:rsid w:val="00EE2B38"/>
    <w:rsid w:val="00F02609"/>
    <w:rsid w:val="00F04438"/>
    <w:rsid w:val="00F113E8"/>
    <w:rsid w:val="00F13186"/>
    <w:rsid w:val="00F1376A"/>
    <w:rsid w:val="00F13FFB"/>
    <w:rsid w:val="00F1651D"/>
    <w:rsid w:val="00F16BD9"/>
    <w:rsid w:val="00F2683E"/>
    <w:rsid w:val="00F26864"/>
    <w:rsid w:val="00F27E1C"/>
    <w:rsid w:val="00F31284"/>
    <w:rsid w:val="00F32704"/>
    <w:rsid w:val="00F36E38"/>
    <w:rsid w:val="00F420E6"/>
    <w:rsid w:val="00F42EBD"/>
    <w:rsid w:val="00F46C91"/>
    <w:rsid w:val="00F53BD8"/>
    <w:rsid w:val="00F56F9B"/>
    <w:rsid w:val="00F62FF3"/>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46B7"/>
  <w15:chartTrackingRefBased/>
  <w15:docId w15:val="{F5465393-90BD-4382-9A0F-1B0DC50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1B"/>
    <w:pPr>
      <w:spacing w:after="120" w:line="300" w:lineRule="auto"/>
      <w:jc w:val="both"/>
    </w:pPr>
    <w:rPr>
      <w:rFonts w:ascii="Segoe UI" w:hAnsi="Segoe UI"/>
      <w:sz w:val="18"/>
      <w:szCs w:val="24"/>
    </w:rPr>
  </w:style>
  <w:style w:type="paragraph" w:styleId="Heading1">
    <w:name w:val="heading 1"/>
    <w:basedOn w:val="Normal"/>
    <w:next w:val="Normal"/>
    <w:link w:val="Heading1Char"/>
    <w:uiPriority w:val="9"/>
    <w:qFormat/>
    <w:rsid w:val="009D5E1B"/>
    <w:pPr>
      <w:keepNext/>
      <w:keepLines/>
      <w:numPr>
        <w:numId w:val="2"/>
      </w:numPr>
      <w:spacing w:before="240" w:after="0"/>
      <w:ind w:left="504" w:hanging="360"/>
      <w:outlineLvl w:val="0"/>
    </w:pPr>
    <w:rPr>
      <w:rFonts w:eastAsiaTheme="majorEastAsia" w:cstheme="majorBidi"/>
      <w:caps/>
      <w:color w:val="DC1C24"/>
      <w:sz w:val="24"/>
      <w:szCs w:val="32"/>
    </w:rPr>
  </w:style>
  <w:style w:type="paragraph" w:styleId="Heading2">
    <w:name w:val="heading 2"/>
    <w:basedOn w:val="Normal"/>
    <w:next w:val="Normal"/>
    <w:link w:val="Heading2Char"/>
    <w:uiPriority w:val="9"/>
    <w:unhideWhenUsed/>
    <w:qFormat/>
    <w:rsid w:val="007B0B1D"/>
    <w:pPr>
      <w:keepNext/>
      <w:keepLines/>
      <w:spacing w:before="40" w:after="60" w:line="240" w:lineRule="auto"/>
      <w:outlineLvl w:val="1"/>
    </w:pPr>
    <w:rPr>
      <w:rFonts w:ascii="Segoe UI Light" w:eastAsiaTheme="majorEastAsia" w:hAnsi="Segoe UI Light" w:cstheme="majorBidi"/>
      <w:caps/>
      <w:sz w:val="22"/>
      <w:szCs w:val="26"/>
    </w:rPr>
  </w:style>
  <w:style w:type="paragraph" w:styleId="Heading3">
    <w:name w:val="heading 3"/>
    <w:basedOn w:val="Normal"/>
    <w:next w:val="Normal"/>
    <w:link w:val="Heading3Char"/>
    <w:uiPriority w:val="9"/>
    <w:unhideWhenUsed/>
    <w:qFormat/>
    <w:rsid w:val="007B0B1D"/>
    <w:pPr>
      <w:keepNext/>
      <w:keepLines/>
      <w:spacing w:before="40" w:after="40" w:line="240" w:lineRule="auto"/>
      <w:outlineLvl w:val="2"/>
    </w:pPr>
    <w:rPr>
      <w:rFonts w:ascii="Segoe UI Semibold" w:eastAsiaTheme="majorEastAsia" w:hAnsi="Segoe UI Semibold" w:cstheme="majorBidi"/>
    </w:rPr>
  </w:style>
  <w:style w:type="paragraph" w:styleId="Heading4">
    <w:name w:val="heading 4"/>
    <w:basedOn w:val="Heading3"/>
    <w:next w:val="Normal"/>
    <w:link w:val="Heading4Char"/>
    <w:uiPriority w:val="9"/>
    <w:unhideWhenUsed/>
    <w:qFormat/>
    <w:rsid w:val="007B0B1D"/>
    <w:pPr>
      <w:outlineLvl w:val="3"/>
    </w:pPr>
    <w:rPr>
      <w:rFonts w:ascii="Segoe UI Light" w:hAnsi="Segoe UI Light" w:cs="Segoe UI Light"/>
      <w:i/>
    </w:rPr>
  </w:style>
  <w:style w:type="paragraph" w:styleId="Heading5">
    <w:name w:val="heading 5"/>
    <w:basedOn w:val="Normal"/>
    <w:next w:val="Normal"/>
    <w:link w:val="Heading5Char"/>
    <w:uiPriority w:val="9"/>
    <w:semiHidden/>
    <w:unhideWhenUsed/>
    <w:qFormat/>
    <w:rsid w:val="007B0B1D"/>
    <w:pPr>
      <w:keepNext/>
      <w:keepLines/>
      <w:spacing w:before="40" w:after="0"/>
      <w:outlineLvl w:val="4"/>
    </w:pPr>
    <w:rPr>
      <w:rFonts w:asciiTheme="majorHAnsi" w:eastAsiaTheme="majorEastAsia" w:hAnsiTheme="majorHAnsi" w:cstheme="majorBidi"/>
      <w:color w:val="DC1C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7B0B1D"/>
    <w:pPr>
      <w:spacing w:after="0" w:line="240" w:lineRule="auto"/>
      <w:contextualSpacing/>
    </w:pPr>
    <w:rPr>
      <w:rFonts w:ascii="Alergia Normal Black" w:eastAsiaTheme="majorEastAsia" w:hAnsi="Alergia Normal Black" w:cstheme="majorBidi"/>
      <w:spacing w:val="-10"/>
      <w:kern w:val="28"/>
      <w:sz w:val="52"/>
      <w:szCs w:val="56"/>
    </w:rPr>
  </w:style>
  <w:style w:type="character" w:customStyle="1" w:styleId="TitleChar">
    <w:name w:val="Title Char"/>
    <w:basedOn w:val="DefaultParagraphFont"/>
    <w:link w:val="Title"/>
    <w:uiPriority w:val="10"/>
    <w:rsid w:val="007B0B1D"/>
    <w:rPr>
      <w:rFonts w:ascii="Alergia Normal Black" w:eastAsiaTheme="majorEastAsia" w:hAnsi="Alergia Normal Black" w:cstheme="majorBidi"/>
      <w:spacing w:val="-10"/>
      <w:kern w:val="28"/>
      <w:sz w:val="52"/>
      <w:szCs w:val="56"/>
    </w:rPr>
  </w:style>
  <w:style w:type="character" w:customStyle="1" w:styleId="Heading1Char">
    <w:name w:val="Heading 1 Char"/>
    <w:basedOn w:val="DefaultParagraphFont"/>
    <w:link w:val="Heading1"/>
    <w:uiPriority w:val="9"/>
    <w:rsid w:val="009D5E1B"/>
    <w:rPr>
      <w:rFonts w:ascii="Segoe UI" w:eastAsiaTheme="majorEastAsia" w:hAnsi="Segoe UI" w:cstheme="majorBidi"/>
      <w:caps/>
      <w:color w:val="DC1C24"/>
      <w:sz w:val="24"/>
      <w:szCs w:val="32"/>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0B1D"/>
    <w:rPr>
      <w:rFonts w:ascii="Segoe UI Light" w:eastAsiaTheme="majorEastAsia" w:hAnsi="Segoe UI Light" w:cstheme="majorBidi"/>
      <w:caps/>
      <w:szCs w:val="26"/>
    </w:rPr>
  </w:style>
  <w:style w:type="character" w:customStyle="1" w:styleId="Heading3Char">
    <w:name w:val="Heading 3 Char"/>
    <w:basedOn w:val="DefaultParagraphFont"/>
    <w:link w:val="Heading3"/>
    <w:uiPriority w:val="9"/>
    <w:rsid w:val="007B0B1D"/>
    <w:rPr>
      <w:rFonts w:ascii="Segoe UI Semibold" w:eastAsiaTheme="majorEastAsia" w:hAnsi="Segoe UI Semibold" w:cstheme="majorBidi"/>
      <w:sz w:val="18"/>
      <w:szCs w:val="24"/>
    </w:rPr>
  </w:style>
  <w:style w:type="character" w:customStyle="1" w:styleId="Heading4Char">
    <w:name w:val="Heading 4 Char"/>
    <w:basedOn w:val="DefaultParagraphFont"/>
    <w:link w:val="Heading4"/>
    <w:uiPriority w:val="9"/>
    <w:rsid w:val="007B0B1D"/>
    <w:rPr>
      <w:rFonts w:ascii="Segoe UI Light" w:eastAsiaTheme="majorEastAsia" w:hAnsi="Segoe UI Light" w:cs="Segoe UI Light"/>
      <w:i/>
      <w:sz w:val="18"/>
      <w:szCs w:val="24"/>
    </w:rPr>
  </w:style>
  <w:style w:type="character" w:customStyle="1" w:styleId="Heading5Char">
    <w:name w:val="Heading 5 Char"/>
    <w:basedOn w:val="DefaultParagraphFont"/>
    <w:link w:val="Heading5"/>
    <w:uiPriority w:val="9"/>
    <w:semiHidden/>
    <w:rsid w:val="007B0B1D"/>
    <w:rPr>
      <w:rFonts w:asciiTheme="majorHAnsi" w:eastAsiaTheme="majorEastAsia" w:hAnsiTheme="majorHAnsi" w:cstheme="majorBidi"/>
      <w:color w:val="DC1C24"/>
      <w:sz w:val="18"/>
      <w:szCs w:val="24"/>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sz w:val="22"/>
    </w:rPr>
  </w:style>
  <w:style w:type="paragraph" w:styleId="TOC2">
    <w:name w:val="toc 2"/>
    <w:basedOn w:val="Normal"/>
    <w:next w:val="Normal"/>
    <w:autoRedefine/>
    <w:uiPriority w:val="39"/>
    <w:unhideWhenUsed/>
    <w:rsid w:val="008E4585"/>
    <w:pPr>
      <w:spacing w:after="100" w:line="259" w:lineRule="auto"/>
      <w:ind w:left="220"/>
      <w:jc w:val="left"/>
    </w:pPr>
    <w:rPr>
      <w:rFonts w:eastAsiaTheme="minorEastAsia" w:cs="Times New Roman"/>
      <w:sz w:val="22"/>
      <w:szCs w:val="22"/>
    </w:rPr>
  </w:style>
  <w:style w:type="paragraph" w:styleId="TOC3">
    <w:name w:val="toc 3"/>
    <w:basedOn w:val="Normal"/>
    <w:next w:val="Normal"/>
    <w:autoRedefine/>
    <w:uiPriority w:val="39"/>
    <w:unhideWhenUsed/>
    <w:rsid w:val="008E4585"/>
    <w:pPr>
      <w:spacing w:after="100" w:line="259" w:lineRule="auto"/>
      <w:ind w:left="440"/>
      <w:jc w:val="left"/>
    </w:pPr>
    <w:rPr>
      <w:rFonts w:eastAsiaTheme="minorEastAsia" w:cs="Times New Roman"/>
      <w:sz w:val="22"/>
      <w:szCs w:val="22"/>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7B0B1D"/>
    <w:pPr>
      <w:numPr>
        <w:ilvl w:val="1"/>
      </w:numPr>
    </w:pPr>
    <w:rPr>
      <w:rFonts w:ascii="Alergia Normal Thin" w:eastAsiaTheme="minorEastAsia" w:hAnsi="Alergia Normal Thin"/>
      <w:color w:val="5A5A5A" w:themeColor="text1" w:themeTint="A5"/>
      <w:spacing w:val="15"/>
      <w:sz w:val="22"/>
      <w:szCs w:val="22"/>
    </w:rPr>
  </w:style>
  <w:style w:type="character" w:customStyle="1" w:styleId="SubtitleChar">
    <w:name w:val="Subtitle Char"/>
    <w:basedOn w:val="DefaultParagraphFont"/>
    <w:link w:val="Subtitle"/>
    <w:uiPriority w:val="11"/>
    <w:rsid w:val="007B0B1D"/>
    <w:rPr>
      <w:rFonts w:ascii="Alergia Normal Thin" w:eastAsiaTheme="minorEastAsia" w:hAnsi="Alergia Normal Thin"/>
      <w:color w:val="5A5A5A" w:themeColor="text1" w:themeTint="A5"/>
      <w:spacing w:val="15"/>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7B0B1D"/>
    <w:rPr>
      <w:b/>
      <w:bCs/>
    </w:rPr>
  </w:style>
  <w:style w:type="paragraph" w:styleId="NormalWeb">
    <w:name w:val="Normal (Web)"/>
    <w:basedOn w:val="Normal"/>
    <w:uiPriority w:val="99"/>
    <w:semiHidden/>
    <w:unhideWhenUsed/>
    <w:rsid w:val="008E4585"/>
    <w:pPr>
      <w:spacing w:before="100" w:beforeAutospacing="1" w:after="100" w:afterAutospacing="1" w:line="240" w:lineRule="auto"/>
      <w:jc w:val="left"/>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9D5E1B"/>
    <w:pPr>
      <w:spacing w:after="0" w:line="300" w:lineRule="auto"/>
      <w:jc w:val="both"/>
    </w:pPr>
    <w:rPr>
      <w:rFonts w:ascii="Segoe UI" w:hAnsi="Segoe UI"/>
      <w:sz w:val="18"/>
      <w:szCs w:val="24"/>
    </w:rPr>
  </w:style>
  <w:style w:type="character" w:customStyle="1" w:styleId="NoSpacingChar">
    <w:name w:val="No Spacing Char"/>
    <w:basedOn w:val="DefaultParagraphFont"/>
    <w:link w:val="NoSpacing"/>
    <w:uiPriority w:val="1"/>
    <w:rsid w:val="009D5E1B"/>
    <w:rPr>
      <w:rFonts w:ascii="Segoe UI" w:hAnsi="Segoe UI"/>
      <w:sz w:val="18"/>
      <w:szCs w:val="24"/>
    </w:rPr>
  </w:style>
  <w:style w:type="character" w:styleId="SubtleEmphasis">
    <w:name w:val="Subtle Emphasis"/>
    <w:basedOn w:val="DefaultParagraphFont"/>
    <w:uiPriority w:val="19"/>
    <w:qFormat/>
    <w:rsid w:val="007B0B1D"/>
    <w:rPr>
      <w:i/>
      <w:iCs/>
      <w:color w:val="404040" w:themeColor="text1" w:themeTint="BF"/>
    </w:rPr>
  </w:style>
  <w:style w:type="paragraph" w:styleId="TOCHeading">
    <w:name w:val="TOC Heading"/>
    <w:basedOn w:val="Heading1"/>
    <w:next w:val="Normal"/>
    <w:uiPriority w:val="39"/>
    <w:unhideWhenUsed/>
    <w:qFormat/>
    <w:rsid w:val="007B0B1D"/>
    <w:pPr>
      <w:spacing w:line="259" w:lineRule="auto"/>
      <w:jc w:val="left"/>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ED7378" w:themeColor="accent1" w:themeTint="99"/>
        <w:left w:val="single" w:sz="4" w:space="0" w:color="ED7378" w:themeColor="accent1" w:themeTint="99"/>
        <w:bottom w:val="single" w:sz="4" w:space="0" w:color="ED7378" w:themeColor="accent1" w:themeTint="99"/>
        <w:right w:val="single" w:sz="4" w:space="0" w:color="ED7378" w:themeColor="accent1" w:themeTint="99"/>
        <w:insideH w:val="single" w:sz="4" w:space="0" w:color="ED7378" w:themeColor="accent1" w:themeTint="99"/>
        <w:insideV w:val="single" w:sz="4" w:space="0" w:color="ED7378" w:themeColor="accent1" w:themeTint="99"/>
      </w:tblBorders>
    </w:tblPr>
    <w:tblStylePr w:type="firstRow">
      <w:rPr>
        <w:b/>
        <w:bCs/>
        <w:color w:val="FFFFFF" w:themeColor="background1"/>
      </w:rPr>
      <w:tblPr/>
      <w:tcPr>
        <w:tcBorders>
          <w:top w:val="single" w:sz="4" w:space="0" w:color="DC1C24" w:themeColor="accent1"/>
          <w:left w:val="single" w:sz="4" w:space="0" w:color="DC1C24" w:themeColor="accent1"/>
          <w:bottom w:val="single" w:sz="4" w:space="0" w:color="DC1C24" w:themeColor="accent1"/>
          <w:right w:val="single" w:sz="4" w:space="0" w:color="DC1C24" w:themeColor="accent1"/>
          <w:insideH w:val="nil"/>
          <w:insideV w:val="nil"/>
        </w:tcBorders>
        <w:shd w:val="clear" w:color="auto" w:fill="DC1C24" w:themeFill="accent1"/>
      </w:tcPr>
    </w:tblStylePr>
    <w:tblStylePr w:type="lastRow">
      <w:rPr>
        <w:b/>
        <w:bCs/>
      </w:rPr>
      <w:tblPr/>
      <w:tcPr>
        <w:tcBorders>
          <w:top w:val="double" w:sz="4" w:space="0" w:color="DC1C24" w:themeColor="accent1"/>
        </w:tcBorders>
      </w:tcPr>
    </w:tblStylePr>
    <w:tblStylePr w:type="firstCol">
      <w:rPr>
        <w:b/>
        <w:bCs/>
      </w:rPr>
    </w:tblStylePr>
    <w:tblStylePr w:type="lastCol">
      <w:rPr>
        <w:b/>
        <w:bCs/>
      </w:rPr>
    </w:tblStylePr>
    <w:tblStylePr w:type="band1Vert">
      <w:tblPr/>
      <w:tcPr>
        <w:shd w:val="clear" w:color="auto" w:fill="F9D0D1" w:themeFill="accent1" w:themeFillTint="33"/>
      </w:tcPr>
    </w:tblStylePr>
    <w:tblStylePr w:type="band1Horz">
      <w:tblPr/>
      <w:tcPr>
        <w:shd w:val="clear" w:color="auto" w:fill="F9D0D1"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RioCan v1">
  <a:themeElements>
    <a:clrScheme name="RioCan">
      <a:dk1>
        <a:sysClr val="windowText" lastClr="000000"/>
      </a:dk1>
      <a:lt1>
        <a:sysClr val="window" lastClr="FFFFFF"/>
      </a:lt1>
      <a:dk2>
        <a:srgbClr val="827970"/>
      </a:dk2>
      <a:lt2>
        <a:srgbClr val="E7E6E6"/>
      </a:lt2>
      <a:accent1>
        <a:srgbClr val="DC1C24"/>
      </a:accent1>
      <a:accent2>
        <a:srgbClr val="5C6665"/>
      </a:accent2>
      <a:accent3>
        <a:srgbClr val="A5A5A5"/>
      </a:accent3>
      <a:accent4>
        <a:srgbClr val="FFC000"/>
      </a:accent4>
      <a:accent5>
        <a:srgbClr val="4472C4"/>
      </a:accent5>
      <a:accent6>
        <a:srgbClr val="70AD47"/>
      </a:accent6>
      <a:hlink>
        <a:srgbClr val="0563C1"/>
      </a:hlink>
      <a:folHlink>
        <a:srgbClr val="954F72"/>
      </a:folHlink>
    </a:clrScheme>
    <a:fontScheme name="Development 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D1809-574D-4686-A59F-B5A4E8D0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44EA4-D5A9-42ED-BB3A-465FC3AD733C}">
  <ds:schemaRefs>
    <ds:schemaRef ds:uri="http://schemas.microsoft.com/sharepoint/v3/contenttype/forms"/>
  </ds:schemaRefs>
</ds:datastoreItem>
</file>

<file path=customXml/itemProps3.xml><?xml version="1.0" encoding="utf-8"?>
<ds:datastoreItem xmlns:ds="http://schemas.openxmlformats.org/officeDocument/2006/customXml" ds:itemID="{20B6F054-260D-4BE2-9AEB-4572A63672AF}">
  <ds:schemaRefs>
    <ds:schemaRef ds:uri="45491941-3557-4c18-9a8e-31eed0e81975"/>
    <ds:schemaRef ds:uri="http://www.w3.org/XML/1998/namespace"/>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http://schemas.openxmlformats.org/package/2006/metadata/core-properties"/>
    <ds:schemaRef ds:uri="86f0b82b-2a60-4a44-8d95-e7111e399df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1</cp:revision>
  <dcterms:created xsi:type="dcterms:W3CDTF">2020-07-21T17:44:00Z</dcterms:created>
  <dcterms:modified xsi:type="dcterms:W3CDTF">2020-07-21T18:46:00Z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