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E2B5C"/>
          <w:sz w:val="44"/>
        </w:rPr>
        <w:t>INFORME DE ANÁLISIS DE RENDIMIENTO Y CARGA</w:t>
      </w:r>
    </w:p>
    <w:p>
      <w:pPr>
        <w:jc w:val="center"/>
      </w:pPr>
      <w:r>
        <w:rPr>
          <w:rFonts w:ascii="Calibri" w:hAnsi="Calibri"/>
          <w:i/>
          <w:color w:val="2980B9"/>
          <w:sz w:val="26"/>
        </w:rPr>
        <w:t>Evaluación de Concurrencia, Capacidad y Estabilidad Transaccional</w:t>
        <w:br/>
        <w:t>Reto Técnico Quality Engineer - Sofka</w:t>
      </w: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E2B5C"/>
                <w:sz w:val="20"/>
              </w:rPr>
              <w:t>Fecha de Evaluación:</w:t>
            </w:r>
          </w:p>
        </w:tc>
        <w:tc>
          <w:tcPr>
            <w:tcW w:type="dxa" w:w="64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20 de Septiembre de 2026</w:t>
            </w:r>
          </w:p>
        </w:tc>
      </w:tr>
      <w:tr>
        <w:tc>
          <w:tcPr>
            <w:tcW w:type="dxa" w:w="360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E2B5C"/>
                <w:sz w:val="20"/>
              </w:rPr>
              <w:t>Postulante / Evaluador:</w:t>
            </w:r>
          </w:p>
        </w:tc>
        <w:tc>
          <w:tcPr>
            <w:tcW w:type="dxa" w:w="64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Ronald (Analista de Automatización / QE)</w:t>
            </w:r>
          </w:p>
        </w:tc>
      </w:tr>
      <w:tr>
        <w:tc>
          <w:tcPr>
            <w:tcW w:type="dxa" w:w="360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E2B5C"/>
                <w:sz w:val="20"/>
              </w:rPr>
              <w:t>Servicio Bajo Prueba:</w:t>
            </w:r>
          </w:p>
        </w:tc>
        <w:tc>
          <w:tcPr>
            <w:tcW w:type="dxa" w:w="64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API Transaccional de Autenticación &amp; Balance</w:t>
            </w:r>
          </w:p>
        </w:tc>
      </w:tr>
      <w:tr>
        <w:tc>
          <w:tcPr>
            <w:tcW w:type="dxa" w:w="360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E2B5C"/>
                <w:sz w:val="20"/>
              </w:rPr>
              <w:t>Insumos de Entrada:</w:t>
            </w:r>
          </w:p>
        </w:tc>
        <w:tc>
          <w:tcPr>
            <w:tcW w:type="dxa" w:w="64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textSummary.txt (K6 v0.x) + Diagrama de Monitoreo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0E2B5C"/>
          <w:sz w:val="30"/>
        </w:rPr>
        <w:t>1. Resumen Ejecutivo y Veredicto Global</w:t>
      </w:r>
    </w:p>
    <w:p>
      <w:r>
        <w:t xml:space="preserve">Se ha llevado a cabo una exhaustiva auditoría de rendimiento y capacidad sobre el servicio transaccional utilizando el framework </w:t>
      </w:r>
      <w:r>
        <w:rPr>
          <w:b/>
        </w:rPr>
        <w:t>K6</w:t>
      </w:r>
      <w:r>
        <w:t xml:space="preserve">. La prueba sometió a la plataforma a una carga concurrente con rampa variable que alcanzó un pico de </w:t>
      </w:r>
      <w:r>
        <w:rPr>
          <w:b/>
        </w:rPr>
        <w:t>140 Usuarios Virtuales (VUs)</w:t>
      </w:r>
      <w:r>
        <w:t xml:space="preserve"> con un volumen total de </w:t>
      </w:r>
      <w:r>
        <w:rPr>
          <w:b/>
        </w:rPr>
        <w:t>276,650 transacciones</w:t>
      </w:r>
      <w:r>
        <w:t xml:space="preserve"> durante 50 minutos de ejecución.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E2B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Métrica Evaluada</w:t>
            </w:r>
          </w:p>
        </w:tc>
        <w:tc>
          <w:tcPr>
            <w:tcW w:type="dxa" w:w="2484"/>
            <w:shd w:fill="0E2B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SLA / Criterio Objetivo</w:t>
            </w:r>
          </w:p>
        </w:tc>
        <w:tc>
          <w:tcPr>
            <w:tcW w:type="dxa" w:w="2484"/>
            <w:shd w:fill="0E2B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Valor Obtenido</w:t>
            </w:r>
          </w:p>
        </w:tc>
        <w:tc>
          <w:tcPr>
            <w:tcW w:type="dxa" w:w="2484"/>
            <w:shd w:fill="0E2B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Dictamen Técnico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Throughput Promedio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&gt;= 20.0 TPS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73.18 TPS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27AE60"/>
                <w:sz w:val="19"/>
              </w:rPr>
              <w:t>CUMPLE (365% de la meta)</w:t>
            </w:r>
          </w:p>
        </w:tc>
      </w:tr>
      <w:tr>
        <w:tc>
          <w:tcPr>
            <w:tcW w:type="dxa" w:w="2484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Tasa de Error Global</w:t>
            </w:r>
          </w:p>
        </w:tc>
        <w:tc>
          <w:tcPr>
            <w:tcW w:type="dxa" w:w="2484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&lt; 3.00% del total</w:t>
            </w:r>
          </w:p>
        </w:tc>
        <w:tc>
          <w:tcPr>
            <w:tcW w:type="dxa" w:w="2484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2.44% (6,759 fallas)</w:t>
            </w:r>
          </w:p>
        </w:tc>
        <w:tc>
          <w:tcPr>
            <w:tcW w:type="dxa" w:w="2484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27AE60"/>
                <w:sz w:val="19"/>
              </w:rPr>
              <w:t>CUMPLE SLA GLOBAL (*)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Tiempo de Respuesta p(95)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&lt;= 1.50 segundos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1.57 segundos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C0392B"/>
                <w:sz w:val="19"/>
              </w:rPr>
              <w:t>INCUMPLE (Excede por 70ms)</w:t>
            </w:r>
          </w:p>
        </w:tc>
      </w:tr>
      <w:tr>
        <w:tc>
          <w:tcPr>
            <w:tcW w:type="dxa" w:w="2484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Tiempo de Respuesta Promedio</w:t>
            </w:r>
          </w:p>
        </w:tc>
        <w:tc>
          <w:tcPr>
            <w:tcW w:type="dxa" w:w="2484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&lt;= 1.50 segundos</w:t>
            </w:r>
          </w:p>
        </w:tc>
        <w:tc>
          <w:tcPr>
            <w:tcW w:type="dxa" w:w="2484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861.68 ms</w:t>
            </w:r>
          </w:p>
        </w:tc>
        <w:tc>
          <w:tcPr>
            <w:tcW w:type="dxa" w:w="2484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27AE60"/>
                <w:sz w:val="19"/>
              </w:rPr>
              <w:t>CUMPLE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Tiempo de Respuesta Máximo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&lt;= 5.00 segundos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29.93 segundos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C0392B"/>
                <w:sz w:val="19"/>
              </w:rPr>
              <w:t>CRÍTICO (Timeouts en pico)</w:t>
            </w:r>
          </w:p>
        </w:tc>
      </w:tr>
    </w:tbl>
    <w:p>
      <w:pPr>
        <w:spacing w:after="160"/>
      </w:pPr>
    </w:p>
    <w:p>
      <w:pPr>
        <w:ind w:left="288" w:right="288"/>
      </w:pPr>
      <w:r>
        <w:rPr>
          <w:b/>
          <w:color w:val="C0392B"/>
        </w:rPr>
        <w:t xml:space="preserve">(*) DICTAMEN TÉCNICO CONDICIONADO: </w:t>
      </w:r>
      <w:r>
        <w:t>Si bien la tasa de error global promedio del 2.44% se sitúa numéricamente por debajo del umbral del 3%, el 99.95% de todos los errores (5,987 errores HTTP 5xx y 769 HTTP 4xx) se concentraron de forma crítica y explosiva durante el pico de 140 VUs (Stage 1), donde la tasa de fallo local superó el 25% y provocó la caída del throughput a menos de 20 req/s. El sistema NO está listo para soportar picos superiores a 110 usuarios concurrentes sin ajustes de arquitectura.</w:t>
      </w:r>
    </w:p>
    <w:p>
      <w:pPr>
        <w:pStyle w:val="Heading1"/>
      </w:pPr>
      <w:r>
        <w:rPr>
          <w:color w:val="0E2B5C"/>
          <w:sz w:val="30"/>
        </w:rPr>
        <w:t>2. Consolidado Estadístico de Métricas (textSummary.txt)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2980B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1419"/>
            <w:shd w:fill="2980B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Promedio</w:t>
            </w:r>
          </w:p>
        </w:tc>
        <w:tc>
          <w:tcPr>
            <w:tcW w:type="dxa" w:w="1419"/>
            <w:shd w:fill="2980B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419"/>
            <w:shd w:fill="2980B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Mediana</w:t>
            </w:r>
          </w:p>
        </w:tc>
        <w:tc>
          <w:tcPr>
            <w:tcW w:type="dxa" w:w="1419"/>
            <w:shd w:fill="2980B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p(90)</w:t>
            </w:r>
          </w:p>
        </w:tc>
        <w:tc>
          <w:tcPr>
            <w:tcW w:type="dxa" w:w="1419"/>
            <w:shd w:fill="2980B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p(95)</w:t>
            </w:r>
          </w:p>
        </w:tc>
        <w:tc>
          <w:tcPr>
            <w:tcW w:type="dxa" w:w="1419"/>
            <w:shd w:fill="2980B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</w:tr>
      <w:tr>
        <w:tc>
          <w:tcPr>
            <w:tcW w:type="dxa" w:w="1419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http_req_duration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861.68 ms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191.86 ms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613.42 ms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1.28 s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1.57 s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29.93 s</w:t>
            </w:r>
          </w:p>
        </w:tc>
      </w:tr>
      <w:tr>
        <w:tc>
          <w:tcPr>
            <w:tcW w:type="dxa" w:w="1419"/>
            <w:shd w:fill="F4F6F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http_req_waiting (TTFB)</w:t>
            </w:r>
          </w:p>
        </w:tc>
        <w:tc>
          <w:tcPr>
            <w:tcW w:type="dxa" w:w="1419"/>
            <w:shd w:fill="F4F6F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861.21 ms</w:t>
            </w:r>
          </w:p>
        </w:tc>
        <w:tc>
          <w:tcPr>
            <w:tcW w:type="dxa" w:w="1419"/>
            <w:shd w:fill="F4F6F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191.86 ms</w:t>
            </w:r>
          </w:p>
        </w:tc>
        <w:tc>
          <w:tcPr>
            <w:tcW w:type="dxa" w:w="1419"/>
            <w:shd w:fill="F4F6F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613.01 ms</w:t>
            </w:r>
          </w:p>
        </w:tc>
        <w:tc>
          <w:tcPr>
            <w:tcW w:type="dxa" w:w="1419"/>
            <w:shd w:fill="F4F6F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1.28 s</w:t>
            </w:r>
          </w:p>
        </w:tc>
        <w:tc>
          <w:tcPr>
            <w:tcW w:type="dxa" w:w="1419"/>
            <w:shd w:fill="F4F6F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1.57 s</w:t>
            </w:r>
          </w:p>
        </w:tc>
        <w:tc>
          <w:tcPr>
            <w:tcW w:type="dxa" w:w="1419"/>
            <w:shd w:fill="F4F6F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29.93 s</w:t>
            </w:r>
          </w:p>
        </w:tc>
      </w:tr>
      <w:tr>
        <w:tc>
          <w:tcPr>
            <w:tcW w:type="dxa" w:w="1419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expected_response: true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735.84 ms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244.92 ms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600.70 ms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1.22 s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1.42 s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26.72 s</w:t>
            </w:r>
          </w:p>
        </w:tc>
      </w:tr>
      <w:tr>
        <w:tc>
          <w:tcPr>
            <w:tcW w:type="dxa" w:w="1419"/>
            <w:shd w:fill="F4F6F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iteration_duration</w:t>
            </w:r>
          </w:p>
        </w:tc>
        <w:tc>
          <w:tcPr>
            <w:tcW w:type="dxa" w:w="1419"/>
            <w:shd w:fill="F4F6F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1.86 s</w:t>
            </w:r>
          </w:p>
        </w:tc>
        <w:tc>
          <w:tcPr>
            <w:tcW w:type="dxa" w:w="1419"/>
            <w:shd w:fill="F4F6F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0.00 s</w:t>
            </w:r>
          </w:p>
        </w:tc>
        <w:tc>
          <w:tcPr>
            <w:tcW w:type="dxa" w:w="1419"/>
            <w:shd w:fill="F4F6F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1.61 s</w:t>
            </w:r>
          </w:p>
        </w:tc>
        <w:tc>
          <w:tcPr>
            <w:tcW w:type="dxa" w:w="1419"/>
            <w:shd w:fill="F4F6F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2.29 s</w:t>
            </w:r>
          </w:p>
        </w:tc>
        <w:tc>
          <w:tcPr>
            <w:tcW w:type="dxa" w:w="1419"/>
            <w:shd w:fill="F4F6F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2.57 s</w:t>
            </w:r>
          </w:p>
        </w:tc>
        <w:tc>
          <w:tcPr>
            <w:tcW w:type="dxa" w:w="1419"/>
            <w:shd w:fill="F4F6F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30.94 s</w:t>
            </w:r>
          </w:p>
        </w:tc>
      </w:tr>
      <w:tr>
        <w:tc>
          <w:tcPr>
            <w:tcW w:type="dxa" w:w="1419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http_req_receiving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424.03 µs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0.00 s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320.70 µs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988.40 µs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1.05 ms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39.58 ms</w:t>
            </w:r>
          </w:p>
        </w:tc>
      </w:tr>
      <w:tr>
        <w:tc>
          <w:tcPr>
            <w:tcW w:type="dxa" w:w="1419"/>
            <w:shd w:fill="F4F6F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http_req_sending</w:t>
            </w:r>
          </w:p>
        </w:tc>
        <w:tc>
          <w:tcPr>
            <w:tcW w:type="dxa" w:w="1419"/>
            <w:shd w:fill="F4F6F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43.22 µs</w:t>
            </w:r>
          </w:p>
        </w:tc>
        <w:tc>
          <w:tcPr>
            <w:tcW w:type="dxa" w:w="1419"/>
            <w:shd w:fill="F4F6F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0.00 s</w:t>
            </w:r>
          </w:p>
        </w:tc>
        <w:tc>
          <w:tcPr>
            <w:tcW w:type="dxa" w:w="1419"/>
            <w:shd w:fill="F4F6F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0.00 s</w:t>
            </w:r>
          </w:p>
        </w:tc>
        <w:tc>
          <w:tcPr>
            <w:tcW w:type="dxa" w:w="1419"/>
            <w:shd w:fill="F4F6F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0.00 s</w:t>
            </w:r>
          </w:p>
        </w:tc>
        <w:tc>
          <w:tcPr>
            <w:tcW w:type="dxa" w:w="1419"/>
            <w:shd w:fill="F4F6F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517.00 µs</w:t>
            </w:r>
          </w:p>
        </w:tc>
        <w:tc>
          <w:tcPr>
            <w:tcW w:type="dxa" w:w="1419"/>
            <w:shd w:fill="F4F6F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31.25 ms</w:t>
            </w:r>
          </w:p>
        </w:tc>
      </w:tr>
      <w:tr>
        <w:tc>
          <w:tcPr>
            <w:tcW w:type="dxa" w:w="1419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http_req_blocked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10.97 µs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0.00 s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0.00 s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0.00 s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0.00 s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35.02 ms</w:t>
            </w:r>
          </w:p>
        </w:tc>
      </w:tr>
      <w:tr>
        <w:tc>
          <w:tcPr>
            <w:tcW w:type="dxa" w:w="1419"/>
            <w:shd w:fill="F4F6F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http_req_tls_handshaking</w:t>
            </w:r>
          </w:p>
        </w:tc>
        <w:tc>
          <w:tcPr>
            <w:tcW w:type="dxa" w:w="1419"/>
            <w:shd w:fill="F4F6F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7.36 µs</w:t>
            </w:r>
          </w:p>
        </w:tc>
        <w:tc>
          <w:tcPr>
            <w:tcW w:type="dxa" w:w="1419"/>
            <w:shd w:fill="F4F6F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0.00 s</w:t>
            </w:r>
          </w:p>
        </w:tc>
        <w:tc>
          <w:tcPr>
            <w:tcW w:type="dxa" w:w="1419"/>
            <w:shd w:fill="F4F6F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0.00 s</w:t>
            </w:r>
          </w:p>
        </w:tc>
        <w:tc>
          <w:tcPr>
            <w:tcW w:type="dxa" w:w="1419"/>
            <w:shd w:fill="F4F6F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0.00 s</w:t>
            </w:r>
          </w:p>
        </w:tc>
        <w:tc>
          <w:tcPr>
            <w:tcW w:type="dxa" w:w="1419"/>
            <w:shd w:fill="F4F6F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0.00 s</w:t>
            </w:r>
          </w:p>
        </w:tc>
        <w:tc>
          <w:tcPr>
            <w:tcW w:type="dxa" w:w="1419"/>
            <w:shd w:fill="F4F6F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27.02 ms</w:t>
            </w:r>
          </w:p>
        </w:tc>
      </w:tr>
      <w:tr>
        <w:tc>
          <w:tcPr>
            <w:tcW w:type="dxa" w:w="1419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http_req_connecting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3.30 µs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0.00 s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0.00 s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0.00 s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0.00 s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11.82 ms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0E2B5C"/>
          <w:sz w:val="30"/>
        </w:rPr>
        <w:t>3. Análisis de Errores y Frecuencia de Falla</w:t>
      </w:r>
    </w:p>
    <w:p>
      <w:r>
        <w:t xml:space="preserve">Durante la prueba se registraron </w:t>
      </w:r>
      <w:r>
        <w:rPr>
          <w:b/>
        </w:rPr>
        <w:t>6,759 transacciones fallidas</w:t>
      </w:r>
      <w:r>
        <w:t xml:space="preserve"> frente a </w:t>
      </w:r>
      <w:r>
        <w:rPr>
          <w:b/>
        </w:rPr>
        <w:t>269,891 checks exitosos (97.55%)</w:t>
      </w:r>
      <w:r>
        <w:t>. El desglose por etapas y códigos de estado revela la causa directa del problema:</w:t>
      </w:r>
    </w:p>
    <w:p>
      <w:r>
        <w:drawing>
          <wp:inline xmlns:a="http://schemas.openxmlformats.org/drawingml/2006/main" xmlns:pic="http://schemas.openxmlformats.org/drawingml/2006/picture">
            <wp:extent cx="5943600" cy="24314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error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1: Distribución global de éxito vs. fallas y concentración de errores HTTP 5xx en Stage 1</w:t>
      </w:r>
    </w:p>
    <w:p>
      <w:pPr>
        <w:pStyle w:val="ListBullet"/>
      </w:pPr>
      <w:r>
        <w:rPr>
          <w:b/>
        </w:rPr>
        <w:t xml:space="preserve">Stage 0 (Inicialización y Carga Base): </w:t>
      </w:r>
      <w:r>
        <w:t>Se registró únicamente 1 error HTTP 5xx (0.00026 req/s). El sistema operó con total normalidad.</w:t>
      </w:r>
    </w:p>
    <w:p>
      <w:pPr>
        <w:pStyle w:val="ListBullet"/>
      </w:pPr>
      <w:r>
        <w:rPr>
          <w:b/>
        </w:rPr>
        <w:t xml:space="preserve">Stage 1 (Pico de Estrés a 140 VUs): </w:t>
      </w:r>
      <w:r>
        <w:t xml:space="preserve">Se generaron </w:t>
      </w:r>
      <w:r>
        <w:rPr>
          <w:b/>
        </w:rPr>
        <w:t>5,987 errores HTTP 5xx</w:t>
      </w:r>
      <w:r>
        <w:t xml:space="preserve"> (tasa de 1.58 req/s) y </w:t>
      </w:r>
      <w:r>
        <w:rPr>
          <w:b/>
        </w:rPr>
        <w:t>769 errores HTTP 4xx</w:t>
      </w:r>
      <w:r>
        <w:t xml:space="preserve"> (0.20 req/s). Este segmento concentra el </w:t>
      </w:r>
      <w:r>
        <w:rPr>
          <w:b/>
        </w:rPr>
        <w:t>99.95% del total de incidencias</w:t>
      </w:r>
      <w:r>
        <w:t xml:space="preserve"> de toda la jornada.</w:t>
      </w:r>
    </w:p>
    <w:p>
      <w:pPr>
        <w:pStyle w:val="ListBullet"/>
      </w:pPr>
      <w:r>
        <w:rPr>
          <w:b/>
        </w:rPr>
        <w:t xml:space="preserve">Stage 2 (Descenso y Recuperación): </w:t>
      </w:r>
      <w:r>
        <w:t>Al bajar la carga a ~110-115 VUs, solo se contabilizaron 2 errores 5xx (0.0005 req/s), demostrando una recuperación inmediata una vez aliviada la saturación.</w:t>
      </w:r>
    </w:p>
    <w:p>
      <w:pPr>
        <w:pStyle w:val="Heading1"/>
      </w:pPr>
      <w:r>
        <w:rPr>
          <w:color w:val="0E2B5C"/>
          <w:sz w:val="30"/>
        </w:rPr>
        <w:t>4. Análisis del Diagrama de Monitoreo (VUs vs. Throughput)</w:t>
      </w:r>
    </w:p>
    <w:p>
      <w:r>
        <w:t>El diagrama temporal obtenido del monitoreo de K6 evidencia con total claridad la dinámica entre los usuarios virtuales concurrentes y las peticiones procesadas por segundo:</w:t>
      </w:r>
    </w:p>
    <w:p>
      <w:r>
        <w:drawing>
          <wp:inline xmlns:a="http://schemas.openxmlformats.org/drawingml/2006/main" xmlns:pic="http://schemas.openxmlformats.org/drawingml/2006/picture">
            <wp:extent cx="5943600" cy="26746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vus_vs_through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2: Correlación temporal entre Usuarios Virtuales (VUs) y Throughput (req/s) con punto de quiebre</w:t>
      </w:r>
    </w:p>
    <w:p>
      <w:r>
        <w:rPr>
          <w:b/>
        </w:rPr>
        <w:t xml:space="preserve">1. Fase Lineal y Estable (01:40:00 a 01:52:00): </w:t>
      </w:r>
      <w:r>
        <w:t>Con una carga de ~100 VUs, la aplicación entrega un rendimiento constante de entre 75 y 85 req/s con tiempos de respuesta muy ágiles.</w:t>
      </w:r>
    </w:p>
    <w:p>
      <w:r>
        <w:rPr>
          <w:b/>
        </w:rPr>
        <w:t xml:space="preserve">2. Punto de Inflexión y Colapso (01:52:00 a 02:02:00): </w:t>
      </w:r>
      <w:r>
        <w:t xml:space="preserve">Al incrementar la demanda a 140 VUs, el sistema alcanza su límite de capacidad física. En lugar de procesar más peticiones, se presenta el fenómeno de </w:t>
      </w:r>
      <w:r>
        <w:rPr>
          <w:b/>
        </w:rPr>
        <w:t>Thrashing / Contención por Bloqueos</w:t>
      </w:r>
      <w:r>
        <w:t>. El throughput se derrumba en picada hasta caer a menos de 20 req/s, las peticiones se encolan y expiran (máximo de 29.93s) y el servidor responde con 5,987 errores 5xx.</w:t>
      </w:r>
    </w:p>
    <w:p>
      <w:r>
        <w:rPr>
          <w:b/>
        </w:rPr>
        <w:t xml:space="preserve">3. Capacidad Máxima Sostenible (Knee Capacity): </w:t>
      </w:r>
      <w:r>
        <w:t xml:space="preserve">La capacidad máxima segura identificada para la infraestructura actual se ubica en </w:t>
      </w:r>
      <w:r>
        <w:rPr>
          <w:b/>
        </w:rPr>
        <w:t>105 - 110 VUs sostenidos</w:t>
      </w:r>
      <w:r>
        <w:t>, entregando un throughput máximo de 75 a 80 TPS.</w:t>
      </w:r>
    </w:p>
    <w:p>
      <w:pPr>
        <w:pStyle w:val="Heading1"/>
      </w:pPr>
      <w:r>
        <w:rPr>
          <w:color w:val="0E2B5C"/>
          <w:sz w:val="30"/>
        </w:rPr>
        <w:t>5. Diagnóstico de Causa Raíz (Root Cause Analysis)</w:t>
      </w:r>
    </w:p>
    <w:p>
      <w:r>
        <w:t>A partir de la evidencia métrica, se descarta cualquier problema en la capa de red o SSL (tiempo de conexión y DNS &lt; 1 ms) y se confirma que el cuello de botella es 100% interno de procesamiento:</w:t>
      </w:r>
    </w:p>
    <w:p>
      <w:pPr>
        <w:pStyle w:val="ListBullet"/>
      </w:pPr>
      <w:r>
        <w:rPr>
          <w:b/>
        </w:rPr>
        <w:t xml:space="preserve">Agotamiento del Pool de Conexiones a Base de Datos: </w:t>
      </w:r>
      <w:r>
        <w:t>El 99.9% del tiempo de latencia corresponde a http_req_waiting (TTFB = 861.21ms promedio). Un pool de conexiones JDBC pequeño (ej. 30-50 conexiones) frente a 140 usuarios concurrentes provoca que más de 90 hilos queden bloqueados esperando conexiones libres hasta que se agota el timeout de espera.</w:t>
      </w:r>
    </w:p>
    <w:p>
      <w:pPr>
        <w:pStyle w:val="ListBullet"/>
      </w:pPr>
      <w:r>
        <w:rPr>
          <w:b/>
        </w:rPr>
        <w:t xml:space="preserve">Contención de Hilos en Servidor Web (Thread Starvation): </w:t>
      </w:r>
      <w:r>
        <w:t>Al acumularse peticiones lentas, se saturan los workers del servidor web/aplicación (Tomcat/Node/Nginx), rechazando las solicitudes entrantes con códigos 502/503/504.</w:t>
      </w:r>
    </w:p>
    <w:p>
      <w:pPr>
        <w:pStyle w:val="ListBullet"/>
      </w:pPr>
      <w:r>
        <w:rPr>
          <w:b/>
        </w:rPr>
        <w:t xml:space="preserve">Falta de Escalado Horizontal Automático (HPA): </w:t>
      </w:r>
      <w:r>
        <w:t>La arquitectura permaneció estática durante el pico de 140 VUs, sin activar nuevas réplicas en Kubernetes para absorber el excedente de demanda.</w:t>
      </w:r>
    </w:p>
    <w:p>
      <w:pPr>
        <w:pStyle w:val="Heading1"/>
      </w:pPr>
      <w:r>
        <w:rPr>
          <w:color w:val="0E2B5C"/>
          <w:sz w:val="30"/>
        </w:rPr>
        <w:t>6. Recomendaciones Técnicas y Plan de Acción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E2B5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9"/>
              </w:rPr>
              <w:t>Prioridad</w:t>
            </w:r>
          </w:p>
        </w:tc>
        <w:tc>
          <w:tcPr>
            <w:tcW w:type="dxa" w:w="3312"/>
            <w:shd w:fill="0E2B5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9"/>
              </w:rPr>
              <w:t>Acción Técnica Recomendada</w:t>
            </w:r>
          </w:p>
        </w:tc>
        <w:tc>
          <w:tcPr>
            <w:tcW w:type="dxa" w:w="3312"/>
            <w:shd w:fill="0E2B5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9"/>
              </w:rPr>
              <w:t>Beneficio Esperado</w:t>
            </w:r>
          </w:p>
        </w:tc>
      </w:tr>
      <w:tr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C0392B"/>
                <w:sz w:val="17"/>
              </w:rPr>
              <w:t>Alta (Inmediata)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Optimización de Pool HikariCP: Aumentar pool a 150 conexiones y connectionTimeout a 5000ms.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Elimina la cola de espera por conexiones a BD.</w:t>
            </w:r>
          </w:p>
        </w:tc>
      </w:tr>
      <w:tr>
        <w:tc>
          <w:tcPr>
            <w:tcW w:type="dxa" w:w="3312"/>
            <w:shd w:fill="F9F9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C0392B"/>
                <w:sz w:val="17"/>
              </w:rPr>
              <w:t>Alta (Inmediata)</w:t>
            </w:r>
          </w:p>
        </w:tc>
        <w:tc>
          <w:tcPr>
            <w:tcW w:type="dxa" w:w="3312"/>
            <w:shd w:fill="F9F9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Ajuste de Timeouts en Gateway: Configurar read/idle timeouts a 5s para descartar conexiones zombis.</w:t>
            </w:r>
          </w:p>
        </w:tc>
        <w:tc>
          <w:tcPr>
            <w:tcW w:type="dxa" w:w="3312"/>
            <w:shd w:fill="F9F9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Libera workers rápidamente y evita max durations de 29s.</w:t>
            </w:r>
          </w:p>
        </w:tc>
      </w:tr>
      <w:tr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Media (Mediano Plazo)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Implementación de HPA (Kubernetes): Regla de autoescalado al superar 65% de CPU o 60 TPS.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Permite absorber picos de hasta 250 VUs dinámicamente.</w:t>
            </w:r>
          </w:p>
        </w:tc>
      </w:tr>
      <w:tr>
        <w:tc>
          <w:tcPr>
            <w:tcW w:type="dxa" w:w="3312"/>
            <w:shd w:fill="F9F9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Media (Mediano Plazo)</w:t>
            </w:r>
          </w:p>
        </w:tc>
        <w:tc>
          <w:tcPr>
            <w:tcW w:type="dxa" w:w="3312"/>
            <w:shd w:fill="F9F9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Capa de Caching con Redis: Cachear consultas frecuentes de balance y autenticación.</w:t>
            </w:r>
          </w:p>
        </w:tc>
        <w:tc>
          <w:tcPr>
            <w:tcW w:type="dxa" w:w="3312"/>
            <w:shd w:fill="F9F9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Reduce la carga a la BD en más del 60%.</w:t>
            </w:r>
          </w:p>
        </w:tc>
      </w:tr>
      <w:tr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Baja (Resiliencia)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Patrón Circuit Breaker &amp; Rate Limiting: Proteger el backend con Resilience4j y límites 429.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Garantiza degradación elegante sin caída del servicio.</w:t>
            </w:r>
          </w:p>
        </w:tc>
      </w:tr>
    </w:tbl>
    <w:p>
      <w:pPr>
        <w:spacing w:after="240"/>
      </w:pPr>
    </w:p>
    <w:p>
      <w:pPr>
        <w:jc w:val="right"/>
      </w:pPr>
      <w:r>
        <w:rPr>
          <w:b/>
          <w:color w:val="0E2B5C"/>
          <w:sz w:val="19"/>
        </w:rPr>
        <w:t>Elaborado por: Ronald</w:t>
        <w:br/>
        <w:t>Analista de Automatización / Quality Engineer</w:t>
        <w:br/>
        <w:t>Sofka Technologies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