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2937"/>
          <w:sz w:val="52"/>
          <w:szCs w:val="52"/>
        </w:rPr>
        <w:t xml:space="preserve">MBT SALES OPERATIONS</w:t>
      </w:r>
    </w:p>
    <w:p>
      <w:pPr>
        <w:spacing w:after="0" w:before="120"/>
        <w:jc w:val="center"/>
      </w:pPr>
      <w:r>
        <w:rPr>
          <w:color w:val="2563EB"/>
          <w:sz w:val="32"/>
          <w:szCs w:val="32"/>
        </w:rPr>
        <w:t xml:space="preserve">User Manual</w:t>
      </w:r>
    </w:p>
    <w:p>
      <w:pPr>
        <w:spacing w:after="0" w:before="200"/>
        <w:jc w:val="center"/>
      </w:pPr>
      <w:r>
        <w:rPr>
          <w:i/>
          <w:iCs/>
          <w:color w:val="6B7280"/>
          <w:sz w:val="22"/>
          <w:szCs w:val="22"/>
        </w:rPr>
        <w:t xml:space="preserve">Field Coverage, Accounts, and Reporting for MBT Sales Engineers and the Business Development Team</w:t>
      </w:r>
    </w:p>
    <w:p>
      <w:pPr>
        <w:spacing w:after="0" w:before="600"/>
        <w:jc w:val="center"/>
      </w:pPr>
      <w:r>
        <w:rPr>
          <w:color w:val="6B7280"/>
          <w:sz w:val="18"/>
          <w:szCs w:val="18"/>
        </w:rPr>
        <w:t xml:space="preserve">Updated July 26, 2026 -- covers the FCR acknowledgment/approval/PDF workflow (including the attendee’s optional comment), who can create Accounts vs. FCRs, Sales Engineer assignment, and the Commercial AC Head delete tools</w:t>
      </w:r>
    </w:p>
    <w:p>
      <w:r>
        <w:br w:type="page"/>
      </w:r>
    </w:p>
    <w:p>
      <w:pPr>
        <w:pStyle w:val="Heading1"/>
        <w:spacing w:after="160" w:before="360"/>
      </w:pPr>
      <w:r>
        <w:rPr>
          <w:b/>
          <w:bCs/>
          <w:color w:val="1F2937"/>
        </w:rPr>
        <w:t xml:space="preserve">1. Overview</w:t>
      </w:r>
    </w:p>
    <w:p>
      <w:pPr>
        <w:spacing w:after="160" w:line="300"/>
      </w:pPr>
      <w:r>
        <w:t xml:space="preserve">MBT Sales Operations is the shared web app MBT Sales Engineers (SE), the Business Development (BD) team, the National Sales Manager (NSM), and the Commercial AC Head use to profile accounts, plan monthly coverage, log field visits, and route that work through approval. It runs at ronaldacedillo-coder.github.io/mbt-sales-app and shares its login and account roster with the separate MBT Project Pipeline app -- a "Switch to MBT Project Pipeline" link in the sidebar opens it with the same session.</w:t>
      </w:r>
    </w:p>
    <w:p>
      <w:pPr>
        <w:spacing w:after="160" w:line="300"/>
      </w:pPr>
      <w:r>
        <w:t xml:space="preserve">The app is organized around four kinds of records:</w:t>
      </w:r>
    </w:p>
    <w:p>
      <w:pPr>
        <w:pStyle w:val="ListParagraph"/>
        <w:numPr>
          <w:ilvl w:val="0"/>
          <w:numId w:val="2"/>
        </w:numPr>
        <w:spacing w:after="90"/>
      </w:pPr>
      <w:r>
        <w:t xml:space="preserve">Accounts -- the shared address book of dealer/prospect companies, each profiled once with Trade Terms and coverage details.</w:t>
      </w:r>
    </w:p>
    <w:p>
      <w:pPr>
        <w:pStyle w:val="ListParagraph"/>
        <w:numPr>
          <w:ilvl w:val="0"/>
          <w:numId w:val="2"/>
        </w:numPr>
        <w:spacing w:after="90"/>
      </w:pPr>
      <w:r>
        <w:t xml:space="preserve">MCP (Plan) -- the Monthly Coverage Plan a rep proposes for the month ahead, approved before the visits happen.</w:t>
      </w:r>
    </w:p>
    <w:p>
      <w:pPr>
        <w:pStyle w:val="ListParagraph"/>
        <w:numPr>
          <w:ilvl w:val="0"/>
          <w:numId w:val="2"/>
        </w:numPr>
        <w:spacing w:after="90"/>
      </w:pPr>
      <w:r>
        <w:t xml:space="preserve">Field Contact Reports (FCR) -- what actually happened at each visit, acknowledged by the account, then approved by the rep’s manager.</w:t>
      </w:r>
    </w:p>
    <w:p>
      <w:pPr>
        <w:pStyle w:val="ListParagraph"/>
        <w:numPr>
          <w:ilvl w:val="0"/>
          <w:numId w:val="2"/>
        </w:numPr>
        <w:spacing w:after="90"/>
      </w:pPr>
      <w:r>
        <w:t xml:space="preserve">MCP (Actual) and MCP Archive -- a rollup of the month’s acknowledged FCRs into a coverage report, with every export kept as a permanent archive entry.</w:t>
      </w:r>
    </w:p>
    <w:p>
      <w:pPr>
        <w:pStyle w:val="Heading1"/>
        <w:spacing w:after="160" w:before="360"/>
      </w:pPr>
      <w:r>
        <w:rPr>
          <w:b/>
          <w:bCs/>
          <w:color w:val="1F2937"/>
        </w:rPr>
        <w:t xml:space="preserve">2. Getting Started</w:t>
      </w:r>
    </w:p>
    <w:p>
      <w:pPr>
        <w:pStyle w:val="Heading2"/>
        <w:spacing w:after="120" w:before="260"/>
      </w:pPr>
      <w:r>
        <w:rPr>
          <w:b/>
          <w:bCs/>
          <w:color w:val="1F2937"/>
        </w:rPr>
        <w:t xml:space="preserve">Signing in</w:t>
      </w:r>
    </w:p>
    <w:p>
      <w:pPr>
        <w:spacing w:after="160" w:line="300"/>
      </w:pPr>
      <w:r>
        <w:t xml:space="preserve">Sign in with the email address and password your administrator set up for you -- there is no self-service sign-up. If you’ve forgotten your password, contact your administrator to reset it.</w:t>
      </w:r>
    </w:p>
    <w:p>
      <w:pPr>
        <w:pStyle w:val="Heading2"/>
        <w:spacing w:after="120" w:before="260"/>
      </w:pPr>
      <w:r>
        <w:rPr>
          <w:b/>
          <w:bCs/>
          <w:color w:val="1F2937"/>
        </w:rPr>
        <w:t xml:space="preserve">Navigating the app</w:t>
      </w:r>
    </w:p>
    <w:p>
      <w:pPr>
        <w:spacing w:after="160" w:line="300"/>
      </w:pPr>
      <w:r>
        <w:t xml:space="preserve">The app adapts to the device you’re using:</w:t>
      </w:r>
    </w:p>
    <w:p>
      <w:pPr>
        <w:pStyle w:val="ListParagraph"/>
        <w:numPr>
          <w:ilvl w:val="0"/>
          <w:numId w:val="2"/>
        </w:numPr>
        <w:spacing w:after="90"/>
      </w:pPr>
      <w:r>
        <w:t xml:space="preserve">Desktop and laptop (wide screens) -- the full navigation sidebar stays visible on the left at all times.</w:t>
      </w:r>
    </w:p>
    <w:p>
      <w:pPr>
        <w:pStyle w:val="ListParagraph"/>
        <w:numPr>
          <w:ilvl w:val="0"/>
          <w:numId w:val="2"/>
        </w:numPr>
        <w:spacing w:after="90"/>
      </w:pPr>
      <w:r>
        <w:t xml:space="preserve">Tablet and mobile (narrow screens) -- the sidebar becomes a slide-in menu. Tap the menu icon (☰) in the top-left corner to open it, tap any link to go there (it closes automatically), or tap outside the menu to dismiss it.</w:t>
      </w:r>
    </w:p>
    <w:p>
      <w:pPr>
        <w:spacing w:after="160" w:line="300"/>
      </w:pPr>
      <w:r>
        <w:t xml:space="preserve">Every list, form, and calendar in the app -- Accounts, MCP (Plan), FCR, approvals, and the weekly report -- reflows to fit the screen, so the same workflow works whether you’re at a desk or filling in a report from a customer’s lobby on your phone.</w:t>
      </w:r>
    </w:p>
    <w:p>
      <w:pPr>
        <w:pStyle w:val="Heading1"/>
        <w:spacing w:after="160" w:before="360"/>
      </w:pPr>
      <w:r>
        <w:rPr>
          <w:b/>
          <w:bCs/>
          <w:color w:val="1F2937"/>
        </w:rPr>
        <w:t xml:space="preserve">3. Roles and Approval Chains</w:t>
      </w:r>
    </w:p>
    <w:p>
      <w:pPr>
        <w:spacing w:after="160" w:line="300"/>
      </w:pPr>
      <w:r>
        <w:t xml:space="preserve">Every account has exactly one role, which determines what you can create and, for managers, whose submissions you approve.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900"/>
        <w:gridCol w:w="3300"/>
      </w:tblGrid>
      <w:tr>
        <w:trPr>
          <w:tblHeader/>
        </w:trPr>
        <w:tc>
          <w:tcPr>
            <w:tcW w:type="dxa" w:w="2600"/>
            <w:shd w:fill="1F2937" w:val="clear"/>
            <w:tcMar>
              <w:top w:type="dxa" w:w="100"/>
              <w:left w:type="dxa" w:w="120"/>
              <w:bottom w:type="dxa" w:w="100"/>
              <w:right w:type="dxa" w:w="120"/>
            </w:tcMar>
          </w:tcPr>
          <w:p>
            <w:r>
              <w:rPr>
                <w:b/>
                <w:bCs/>
                <w:color w:val="FFFFFF"/>
              </w:rPr>
              <w:t xml:space="preserve">Role</w:t>
            </w:r>
          </w:p>
        </w:tc>
        <w:tc>
          <w:tcPr>
            <w:tcW w:type="dxa" w:w="2200"/>
            <w:shd w:fill="1F2937" w:val="clear"/>
            <w:tcMar>
              <w:top w:type="dxa" w:w="100"/>
              <w:left w:type="dxa" w:w="120"/>
              <w:bottom w:type="dxa" w:w="100"/>
              <w:right w:type="dxa" w:w="120"/>
            </w:tcMar>
          </w:tcPr>
          <w:p>
            <w:r>
              <w:rPr>
                <w:b/>
                <w:bCs/>
                <w:color w:val="FFFFFF"/>
              </w:rPr>
              <w:t xml:space="preserve">Team</w:t>
            </w:r>
          </w:p>
        </w:tc>
        <w:tc>
          <w:tcPr>
            <w:tcW w:type="dxa" w:w="2900"/>
            <w:shd w:fill="1F2937" w:val="clear"/>
            <w:tcMar>
              <w:top w:type="dxa" w:w="100"/>
              <w:left w:type="dxa" w:w="120"/>
              <w:bottom w:type="dxa" w:w="100"/>
              <w:right w:type="dxa" w:w="120"/>
            </w:tcMar>
          </w:tcPr>
          <w:p>
            <w:r>
              <w:rPr>
                <w:b/>
                <w:bCs/>
                <w:color w:val="FFFFFF"/>
              </w:rPr>
              <w:t xml:space="preserve">Creates</w:t>
            </w:r>
          </w:p>
        </w:tc>
        <w:tc>
          <w:tcPr>
            <w:tcW w:type="dxa" w:w="3300"/>
            <w:shd w:fill="1F2937" w:val="clear"/>
            <w:tcMar>
              <w:top w:type="dxa" w:w="100"/>
              <w:left w:type="dxa" w:w="120"/>
              <w:bottom w:type="dxa" w:w="100"/>
              <w:right w:type="dxa" w:w="120"/>
            </w:tcMar>
          </w:tcPr>
          <w:p>
            <w:r>
              <w:rPr>
                <w:b/>
                <w:bCs/>
                <w:color w:val="FFFFFF"/>
              </w:rPr>
              <w:t xml:space="preserve">Approves</w:t>
            </w:r>
          </w:p>
        </w:tc>
      </w:tr>
      <w:tr>
        <w:tc>
          <w:tcPr>
            <w:tcW w:type="dxa" w:w="2600"/>
            <w:tcMar>
              <w:top w:type="dxa" w:w="100"/>
              <w:left w:type="dxa" w:w="120"/>
              <w:bottom w:type="dxa" w:w="100"/>
              <w:right w:type="dxa" w:w="120"/>
            </w:tcMar>
          </w:tcPr>
          <w:p>
            <w:r>
              <w:rPr>
                <w:b w:val="false"/>
                <w:bCs w:val="false"/>
              </w:rPr>
              <w:t xml:space="preserve">Sales Engineer (SE)</w:t>
            </w:r>
          </w:p>
        </w:tc>
        <w:tc>
          <w:tcPr>
            <w:tcW w:type="dxa" w:w="2200"/>
            <w:tcMar>
              <w:top w:type="dxa" w:w="100"/>
              <w:left w:type="dxa" w:w="120"/>
              <w:bottom w:type="dxa" w:w="100"/>
              <w:right w:type="dxa" w:w="120"/>
            </w:tcMar>
          </w:tcPr>
          <w:p>
            <w:r>
              <w:rPr>
                <w:b w:val="false"/>
                <w:bCs w:val="false"/>
              </w:rPr>
              <w:t xml:space="preserve">MBT Sales</w:t>
            </w:r>
          </w:p>
        </w:tc>
        <w:tc>
          <w:tcPr>
            <w:tcW w:type="dxa" w:w="2900"/>
            <w:tcMar>
              <w:top w:type="dxa" w:w="100"/>
              <w:left w:type="dxa" w:w="120"/>
              <w:bottom w:type="dxa" w:w="100"/>
              <w:right w:type="dxa" w:w="120"/>
            </w:tcMar>
          </w:tcPr>
          <w:p>
            <w:r>
              <w:rPr>
                <w:b w:val="false"/>
                <w:bCs w:val="false"/>
              </w:rPr>
              <w:t xml:space="preserve">MCP (Plan), FCR, Accounts</w:t>
            </w:r>
          </w:p>
        </w:tc>
        <w:tc>
          <w:tcPr>
            <w:tcW w:type="dxa" w:w="3300"/>
            <w:tcMar>
              <w:top w:type="dxa" w:w="100"/>
              <w:left w:type="dxa" w:w="120"/>
              <w:bottom w:type="dxa" w:w="100"/>
              <w:right w:type="dxa" w:w="120"/>
            </w:tcMar>
          </w:tcPr>
          <w:p>
            <w:r>
              <w:rPr>
                <w:b w:val="false"/>
                <w:bCs w:val="false"/>
              </w:rPr>
              <w:t xml:space="preserve">—</w:t>
            </w:r>
          </w:p>
        </w:tc>
      </w:tr>
      <w:tr>
        <w:tc>
          <w:tcPr>
            <w:tcW w:type="dxa" w:w="2600"/>
            <w:shd w:fill="F3F4F6" w:val="clear"/>
            <w:tcMar>
              <w:top w:type="dxa" w:w="100"/>
              <w:left w:type="dxa" w:w="120"/>
              <w:bottom w:type="dxa" w:w="100"/>
              <w:right w:type="dxa" w:w="120"/>
            </w:tcMar>
          </w:tcPr>
          <w:p>
            <w:r>
              <w:rPr>
                <w:b w:val="false"/>
                <w:bCs w:val="false"/>
              </w:rPr>
              <w:t xml:space="preserve">BD Engineer</w:t>
            </w:r>
          </w:p>
        </w:tc>
        <w:tc>
          <w:tcPr>
            <w:tcW w:type="dxa" w:w="2200"/>
            <w:shd w:fill="F3F4F6" w:val="clear"/>
            <w:tcMar>
              <w:top w:type="dxa" w:w="100"/>
              <w:left w:type="dxa" w:w="120"/>
              <w:bottom w:type="dxa" w:w="100"/>
              <w:right w:type="dxa" w:w="120"/>
            </w:tcMar>
          </w:tcPr>
          <w:p>
            <w:r>
              <w:rPr>
                <w:b w:val="false"/>
                <w:bCs w:val="false"/>
              </w:rPr>
              <w:t xml:space="preserve">Business Development</w:t>
            </w:r>
          </w:p>
        </w:tc>
        <w:tc>
          <w:tcPr>
            <w:tcW w:type="dxa" w:w="2900"/>
            <w:shd w:fill="F3F4F6" w:val="clear"/>
            <w:tcMar>
              <w:top w:type="dxa" w:w="100"/>
              <w:left w:type="dxa" w:w="120"/>
              <w:bottom w:type="dxa" w:w="100"/>
              <w:right w:type="dxa" w:w="120"/>
            </w:tcMar>
          </w:tcPr>
          <w:p>
            <w:r>
              <w:rPr>
                <w:b w:val="false"/>
                <w:bCs w:val="false"/>
              </w:rPr>
              <w:t xml:space="preserve">MCP (Plan), FCR, Accounts</w:t>
            </w:r>
          </w:p>
        </w:tc>
        <w:tc>
          <w:tcPr>
            <w:tcW w:type="dxa" w:w="3300"/>
            <w:shd w:fill="F3F4F6" w:val="clear"/>
            <w:tcMar>
              <w:top w:type="dxa" w:w="100"/>
              <w:left w:type="dxa" w:w="120"/>
              <w:bottom w:type="dxa" w:w="100"/>
              <w:right w:type="dxa" w:w="120"/>
            </w:tcMar>
          </w:tcPr>
          <w:p>
            <w:r>
              <w:rPr>
                <w:b w:val="false"/>
                <w:bCs w:val="false"/>
              </w:rPr>
              <w:t xml:space="preserve">—</w:t>
            </w:r>
          </w:p>
        </w:tc>
      </w:tr>
      <w:tr>
        <w:tc>
          <w:tcPr>
            <w:tcW w:type="dxa" w:w="2600"/>
            <w:tcMar>
              <w:top w:type="dxa" w:w="100"/>
              <w:left w:type="dxa" w:w="120"/>
              <w:bottom w:type="dxa" w:w="100"/>
              <w:right w:type="dxa" w:w="120"/>
            </w:tcMar>
          </w:tcPr>
          <w:p>
            <w:r>
              <w:rPr>
                <w:b w:val="false"/>
                <w:bCs w:val="false"/>
              </w:rPr>
              <w:t xml:space="preserve">National Sales Manager (NSM)</w:t>
            </w:r>
          </w:p>
        </w:tc>
        <w:tc>
          <w:tcPr>
            <w:tcW w:type="dxa" w:w="2200"/>
            <w:tcMar>
              <w:top w:type="dxa" w:w="100"/>
              <w:left w:type="dxa" w:w="120"/>
              <w:bottom w:type="dxa" w:w="100"/>
              <w:right w:type="dxa" w:w="120"/>
            </w:tcMar>
          </w:tcPr>
          <w:p>
            <w:r>
              <w:rPr>
                <w:b w:val="false"/>
                <w:bCs w:val="false"/>
              </w:rPr>
              <w:t xml:space="preserve">MBT Sales</w:t>
            </w:r>
          </w:p>
        </w:tc>
        <w:tc>
          <w:tcPr>
            <w:tcW w:type="dxa" w:w="2900"/>
            <w:tcMar>
              <w:top w:type="dxa" w:w="100"/>
              <w:left w:type="dxa" w:w="120"/>
              <w:bottom w:type="dxa" w:w="100"/>
              <w:right w:type="dxa" w:w="120"/>
            </w:tcMar>
          </w:tcPr>
          <w:p>
            <w:r>
              <w:rPr>
                <w:b w:val="false"/>
                <w:bCs w:val="false"/>
              </w:rPr>
              <w:t xml:space="preserve">MCP (Plan), Accounts</w:t>
            </w:r>
          </w:p>
        </w:tc>
        <w:tc>
          <w:tcPr>
            <w:tcW w:type="dxa" w:w="3300"/>
            <w:tcMar>
              <w:top w:type="dxa" w:w="100"/>
              <w:left w:type="dxa" w:w="120"/>
              <w:bottom w:type="dxa" w:w="100"/>
              <w:right w:type="dxa" w:w="120"/>
            </w:tcMar>
          </w:tcPr>
          <w:p>
            <w:r>
              <w:rPr>
                <w:b w:val="false"/>
                <w:bCs w:val="false"/>
              </w:rPr>
              <w:t xml:space="preserve">SE’s MCP (Plan) and FCR submissions</w:t>
            </w:r>
          </w:p>
        </w:tc>
      </w:tr>
      <w:tr>
        <w:tc>
          <w:tcPr>
            <w:tcW w:type="dxa" w:w="2600"/>
            <w:shd w:fill="F3F4F6" w:val="clear"/>
            <w:tcMar>
              <w:top w:type="dxa" w:w="100"/>
              <w:left w:type="dxa" w:w="120"/>
              <w:bottom w:type="dxa" w:w="100"/>
              <w:right w:type="dxa" w:w="120"/>
            </w:tcMar>
          </w:tcPr>
          <w:p>
            <w:r>
              <w:rPr>
                <w:b w:val="false"/>
                <w:bCs w:val="false"/>
              </w:rPr>
              <w:t xml:space="preserve">Commercial AC Head</w:t>
            </w:r>
          </w:p>
        </w:tc>
        <w:tc>
          <w:tcPr>
            <w:tcW w:type="dxa" w:w="2200"/>
            <w:shd w:fill="F3F4F6" w:val="clear"/>
            <w:tcMar>
              <w:top w:type="dxa" w:w="100"/>
              <w:left w:type="dxa" w:w="120"/>
              <w:bottom w:type="dxa" w:w="100"/>
              <w:right w:type="dxa" w:w="120"/>
            </w:tcMar>
          </w:tcPr>
          <w:p>
            <w:r>
              <w:rPr>
                <w:b w:val="false"/>
                <w:bCs w:val="false"/>
              </w:rPr>
              <w:t xml:space="preserve">— (approver only)</w:t>
            </w:r>
          </w:p>
        </w:tc>
        <w:tc>
          <w:tcPr>
            <w:tcW w:type="dxa" w:w="2900"/>
            <w:shd w:fill="F3F4F6" w:val="clear"/>
            <w:tcMar>
              <w:top w:type="dxa" w:w="100"/>
              <w:left w:type="dxa" w:w="120"/>
              <w:bottom w:type="dxa" w:w="100"/>
              <w:right w:type="dxa" w:w="120"/>
            </w:tcMar>
          </w:tcPr>
          <w:p>
            <w:r>
              <w:rPr>
                <w:b w:val="false"/>
                <w:bCs w:val="false"/>
              </w:rPr>
              <w:t xml:space="preserve">Accounts</w:t>
            </w:r>
          </w:p>
        </w:tc>
        <w:tc>
          <w:tcPr>
            <w:tcW w:type="dxa" w:w="3300"/>
            <w:shd w:fill="F3F4F6" w:val="clear"/>
            <w:tcMar>
              <w:top w:type="dxa" w:w="100"/>
              <w:left w:type="dxa" w:w="120"/>
              <w:bottom w:type="dxa" w:w="100"/>
              <w:right w:type="dxa" w:w="120"/>
            </w:tcMar>
          </w:tcPr>
          <w:p>
            <w:r>
              <w:rPr>
                <w:b w:val="false"/>
                <w:bCs w:val="false"/>
              </w:rPr>
              <w:t xml:space="preserve">BD’s and NSM’s MCP (Plan) and FCR submissions</w:t>
            </w:r>
          </w:p>
        </w:tc>
      </w:tr>
    </w:tbl>
    <w:p>
      <w:pPr>
        <w:spacing w:after="0" w:before="200"/>
      </w:pPr>
    </w:p>
    <w:p>
      <w:pPr>
        <w:pBdr>
          <w:left w:val="single" w:color="2563EB" w:sz="18" w:space="8"/>
        </w:pBdr>
        <w:spacing w:after="200" w:before="80"/>
        <w:ind w:left="200"/>
      </w:pPr>
      <w:r>
        <w:rPr>
          <w:i/>
          <w:iCs/>
          <w:color w:val="374151"/>
          <w:sz w:val="20"/>
          <w:szCs w:val="20"/>
        </w:rPr>
        <w:t xml:space="preserve">The NSM plans their own MCP (Plan) and can profile Accounts, but doesn’t file FCRs -- only the reps who actually visit customers (SE and BD) do. The NSM’s own MCP (Plan) goes to the Commercial AC Head for approval, same as BD’s.</w:t>
      </w:r>
    </w:p>
    <w:p>
      <w:pPr>
        <w:pBdr>
          <w:left w:val="single" w:color="2563EB" w:sz="18" w:space="8"/>
        </w:pBdr>
        <w:spacing w:after="200" w:before="80"/>
        <w:ind w:left="200"/>
      </w:pPr>
      <w:r>
        <w:rPr>
          <w:i/>
          <w:iCs/>
          <w:color w:val="374151"/>
          <w:sz w:val="20"/>
          <w:szCs w:val="20"/>
        </w:rPr>
        <w:t xml:space="preserve">The Commercial AC Head can also permanently delete an FCR or MCP (Plan) within the same scope they approve (BD submissions, plus BD/NSM for MCP (Plan)) -- see Section 6.6 and Section 5.</w:t>
      </w:r>
    </w:p>
    <w:p>
      <w:pPr>
        <w:pStyle w:val="Heading1"/>
        <w:spacing w:after="160" w:before="360"/>
      </w:pPr>
      <w:r>
        <w:rPr>
          <w:b/>
          <w:bCs/>
          <w:color w:val="1F2937"/>
        </w:rPr>
        <w:t xml:space="preserve">4. Accounts</w:t>
      </w:r>
    </w:p>
    <w:p>
      <w:pPr>
        <w:spacing w:after="160" w:line="300"/>
      </w:pPr>
      <w:r>
        <w:t xml:space="preserve">Accounts are the shared address book every rep and manager can see. Anyone -- SE, BD, NSM, or Commercial AC Head -- can add or edit an account; there’s no role restriction on Accounts the way there is on FCRs. An account must be fully profiled before it can be selected in MCP (Plan) or an FCR.</w:t>
      </w:r>
    </w:p>
    <w:p>
      <w:pPr>
        <w:pStyle w:val="Heading2"/>
        <w:spacing w:after="120" w:before="260"/>
      </w:pPr>
      <w:r>
        <w:rPr>
          <w:b/>
          <w:bCs/>
          <w:color w:val="1F2937"/>
        </w:rPr>
        <w:t xml:space="preserve">Profiling an account</w:t>
      </w:r>
    </w:p>
    <w:p>
      <w:pPr>
        <w:spacing w:after="160" w:line="300"/>
      </w:pPr>
      <w:r>
        <w:t xml:space="preserve">From Accounts, click New Account (or Add Account) and fill in:</w:t>
      </w:r>
    </w:p>
    <w:p>
      <w:pPr>
        <w:pStyle w:val="ListParagraph"/>
        <w:numPr>
          <w:ilvl w:val="0"/>
          <w:numId w:val="2"/>
        </w:numPr>
        <w:spacing w:after="90"/>
      </w:pPr>
      <w:r>
        <w:t xml:space="preserve">Company Information -- name, industry, size, website, description.</w:t>
      </w:r>
    </w:p>
    <w:p>
      <w:pPr>
        <w:pStyle w:val="ListParagraph"/>
        <w:numPr>
          <w:ilvl w:val="0"/>
          <w:numId w:val="2"/>
        </w:numPr>
        <w:spacing w:after="90"/>
      </w:pPr>
      <w:r>
        <w:t xml:space="preserve">Trade Terms (required) -- either a Direct CMI Trade Terms Agreement, or that the account transacts through an MBT Distributor (Polaris or G-Energy). The account cannot be saved without one of these, and it won’t appear in the MCP (Plan) or FCR account dropdowns until it’s set.</w:t>
      </w:r>
    </w:p>
    <w:p>
      <w:pPr>
        <w:pStyle w:val="ListParagraph"/>
        <w:numPr>
          <w:ilvl w:val="0"/>
          <w:numId w:val="2"/>
        </w:numPr>
        <w:spacing w:after="90"/>
      </w:pPr>
      <w:r>
        <w:t xml:space="preserve">Location and Contact Information.</w:t>
      </w:r>
    </w:p>
    <w:p>
      <w:pPr>
        <w:pStyle w:val="ListParagraph"/>
        <w:numPr>
          <w:ilvl w:val="0"/>
          <w:numId w:val="2"/>
        </w:numPr>
        <w:spacing w:after="90"/>
      </w:pPr>
      <w:r>
        <w:t xml:space="preserve">Coverage &amp; Classification -- Owner/s, Region, Dealer Classification, Channel, ASE/TSE, and Visit Frequency. This is the information FCRs now pull in automatically instead of asking the rep to retype it on every visit.</w:t>
      </w:r>
    </w:p>
    <w:p>
      <w:pPr>
        <w:pStyle w:val="ListParagraph"/>
        <w:numPr>
          <w:ilvl w:val="0"/>
          <w:numId w:val="2"/>
        </w:numPr>
        <w:spacing w:after="90"/>
      </w:pPr>
      <w:r>
        <w:t xml:space="preserve">Business Intelligence and Suggested Talking Points -- optional notes on budget, pain points, and goals, plus a starting-point talking-points suggestion you can edit; it’s a template based on the industry you selected, not a live AI analysis of the account.</w:t>
      </w:r>
    </w:p>
    <w:p>
      <w:pPr>
        <w:pStyle w:val="Heading2"/>
        <w:spacing w:after="120" w:before="260"/>
      </w:pPr>
      <w:r>
        <w:rPr>
          <w:b/>
          <w:bCs/>
          <w:color w:val="1F2937"/>
        </w:rPr>
        <w:t xml:space="preserve">Assigning a Sales Engineer (ASE/TSE)</w:t>
      </w:r>
    </w:p>
    <w:p>
      <w:pPr>
        <w:spacing w:after="160" w:line="300"/>
      </w:pPr>
      <w:r>
        <w:t xml:space="preserve">ASE/TSE is a dropdown, not a free-text field -- it lists only users whose role is Sales Engineer, so an NSM (or anyone else) profiling a new account can hand it off to the right rep without misspelling a name or picking someone from the wrong team. This is the field the NSM uses in practice to assign a newly profiled account to one of their Sales Engineers for field coverage.</w:t>
      </w:r>
    </w:p>
    <w:p>
      <w:pPr>
        <w:pStyle w:val="Heading2"/>
        <w:spacing w:after="120" w:before="260"/>
      </w:pPr>
      <w:r>
        <w:rPr>
          <w:b/>
          <w:bCs/>
          <w:color w:val="1F2937"/>
        </w:rPr>
        <w:t xml:space="preserve">Related Pipeline Projects</w:t>
      </w:r>
    </w:p>
    <w:p>
      <w:pPr>
        <w:spacing w:after="160" w:line="300"/>
      </w:pPr>
      <w:r>
        <w:t xml:space="preserve">An account’s detail page can be linked to project inquiries from MBT Project Pipeline (search by dealer, end-user, consultant, GC, or distributor name). Linked projects show their status, target delivery, and pricing, and can be imported straight into an FCR’s Project Opportunities table during a visit instead of retyped -- see Section 6.2.</w:t>
      </w:r>
    </w:p>
    <w:p>
      <w:pPr>
        <w:pStyle w:val="Heading1"/>
        <w:spacing w:after="160" w:before="360"/>
      </w:pPr>
      <w:r>
        <w:rPr>
          <w:b/>
          <w:bCs/>
          <w:color w:val="1F2937"/>
        </w:rPr>
        <w:t xml:space="preserve">5. MCP (Plan) -- Monthly Coverage Plan</w:t>
      </w:r>
    </w:p>
    <w:p>
      <w:pPr>
        <w:spacing w:after="160" w:line="300"/>
      </w:pPr>
      <w:r>
        <w:t xml:space="preserve">MCP (Plan) is where a rep proposes which accounts they’ll visit over the coming month before the month starts, laid out on a calendar with an AM/PM slot per visit.</w:t>
      </w:r>
    </w:p>
    <w:p>
      <w:pPr>
        <w:pStyle w:val="ListParagraph"/>
        <w:numPr>
          <w:ilvl w:val="0"/>
          <w:numId w:val="3"/>
        </w:numPr>
        <w:spacing w:after="100"/>
      </w:pPr>
      <w:r>
        <w:rPr>
          <w:b/>
          <w:bCs/>
        </w:rPr>
        <w:t xml:space="preserve">Create the plan -- </w:t>
      </w:r>
      <w:r>
        <w:t xml:space="preserve">from MCP (Plan), click New MCP (Plan), pick the month, and add visits to profiled accounts on the calendar.</w:t>
      </w:r>
    </w:p>
    <w:p>
      <w:pPr>
        <w:pStyle w:val="ListParagraph"/>
        <w:numPr>
          <w:ilvl w:val="0"/>
          <w:numId w:val="3"/>
        </w:numPr>
        <w:spacing w:after="100"/>
      </w:pPr>
      <w:r>
        <w:rPr>
          <w:b/>
          <w:bCs/>
        </w:rPr>
        <w:t xml:space="preserve">Submit for approval -- </w:t>
      </w:r>
      <w:r>
        <w:t xml:space="preserve">once the schedule looks right, submit it. An SE’s or BD’s plan goes to their NSM or Commercial AC Head; an NSM’s own plan goes to the Commercial AC Head.</w:t>
      </w:r>
    </w:p>
    <w:p>
      <w:pPr>
        <w:pStyle w:val="ListParagraph"/>
        <w:numPr>
          <w:ilvl w:val="0"/>
          <w:numId w:val="3"/>
        </w:numPr>
        <w:spacing w:after="100"/>
      </w:pPr>
      <w:r>
        <w:rPr>
          <w:b/>
          <w:bCs/>
        </w:rPr>
        <w:t xml:space="preserve">Approval -- </w:t>
      </w:r>
      <w:r>
        <w:t xml:space="preserve">the approver reviews it from MCP (Plan) Approvals and approves or rejects it (rejections require a reason, and the rep can revise and resubmit).</w:t>
      </w:r>
    </w:p>
    <w:p>
      <w:pPr>
        <w:pStyle w:val="ListParagraph"/>
        <w:numPr>
          <w:ilvl w:val="0"/>
          <w:numId w:val="3"/>
        </w:numPr>
        <w:spacing w:after="100"/>
      </w:pPr>
      <w:r>
        <w:rPr>
          <w:b/>
          <w:bCs/>
        </w:rPr>
        <w:t xml:space="preserve">Once approved -- </w:t>
      </w:r>
      <w:r>
        <w:t xml:space="preserve">the plan appears on the rep’s Dashboard as "This Month’s MCP (Plan)" for quick reference through the month.</w:t>
      </w:r>
    </w:p>
    <w:p>
      <w:pPr>
        <w:spacing w:after="160" w:line="300"/>
      </w:pPr>
      <w:r>
        <w:t xml:space="preserve">The Commercial AC Head sees a trash-can icon on each BD or NSM entry in the MCP (Plan) list and can permanently delete it -- useful for clearing out duplicate, test, or otherwise unwanted plans. This does not appear for other roles, and it does not cover SE-submitted plans.</w:t>
      </w:r>
    </w:p>
    <w:p>
      <w:pPr>
        <w:pStyle w:val="Heading1"/>
        <w:spacing w:after="160" w:before="360"/>
      </w:pPr>
      <w:r>
        <w:rPr>
          <w:b/>
          <w:bCs/>
          <w:color w:val="1F2937"/>
        </w:rPr>
        <w:t xml:space="preserve">6. Field Contact Reports (FCR)</w:t>
      </w:r>
    </w:p>
    <w:p>
      <w:pPr>
        <w:spacing w:after="160" w:line="300"/>
      </w:pPr>
      <w:r>
        <w:t xml:space="preserve">An FCR records what actually happened during a visit: coverage notes, project opportunities discussed, and action items. This is the module with the most moving parts, because a completed FCR now has to pass through two independent checkpoints before it can be downloaded -- account acknowledgment, and manager approval.</w:t>
      </w:r>
    </w:p>
    <w:p>
      <w:pPr>
        <w:pStyle w:val="Heading2"/>
        <w:spacing w:after="120" w:before="260"/>
      </w:pPr>
      <w:r>
        <w:rPr>
          <w:b/>
          <w:bCs/>
          <w:color w:val="1F2937"/>
        </w:rPr>
        <w:t xml:space="preserve">6.1 Creating an FCR</w:t>
      </w:r>
    </w:p>
    <w:p>
      <w:pPr>
        <w:spacing w:after="160" w:line="300"/>
      </w:pPr>
      <w:r>
        <w:t xml:space="preserve">New FCR is available to Sales Engineers, BD Engineers, and the Commercial AC Head -- not the NSM. The NSM’s role here is reviewing and approving the SE team’s FCRs, not filing their own, since they don’t make field visits themselves.</w:t>
      </w:r>
    </w:p>
    <w:p>
      <w:pPr>
        <w:spacing w:after="160" w:line="300"/>
      </w:pPr>
      <w:r>
        <w:t xml:space="preserve">From Field Contact Reports, click New FCR, pick the account (only profiled accounts are selectable), and fill in the visit date, AM/PM, coverage notes, and the meeting attendee’s name and email. The Customer Information block is filled in automatically from the account’s profile and cannot be edited here -- correct it on the Account record instead.</w:t>
      </w:r>
    </w:p>
    <w:p>
      <w:pPr>
        <w:spacing w:after="160" w:line="300"/>
      </w:pPr>
      <w:r>
        <w:t xml:space="preserve">You can Save Draft at any point to come back to later.</w:t>
      </w:r>
    </w:p>
    <w:p>
      <w:pPr>
        <w:pStyle w:val="Heading2"/>
        <w:spacing w:after="120" w:before="260"/>
      </w:pPr>
      <w:r>
        <w:rPr>
          <w:b/>
          <w:bCs/>
          <w:color w:val="1F2937"/>
        </w:rPr>
        <w:t xml:space="preserve">6.2 Project Opportunities and Pipeline imports</w:t>
      </w:r>
    </w:p>
    <w:p>
      <w:pPr>
        <w:spacing w:after="160" w:line="300"/>
      </w:pPr>
      <w:r>
        <w:t xml:space="preserve">If the account has linked MBT Project Pipeline projects, they appear in the Related Pipeline Projects panel with an import button. Importing a project drops its name, address, value, and rep straight into the Project Opportunities table:</w:t>
      </w:r>
    </w:p>
    <w:p>
      <w:pPr>
        <w:pStyle w:val="ListParagraph"/>
        <w:numPr>
          <w:ilvl w:val="0"/>
          <w:numId w:val="2"/>
        </w:numPr>
        <w:spacing w:after="90"/>
      </w:pPr>
      <w:r>
        <w:t xml:space="preserve">Projects still at Bidding status import into the Qualified / Identified section.</w:t>
      </w:r>
    </w:p>
    <w:p>
      <w:pPr>
        <w:pStyle w:val="ListParagraph"/>
        <w:numPr>
          <w:ilvl w:val="0"/>
          <w:numId w:val="2"/>
        </w:numPr>
        <w:spacing w:after="90"/>
      </w:pPr>
      <w:r>
        <w:t xml:space="preserve">Projects at any other status (for example, in negotiation) import into the main Project Opportunities section, which appears on the printed FCR as Under Negotiation.</w:t>
      </w:r>
    </w:p>
    <w:p>
      <w:pPr>
        <w:pStyle w:val="Heading2"/>
        <w:spacing w:after="120" w:before="260"/>
      </w:pPr>
      <w:r>
        <w:rPr>
          <w:b/>
          <w:bCs/>
          <w:color w:val="1F2937"/>
        </w:rPr>
        <w:t xml:space="preserve">6.3 Requesting acknowledgment from the account</w:t>
      </w:r>
    </w:p>
    <w:p>
      <w:pPr>
        <w:spacing w:after="160" w:line="300"/>
      </w:pPr>
      <w:r>
        <w:t xml:space="preserve">Before an FCR can move forward, the account side needs to confirm the visit happened. In the Account Acknowledgment card, click Send Acknowledgment Request (this requires the attendee’s email to be filled in). This emails the attendee a summary of the meeting minutes and a one-click Confirm Meeting Happened button.</w:t>
      </w:r>
    </w:p>
    <w:p>
      <w:pPr>
        <w:pBdr>
          <w:left w:val="single" w:color="2563EB" w:sz="18" w:space="8"/>
        </w:pBdr>
        <w:spacing w:after="200" w:before="80"/>
        <w:ind w:left="200"/>
      </w:pPr>
      <w:r>
        <w:rPr>
          <w:i/>
          <w:iCs/>
          <w:color w:val="374151"/>
          <w:sz w:val="20"/>
          <w:szCs w:val="20"/>
        </w:rPr>
        <w:t xml:space="preserve">The email’s footer also tells the attendee who to contact if something looks off: Jamaica Linsangan for MBT Sales Engineer visits, or Ronald Acedillo for BD Team visits -- so any concerns about the rep or the report reach the right supervisor directly, without going through the rep first.</w:t>
      </w:r>
    </w:p>
    <w:p>
      <w:pPr>
        <w:pStyle w:val="Heading2"/>
        <w:spacing w:after="120" w:before="260"/>
      </w:pPr>
      <w:r>
        <w:rPr>
          <w:b/>
          <w:bCs/>
          <w:color w:val="1F2937"/>
        </w:rPr>
        <w:t xml:space="preserve">6.4 What happens when the account confirms</w:t>
      </w:r>
    </w:p>
    <w:p>
      <w:pPr>
        <w:spacing w:after="160" w:line="300"/>
      </w:pPr>
      <w:r>
        <w:t xml:space="preserve">The attendee doesn’t need an account or login -- they open the link, review the minutes, and click Confirm Meeting Happened. The moment they do:</w:t>
      </w:r>
    </w:p>
    <w:p>
      <w:pPr>
        <w:pStyle w:val="ListParagraph"/>
        <w:numPr>
          <w:ilvl w:val="0"/>
          <w:numId w:val="2"/>
        </w:numPr>
        <w:spacing w:after="90"/>
      </w:pPr>
      <w:r>
        <w:t xml:space="preserve">The FCR’s acknowledgment status flips to Acknowledged, with the attendee’s name and the date recorded.</w:t>
      </w:r>
    </w:p>
    <w:p>
      <w:pPr>
        <w:pStyle w:val="ListParagraph"/>
        <w:numPr>
          <w:ilvl w:val="0"/>
          <w:numId w:val="2"/>
        </w:numPr>
        <w:spacing w:after="90"/>
      </w:pPr>
      <w:r>
        <w:t xml:space="preserve">If the FCR was still a draft, it is automatically submitted for approval at the same time -- no separate "Submit for Approval" click is needed.</w:t>
      </w:r>
    </w:p>
    <w:p>
      <w:pPr>
        <w:spacing w:after="160" w:line="300"/>
      </w:pPr>
      <w:r>
        <w:t xml:space="preserve">The confirmation screen also includes an optional comment box -- the attendee can add a note (for example, a correction or something to follow up on) before confirming, or simply leave it blank and click Confirm. There is nothing to fill in on the SE/BD side for this; it only appears on the attendee’s screen.</w:t>
      </w:r>
    </w:p>
    <w:p>
      <w:pPr>
        <w:spacing w:after="160" w:line="300"/>
      </w:pPr>
      <w:r>
        <w:t xml:space="preserve">Back in the app, click Refresh Status on the Account Acknowledgment card to pull in the latest state if you’re waiting on a response. If the attendee left a comment, it appears there too, underneath the Acknowledged badge.</w:t>
      </w:r>
    </w:p>
    <w:p>
      <w:pPr>
        <w:pStyle w:val="Heading2"/>
        <w:spacing w:after="120" w:before="260"/>
      </w:pPr>
      <w:r>
        <w:rPr>
          <w:b/>
          <w:bCs/>
          <w:color w:val="1F2937"/>
        </w:rPr>
        <w:t xml:space="preserve">6.5 Manual submission (the safety-net path)</w:t>
      </w:r>
    </w:p>
    <w:p>
      <w:pPr>
        <w:spacing w:after="160" w:line="300"/>
      </w:pPr>
      <w:r>
        <w:t xml:space="preserve">The Submit for Approval button on the FCR form is only enabled once the account has acknowledged the visit -- this is what enforces the rule that only acknowledged FCRs reach the approval queue. In practice, acknowledgment already submits the FCR automatically (Section 6.4), so this button mainly exists to resubmit a previously rejected FCR after making revisions.</w:t>
      </w:r>
    </w:p>
    <w:p>
      <w:pPr>
        <w:pStyle w:val="Heading2"/>
        <w:spacing w:after="120" w:before="260"/>
      </w:pPr>
      <w:r>
        <w:rPr>
          <w:b/>
          <w:bCs/>
          <w:color w:val="1F2937"/>
        </w:rPr>
        <w:t xml:space="preserve">6.6 Manager approval</w:t>
      </w:r>
    </w:p>
    <w:p>
      <w:pPr>
        <w:spacing w:after="160" w:line="300"/>
      </w:pPr>
      <w:r>
        <w:t xml:space="preserve">The NSM (for SE submissions) or Commercial AC Head (for BD submissions) reviews pending FCRs from FCR Approvals and approves or rejects each one. A rejection requires a reason, which the rep sees on the FCR and can act on before resubmitting.</w:t>
      </w:r>
    </w:p>
    <w:p>
      <w:pPr>
        <w:spacing w:after="160" w:line="300"/>
      </w:pPr>
      <w:r>
        <w:t xml:space="preserve">The Commercial AC Head also sees a trash-can icon on each BD FCR in the Field Contact Reports list and can permanently delete it -- for example, to remove a test, duplicate, or otherwise unwanted entry. This does not appear for other roles, and it does not cover SE-submitted FCRs (those are the NSM’s to manage).</w:t>
      </w:r>
    </w:p>
    <w:p>
      <w:pPr>
        <w:pStyle w:val="Heading2"/>
        <w:spacing w:after="120" w:before="260"/>
      </w:pPr>
      <w:r>
        <w:rPr>
          <w:b/>
          <w:bCs/>
          <w:color w:val="1F2937"/>
        </w:rPr>
        <w:t xml:space="preserve">6.7 Downloading the FCR as a PDF</w:t>
      </w:r>
    </w:p>
    <w:p>
      <w:pPr>
        <w:spacing w:after="160" w:line="300"/>
      </w:pPr>
      <w:r>
        <w:t xml:space="preserve">The Export PDF button on an FCR only becomes active once that FCR has been fully approved by the NSM or Commercial AC Head -- acknowledgment alone is not enough. Until then, the button is greyed out with a tooltip explaining that it unlocks once approved. This applies to the SE or BD Team member downloading their own report.</w:t>
      </w:r>
    </w:p>
    <w:p>
      <w:pPr>
        <w:pStyle w:val="Heading2"/>
        <w:spacing w:after="120" w:before="260"/>
      </w:pPr>
      <w:r>
        <w:rPr>
          <w:b/>
          <w:bCs/>
          <w:color w:val="1F2937"/>
        </w:rPr>
        <w:t xml:space="preserve">6.8 Reading FCR status at a glance</w:t>
      </w:r>
    </w:p>
    <w:p>
      <w:pPr>
        <w:spacing w:after="160" w:line="300"/>
      </w:pPr>
      <w:r>
        <w:t xml:space="preserve">The Field Contact Reports list shows two independent badges per report, since approval status and acknowledgment status move on separate tracks: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1F2937" w:val="clear"/>
            <w:tcMar>
              <w:top w:type="dxa" w:w="100"/>
              <w:left w:type="dxa" w:w="120"/>
              <w:bottom w:type="dxa" w:w="100"/>
              <w:right w:type="dxa" w:w="120"/>
            </w:tcMar>
          </w:tcPr>
          <w:p>
            <w:r>
              <w:rPr>
                <w:b/>
                <w:bCs/>
                <w:color w:val="FFFFFF"/>
              </w:rPr>
              <w:t xml:space="preserve">Badge</w:t>
            </w:r>
          </w:p>
        </w:tc>
        <w:tc>
          <w:tcPr>
            <w:tcW w:type="dxa" w:w="5800"/>
            <w:shd w:fill="1F2937" w:val="clear"/>
            <w:tcMar>
              <w:top w:type="dxa" w:w="100"/>
              <w:left w:type="dxa" w:w="120"/>
              <w:bottom w:type="dxa" w:w="100"/>
              <w:right w:type="dxa" w:w="120"/>
            </w:tcMar>
          </w:tcPr>
          <w:p>
            <w:r>
              <w:rPr>
                <w:b/>
                <w:bCs/>
                <w:color w:val="FFFFFF"/>
              </w:rPr>
              <w:t xml:space="preserve">Meaning</w:t>
            </w:r>
          </w:p>
        </w:tc>
      </w:tr>
      <w:tr>
        <w:tc>
          <w:tcPr>
            <w:tcW w:type="dxa" w:w="4200"/>
            <w:tcMar>
              <w:top w:type="dxa" w:w="100"/>
              <w:left w:type="dxa" w:w="120"/>
              <w:bottom w:type="dxa" w:w="100"/>
              <w:right w:type="dxa" w:w="120"/>
            </w:tcMar>
          </w:tcPr>
          <w:p>
            <w:r>
              <w:rPr>
                <w:b w:val="false"/>
                <w:bCs w:val="false"/>
              </w:rPr>
              <w:t xml:space="preserve">Draft / Pending Approval / Approved / Rejected</w:t>
            </w:r>
          </w:p>
        </w:tc>
        <w:tc>
          <w:tcPr>
            <w:tcW w:type="dxa" w:w="5800"/>
            <w:tcMar>
              <w:top w:type="dxa" w:w="100"/>
              <w:left w:type="dxa" w:w="120"/>
              <w:bottom w:type="dxa" w:w="100"/>
              <w:right w:type="dxa" w:w="120"/>
            </w:tcMar>
          </w:tcPr>
          <w:p>
            <w:r>
              <w:rPr>
                <w:b w:val="false"/>
                <w:bCs w:val="false"/>
              </w:rPr>
              <w:t xml:space="preserve">Where the FCR stands with the NSM or Commercial AC Head.</w:t>
            </w:r>
          </w:p>
        </w:tc>
      </w:tr>
      <w:tr>
        <w:tc>
          <w:tcPr>
            <w:tcW w:type="dxa" w:w="4200"/>
            <w:shd w:fill="F3F4F6" w:val="clear"/>
            <w:tcMar>
              <w:top w:type="dxa" w:w="100"/>
              <w:left w:type="dxa" w:w="120"/>
              <w:bottom w:type="dxa" w:w="100"/>
              <w:right w:type="dxa" w:w="120"/>
            </w:tcMar>
          </w:tcPr>
          <w:p>
            <w:r>
              <w:rPr>
                <w:b w:val="false"/>
                <w:bCs w:val="false"/>
              </w:rPr>
              <w:t xml:space="preserve">Not Yet Acknowledged</w:t>
            </w:r>
          </w:p>
        </w:tc>
        <w:tc>
          <w:tcPr>
            <w:tcW w:type="dxa" w:w="5800"/>
            <w:shd w:fill="F3F4F6" w:val="clear"/>
            <w:tcMar>
              <w:top w:type="dxa" w:w="100"/>
              <w:left w:type="dxa" w:w="120"/>
              <w:bottom w:type="dxa" w:w="100"/>
              <w:right w:type="dxa" w:w="120"/>
            </w:tcMar>
          </w:tcPr>
          <w:p>
            <w:r>
              <w:rPr>
                <w:b w:val="false"/>
                <w:bCs w:val="false"/>
              </w:rPr>
              <w:t xml:space="preserve">No acknowledgment request has been sent to the account yet.</w:t>
            </w:r>
          </w:p>
        </w:tc>
      </w:tr>
      <w:tr>
        <w:tc>
          <w:tcPr>
            <w:tcW w:type="dxa" w:w="4200"/>
            <w:tcMar>
              <w:top w:type="dxa" w:w="100"/>
              <w:left w:type="dxa" w:w="120"/>
              <w:bottom w:type="dxa" w:w="100"/>
              <w:right w:type="dxa" w:w="120"/>
            </w:tcMar>
          </w:tcPr>
          <w:p>
            <w:r>
              <w:rPr>
                <w:b w:val="false"/>
                <w:bCs w:val="false"/>
              </w:rPr>
              <w:t xml:space="preserve">Awaiting Acknowledgment</w:t>
            </w:r>
          </w:p>
        </w:tc>
        <w:tc>
          <w:tcPr>
            <w:tcW w:type="dxa" w:w="5800"/>
            <w:tcMar>
              <w:top w:type="dxa" w:w="100"/>
              <w:left w:type="dxa" w:w="120"/>
              <w:bottom w:type="dxa" w:w="100"/>
              <w:right w:type="dxa" w:w="120"/>
            </w:tcMar>
          </w:tcPr>
          <w:p>
            <w:r>
              <w:rPr>
                <w:b w:val="false"/>
                <w:bCs w:val="false"/>
              </w:rPr>
              <w:t xml:space="preserve">The request was sent; the account hasn’t confirmed yet.</w:t>
            </w:r>
          </w:p>
        </w:tc>
      </w:tr>
      <w:tr>
        <w:tc>
          <w:tcPr>
            <w:tcW w:type="dxa" w:w="4200"/>
            <w:shd w:fill="F3F4F6" w:val="clear"/>
            <w:tcMar>
              <w:top w:type="dxa" w:w="100"/>
              <w:left w:type="dxa" w:w="120"/>
              <w:bottom w:type="dxa" w:w="100"/>
              <w:right w:type="dxa" w:w="120"/>
            </w:tcMar>
          </w:tcPr>
          <w:p>
            <w:r>
              <w:rPr>
                <w:b w:val="false"/>
                <w:bCs w:val="false"/>
              </w:rPr>
              <w:t xml:space="preserve">Minutes Acknowledged</w:t>
            </w:r>
          </w:p>
        </w:tc>
        <w:tc>
          <w:tcPr>
            <w:tcW w:type="dxa" w:w="5800"/>
            <w:shd w:fill="F3F4F6" w:val="clear"/>
            <w:tcMar>
              <w:top w:type="dxa" w:w="100"/>
              <w:left w:type="dxa" w:w="120"/>
              <w:bottom w:type="dxa" w:w="100"/>
              <w:right w:type="dxa" w:w="120"/>
            </w:tcMar>
          </w:tcPr>
          <w:p>
            <w:r>
              <w:rPr>
                <w:b w:val="false"/>
                <w:bCs w:val="false"/>
              </w:rPr>
              <w:t xml:space="preserve">The account confirmed the visit happened.</w:t>
            </w:r>
          </w:p>
        </w:tc>
      </w:tr>
    </w:tbl>
    <w:p>
      <w:pPr>
        <w:spacing w:after="0" w:before="200"/>
      </w:pPr>
    </w:p>
    <w:p>
      <w:pPr>
        <w:spacing w:after="160" w:line="300"/>
      </w:pPr>
      <w:r>
        <w:t xml:space="preserve">A short reminder sits at the top of the list: only acknowledged FCRs are sent to the NSM or Commercial AC Head for approval, and only approved FCRs can be downloaded as a PDF.</w:t>
      </w:r>
    </w:p>
    <w:p>
      <w:pPr>
        <w:pStyle w:val="Heading1"/>
        <w:spacing w:after="160" w:before="360"/>
      </w:pPr>
      <w:r>
        <w:rPr>
          <w:b/>
          <w:bCs/>
          <w:color w:val="1F2937"/>
        </w:rPr>
        <w:t xml:space="preserve">7. MCP (Actual) and MCP Archive</w:t>
      </w:r>
    </w:p>
    <w:p>
      <w:pPr>
        <w:spacing w:after="160" w:line="300"/>
      </w:pPr>
      <w:r>
        <w:t xml:space="preserve">MCP (Actual) shows what really happened in a given month, built live from that month’s acknowledged FCRs -- there’s no separate data entry step. Pick a month and the visit calendar fills in automatically from acknowledged reports.</w:t>
      </w:r>
    </w:p>
    <w:p>
      <w:pPr>
        <w:spacing w:after="160" w:line="300"/>
      </w:pPr>
      <w:r>
        <w:t xml:space="preserve">Click Generate &amp; Export PDF to both download a PDF of the month and save a permanent snapshot to MCP Archive in the same action, so every export leaves a record you can revisit later without regenerating it. MCP Archive lists every past snapshot you’ve generated.</w:t>
      </w:r>
    </w:p>
    <w:p>
      <w:pPr>
        <w:pStyle w:val="Heading1"/>
        <w:spacing w:after="160" w:before="360"/>
      </w:pPr>
      <w:r>
        <w:rPr>
          <w:b/>
          <w:bCs/>
          <w:color w:val="1F2937"/>
        </w:rPr>
        <w:t xml:space="preserve">8. Weekly Report Download (NSM and Commercial AC Head)</w:t>
      </w:r>
    </w:p>
    <w:p>
      <w:pPr>
        <w:spacing w:after="160" w:line="300"/>
      </w:pPr>
      <w:r>
        <w:t xml:space="preserve">Every Friday afternoon, the NSM and Commercial AC Head each receive a digest email summarizing their team’s week, with a link into Weekly Report Download. This page bundles every acknowledged FCR and every MCP (Actual) archived that month, for the manager’s own team, into a single .zip of PDFs -- one click covers the whole week. FCRs that were filed but not yet acknowledged by the account are listed separately, since they can’t be included in the bundle yet.</w:t>
      </w:r>
    </w:p>
    <w:p>
      <w:pPr>
        <w:pStyle w:val="Heading1"/>
        <w:spacing w:after="160" w:before="360"/>
      </w:pPr>
      <w:r>
        <w:rPr>
          <w:b/>
          <w:bCs/>
          <w:color w:val="1F2937"/>
        </w:rPr>
        <w:t xml:space="preserve">9. Dashboard</w:t>
      </w:r>
    </w:p>
    <w:p>
      <w:pPr>
        <w:spacing w:after="160" w:line="300"/>
      </w:pPr>
      <w:r>
        <w:t xml:space="preserve">The Dashboard is the home screen after signing in, and it adapts to role:</w:t>
      </w:r>
    </w:p>
    <w:p>
      <w:pPr>
        <w:pStyle w:val="ListParagraph"/>
        <w:numPr>
          <w:ilvl w:val="0"/>
          <w:numId w:val="2"/>
        </w:numPr>
        <w:spacing w:after="90"/>
      </w:pPr>
      <w:r>
        <w:t xml:space="preserve">Reps (SE/BD) see their own MCP (Plan) and FCR counts, this month’s approved plan on a calendar, and upcoming or overdue follow-ups pulled from approved FCRs.</w:t>
      </w:r>
    </w:p>
    <w:p>
      <w:pPr>
        <w:pStyle w:val="ListParagraph"/>
        <w:numPr>
          <w:ilvl w:val="0"/>
          <w:numId w:val="2"/>
        </w:numPr>
        <w:spacing w:after="90"/>
      </w:pPr>
      <w:r>
        <w:t xml:space="preserve">NSM and Commercial AC Head additionally see pending-approval counts across their team and a Team Overview panel (FCRs approved, rejected, and overdue follow-ups).</w:t>
      </w:r>
    </w:p>
    <w:p>
      <w:pPr>
        <w:spacing w:after="160" w:line="300"/>
      </w:pPr>
      <w:r>
        <w:t xml:space="preserve">Quick Actions at the bottom link straight to adding an account, starting a new MCP (Plan), logging a new FCR, or opening MCP (Actual).</w:t>
      </w:r>
    </w:p>
    <w:p>
      <w:pPr>
        <w:pStyle w:val="Heading1"/>
        <w:spacing w:after="160" w:before="360"/>
      </w:pPr>
      <w:r>
        <w:rPr>
          <w:b/>
          <w:bCs/>
          <w:color w:val="1F2937"/>
        </w:rPr>
        <w:t xml:space="preserve">10. Quick Reference</w:t>
      </w:r>
    </w:p>
    <w:p>
      <w:pPr>
        <w:pStyle w:val="Heading2"/>
        <w:spacing w:after="120" w:before="260"/>
      </w:pPr>
      <w:r>
        <w:rPr>
          <w:b/>
          <w:bCs/>
          <w:color w:val="1F2937"/>
        </w:rPr>
        <w:t xml:space="preserve">FCR lifecycle, start to finish</w:t>
      </w:r>
    </w:p>
    <w:p>
      <w:pPr>
        <w:pStyle w:val="ListParagraph"/>
        <w:numPr>
          <w:ilvl w:val="0"/>
          <w:numId w:val="4"/>
        </w:numPr>
        <w:spacing w:after="100"/>
      </w:pPr>
      <w:r>
        <w:t xml:space="preserve">SE/BD creates the FCR and saves it as a draft.</w:t>
      </w:r>
    </w:p>
    <w:p>
      <w:pPr>
        <w:pStyle w:val="ListParagraph"/>
        <w:numPr>
          <w:ilvl w:val="0"/>
          <w:numId w:val="4"/>
        </w:numPr>
        <w:spacing w:after="100"/>
      </w:pPr>
      <w:r>
        <w:t xml:space="preserve">SE/BD sends the acknowledgment request to the meeting attendee.</w:t>
      </w:r>
    </w:p>
    <w:p>
      <w:pPr>
        <w:pStyle w:val="ListParagraph"/>
        <w:numPr>
          <w:ilvl w:val="0"/>
          <w:numId w:val="4"/>
        </w:numPr>
        <w:spacing w:after="100"/>
      </w:pPr>
      <w:r>
        <w:t xml:space="preserve">Attendee confirms via the emailed link -- acknowledgment status becomes Acknowledged, and the FCR is auto-submitted for approval.</w:t>
      </w:r>
    </w:p>
    <w:p>
      <w:pPr>
        <w:pStyle w:val="ListParagraph"/>
        <w:numPr>
          <w:ilvl w:val="0"/>
          <w:numId w:val="4"/>
        </w:numPr>
        <w:spacing w:after="100"/>
      </w:pPr>
      <w:r>
        <w:t xml:space="preserve">NSM or Commercial AC Head approves or rejects it.</w:t>
      </w:r>
    </w:p>
    <w:p>
      <w:pPr>
        <w:pStyle w:val="ListParagraph"/>
        <w:numPr>
          <w:ilvl w:val="0"/>
          <w:numId w:val="4"/>
        </w:numPr>
        <w:spacing w:after="100"/>
      </w:pPr>
      <w:r>
        <w:t xml:space="preserve">Once approved, the SE/BD can export the FCR as a PDF.</w:t>
      </w:r>
    </w:p>
    <w:p>
      <w:pPr>
        <w:pStyle w:val="Heading2"/>
        <w:spacing w:after="120" w:before="260"/>
      </w:pPr>
      <w:r>
        <w:rPr>
          <w:b/>
          <w:bCs/>
          <w:color w:val="1F2937"/>
        </w:rPr>
        <w:t xml:space="preserve">Who approves whom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F2937" w:val="clear"/>
            <w:tcMar>
              <w:top w:type="dxa" w:w="100"/>
              <w:left w:type="dxa" w:w="120"/>
              <w:bottom w:type="dxa" w:w="100"/>
              <w:right w:type="dxa" w:w="120"/>
            </w:tcMar>
          </w:tcPr>
          <w:p>
            <w:r>
              <w:rPr>
                <w:b/>
                <w:bCs/>
                <w:color w:val="FFFFFF"/>
              </w:rPr>
              <w:t xml:space="preserve">Submitter</w:t>
            </w:r>
          </w:p>
        </w:tc>
        <w:tc>
          <w:tcPr>
            <w:tcW w:type="dxa" w:w="5000"/>
            <w:shd w:fill="1F2937" w:val="clear"/>
            <w:tcMar>
              <w:top w:type="dxa" w:w="100"/>
              <w:left w:type="dxa" w:w="120"/>
              <w:bottom w:type="dxa" w:w="100"/>
              <w:right w:type="dxa" w:w="120"/>
            </w:tcMar>
          </w:tcPr>
          <w:p>
            <w:r>
              <w:rPr>
                <w:b/>
                <w:bCs/>
                <w:color w:val="FFFFFF"/>
              </w:rPr>
              <w:t xml:space="preserve">Approver</w:t>
            </w:r>
          </w:p>
        </w:tc>
      </w:tr>
      <w:tr>
        <w:tc>
          <w:tcPr>
            <w:tcW w:type="dxa" w:w="5000"/>
            <w:tcMar>
              <w:top w:type="dxa" w:w="100"/>
              <w:left w:type="dxa" w:w="120"/>
              <w:bottom w:type="dxa" w:w="100"/>
              <w:right w:type="dxa" w:w="120"/>
            </w:tcMar>
          </w:tcPr>
          <w:p>
            <w:r>
              <w:rPr>
                <w:b w:val="false"/>
                <w:bCs w:val="false"/>
              </w:rPr>
              <w:t xml:space="preserve">Sales Engineer</w:t>
            </w:r>
          </w:p>
        </w:tc>
        <w:tc>
          <w:tcPr>
            <w:tcW w:type="dxa" w:w="5000"/>
            <w:tcMar>
              <w:top w:type="dxa" w:w="100"/>
              <w:left w:type="dxa" w:w="120"/>
              <w:bottom w:type="dxa" w:w="100"/>
              <w:right w:type="dxa" w:w="120"/>
            </w:tcMar>
          </w:tcPr>
          <w:p>
            <w:r>
              <w:rPr>
                <w:b w:val="false"/>
                <w:bCs w:val="false"/>
              </w:rPr>
              <w:t xml:space="preserve">National Sales Manager (NSM)</w:t>
            </w:r>
          </w:p>
        </w:tc>
      </w:tr>
      <w:tr>
        <w:tc>
          <w:tcPr>
            <w:tcW w:type="dxa" w:w="5000"/>
            <w:shd w:fill="F3F4F6" w:val="clear"/>
            <w:tcMar>
              <w:top w:type="dxa" w:w="100"/>
              <w:left w:type="dxa" w:w="120"/>
              <w:bottom w:type="dxa" w:w="100"/>
              <w:right w:type="dxa" w:w="120"/>
            </w:tcMar>
          </w:tcPr>
          <w:p>
            <w:r>
              <w:rPr>
                <w:b w:val="false"/>
                <w:bCs w:val="false"/>
              </w:rPr>
              <w:t xml:space="preserve">BD Engineer</w:t>
            </w:r>
          </w:p>
        </w:tc>
        <w:tc>
          <w:tcPr>
            <w:tcW w:type="dxa" w:w="5000"/>
            <w:shd w:fill="F3F4F6" w:val="clear"/>
            <w:tcMar>
              <w:top w:type="dxa" w:w="100"/>
              <w:left w:type="dxa" w:w="120"/>
              <w:bottom w:type="dxa" w:w="100"/>
              <w:right w:type="dxa" w:w="120"/>
            </w:tcMar>
          </w:tcPr>
          <w:p>
            <w:r>
              <w:rPr>
                <w:b w:val="false"/>
                <w:bCs w:val="false"/>
              </w:rPr>
              <w:t xml:space="preserve">Commercial AC Head</w:t>
            </w:r>
          </w:p>
        </w:tc>
      </w:tr>
      <w:tr>
        <w:tc>
          <w:tcPr>
            <w:tcW w:type="dxa" w:w="5000"/>
            <w:tcMar>
              <w:top w:type="dxa" w:w="100"/>
              <w:left w:type="dxa" w:w="120"/>
              <w:bottom w:type="dxa" w:w="100"/>
              <w:right w:type="dxa" w:w="120"/>
            </w:tcMar>
          </w:tcPr>
          <w:p>
            <w:r>
              <w:rPr>
                <w:b w:val="false"/>
                <w:bCs w:val="false"/>
              </w:rPr>
              <w:t xml:space="preserve">National Sales Manager</w:t>
            </w:r>
          </w:p>
        </w:tc>
        <w:tc>
          <w:tcPr>
            <w:tcW w:type="dxa" w:w="5000"/>
            <w:tcMar>
              <w:top w:type="dxa" w:w="100"/>
              <w:left w:type="dxa" w:w="120"/>
              <w:bottom w:type="dxa" w:w="100"/>
              <w:right w:type="dxa" w:w="120"/>
            </w:tcMar>
          </w:tcPr>
          <w:p>
            <w:r>
              <w:rPr>
                <w:b w:val="false"/>
                <w:bCs w:val="false"/>
              </w:rPr>
              <w:t xml:space="preserve">Commercial AC Head</w:t>
            </w:r>
          </w:p>
        </w:tc>
      </w:tr>
    </w:tbl>
    <w:p>
      <w:pPr>
        <w:pStyle w:val="Heading2"/>
        <w:spacing w:after="120" w:before="260"/>
      </w:pPr>
      <w:r>
        <w:rPr>
          <w:b/>
          <w:bCs/>
          <w:color w:val="1F2937"/>
        </w:rPr>
        <w:t xml:space="preserve">Who can create what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100"/>
        <w:gridCol w:w="2200"/>
      </w:tblGrid>
      <w:tr>
        <w:trPr>
          <w:tblHeader/>
        </w:trPr>
        <w:tc>
          <w:tcPr>
            <w:tcW w:type="dxa" w:w="3600"/>
            <w:shd w:fill="1F2937" w:val="clear"/>
            <w:tcMar>
              <w:top w:type="dxa" w:w="100"/>
              <w:left w:type="dxa" w:w="120"/>
              <w:bottom w:type="dxa" w:w="100"/>
              <w:right w:type="dxa" w:w="120"/>
            </w:tcMar>
          </w:tcPr>
          <w:p>
            <w:r>
              <w:rPr>
                <w:b/>
                <w:bCs/>
                <w:color w:val="FFFFFF"/>
              </w:rPr>
              <w:t xml:space="preserve">Role</w:t>
            </w:r>
          </w:p>
        </w:tc>
        <w:tc>
          <w:tcPr>
            <w:tcW w:type="dxa" w:w="2100"/>
            <w:shd w:fill="1F2937" w:val="clear"/>
            <w:tcMar>
              <w:top w:type="dxa" w:w="100"/>
              <w:left w:type="dxa" w:w="120"/>
              <w:bottom w:type="dxa" w:w="100"/>
              <w:right w:type="dxa" w:w="120"/>
            </w:tcMar>
          </w:tcPr>
          <w:p>
            <w:r>
              <w:rPr>
                <w:b/>
                <w:bCs/>
                <w:color w:val="FFFFFF"/>
              </w:rPr>
              <w:t xml:space="preserve">Accounts</w:t>
            </w:r>
          </w:p>
        </w:tc>
        <w:tc>
          <w:tcPr>
            <w:tcW w:type="dxa" w:w="2100"/>
            <w:shd w:fill="1F2937" w:val="clear"/>
            <w:tcMar>
              <w:top w:type="dxa" w:w="100"/>
              <w:left w:type="dxa" w:w="120"/>
              <w:bottom w:type="dxa" w:w="100"/>
              <w:right w:type="dxa" w:w="120"/>
            </w:tcMar>
          </w:tcPr>
          <w:p>
            <w:r>
              <w:rPr>
                <w:b/>
                <w:bCs/>
                <w:color w:val="FFFFFF"/>
              </w:rPr>
              <w:t xml:space="preserve">MCP (Plan)</w:t>
            </w:r>
          </w:p>
        </w:tc>
        <w:tc>
          <w:tcPr>
            <w:tcW w:type="dxa" w:w="2200"/>
            <w:shd w:fill="1F2937" w:val="clear"/>
            <w:tcMar>
              <w:top w:type="dxa" w:w="100"/>
              <w:left w:type="dxa" w:w="120"/>
              <w:bottom w:type="dxa" w:w="100"/>
              <w:right w:type="dxa" w:w="120"/>
            </w:tcMar>
          </w:tcPr>
          <w:p>
            <w:r>
              <w:rPr>
                <w:b/>
                <w:bCs/>
                <w:color w:val="FFFFFF"/>
              </w:rPr>
              <w:t xml:space="preserve">FCR</w:t>
            </w:r>
          </w:p>
        </w:tc>
      </w:tr>
      <w:tr>
        <w:tc>
          <w:tcPr>
            <w:tcW w:type="dxa" w:w="3600"/>
            <w:tcMar>
              <w:top w:type="dxa" w:w="100"/>
              <w:left w:type="dxa" w:w="120"/>
              <w:bottom w:type="dxa" w:w="100"/>
              <w:right w:type="dxa" w:w="120"/>
            </w:tcMar>
          </w:tcPr>
          <w:p>
            <w:r>
              <w:rPr>
                <w:b w:val="false"/>
                <w:bCs w:val="false"/>
              </w:rPr>
              <w:t xml:space="preserve">Sales Engineer</w:t>
            </w:r>
          </w:p>
        </w:tc>
        <w:tc>
          <w:tcPr>
            <w:tcW w:type="dxa" w:w="2100"/>
            <w:tcMar>
              <w:top w:type="dxa" w:w="100"/>
              <w:left w:type="dxa" w:w="120"/>
              <w:bottom w:type="dxa" w:w="100"/>
              <w:right w:type="dxa" w:w="120"/>
            </w:tcMar>
          </w:tcPr>
          <w:p>
            <w:r>
              <w:rPr>
                <w:b w:val="false"/>
                <w:bCs w:val="false"/>
              </w:rPr>
              <w:t xml:space="preserve">Yes</w:t>
            </w:r>
          </w:p>
        </w:tc>
        <w:tc>
          <w:tcPr>
            <w:tcW w:type="dxa" w:w="2100"/>
            <w:tcMar>
              <w:top w:type="dxa" w:w="100"/>
              <w:left w:type="dxa" w:w="120"/>
              <w:bottom w:type="dxa" w:w="100"/>
              <w:right w:type="dxa" w:w="120"/>
            </w:tcMar>
          </w:tcPr>
          <w:p>
            <w:r>
              <w:rPr>
                <w:b w:val="false"/>
                <w:bCs w:val="false"/>
              </w:rPr>
              <w:t xml:space="preserve">Yes</w:t>
            </w:r>
          </w:p>
        </w:tc>
        <w:tc>
          <w:tcPr>
            <w:tcW w:type="dxa" w:w="2200"/>
            <w:tcMar>
              <w:top w:type="dxa" w:w="100"/>
              <w:left w:type="dxa" w:w="120"/>
              <w:bottom w:type="dxa" w:w="100"/>
              <w:right w:type="dxa" w:w="120"/>
            </w:tcMar>
          </w:tcPr>
          <w:p>
            <w:r>
              <w:rPr>
                <w:b w:val="false"/>
                <w:bCs w:val="false"/>
              </w:rPr>
              <w:t xml:space="preserve">Yes</w:t>
            </w:r>
          </w:p>
        </w:tc>
      </w:tr>
      <w:tr>
        <w:tc>
          <w:tcPr>
            <w:tcW w:type="dxa" w:w="3600"/>
            <w:shd w:fill="F3F4F6" w:val="clear"/>
            <w:tcMar>
              <w:top w:type="dxa" w:w="100"/>
              <w:left w:type="dxa" w:w="120"/>
              <w:bottom w:type="dxa" w:w="100"/>
              <w:right w:type="dxa" w:w="120"/>
            </w:tcMar>
          </w:tcPr>
          <w:p>
            <w:r>
              <w:rPr>
                <w:b w:val="false"/>
                <w:bCs w:val="false"/>
              </w:rPr>
              <w:t xml:space="preserve">BD Engineer</w:t>
            </w:r>
          </w:p>
        </w:tc>
        <w:tc>
          <w:tcPr>
            <w:tcW w:type="dxa" w:w="2100"/>
            <w:shd w:fill="F3F4F6" w:val="clear"/>
            <w:tcMar>
              <w:top w:type="dxa" w:w="100"/>
              <w:left w:type="dxa" w:w="120"/>
              <w:bottom w:type="dxa" w:w="100"/>
              <w:right w:type="dxa" w:w="120"/>
            </w:tcMar>
          </w:tcPr>
          <w:p>
            <w:r>
              <w:rPr>
                <w:b w:val="false"/>
                <w:bCs w:val="false"/>
              </w:rPr>
              <w:t xml:space="preserve">Yes</w:t>
            </w:r>
          </w:p>
        </w:tc>
        <w:tc>
          <w:tcPr>
            <w:tcW w:type="dxa" w:w="2100"/>
            <w:shd w:fill="F3F4F6" w:val="clear"/>
            <w:tcMar>
              <w:top w:type="dxa" w:w="100"/>
              <w:left w:type="dxa" w:w="120"/>
              <w:bottom w:type="dxa" w:w="100"/>
              <w:right w:type="dxa" w:w="120"/>
            </w:tcMar>
          </w:tcPr>
          <w:p>
            <w:r>
              <w:rPr>
                <w:b w:val="false"/>
                <w:bCs w:val="false"/>
              </w:rPr>
              <w:t xml:space="preserve">Yes</w:t>
            </w:r>
          </w:p>
        </w:tc>
        <w:tc>
          <w:tcPr>
            <w:tcW w:type="dxa" w:w="2200"/>
            <w:shd w:fill="F3F4F6" w:val="clear"/>
            <w:tcMar>
              <w:top w:type="dxa" w:w="100"/>
              <w:left w:type="dxa" w:w="120"/>
              <w:bottom w:type="dxa" w:w="100"/>
              <w:right w:type="dxa" w:w="120"/>
            </w:tcMar>
          </w:tcPr>
          <w:p>
            <w:r>
              <w:rPr>
                <w:b w:val="false"/>
                <w:bCs w:val="false"/>
              </w:rPr>
              <w:t xml:space="preserve">Yes</w:t>
            </w:r>
          </w:p>
        </w:tc>
      </w:tr>
      <w:tr>
        <w:tc>
          <w:tcPr>
            <w:tcW w:type="dxa" w:w="3600"/>
            <w:tcMar>
              <w:top w:type="dxa" w:w="100"/>
              <w:left w:type="dxa" w:w="120"/>
              <w:bottom w:type="dxa" w:w="100"/>
              <w:right w:type="dxa" w:w="120"/>
            </w:tcMar>
          </w:tcPr>
          <w:p>
            <w:r>
              <w:rPr>
                <w:b w:val="false"/>
                <w:bCs w:val="false"/>
              </w:rPr>
              <w:t xml:space="preserve">National Sales Manager</w:t>
            </w:r>
          </w:p>
        </w:tc>
        <w:tc>
          <w:tcPr>
            <w:tcW w:type="dxa" w:w="2100"/>
            <w:tcMar>
              <w:top w:type="dxa" w:w="100"/>
              <w:left w:type="dxa" w:w="120"/>
              <w:bottom w:type="dxa" w:w="100"/>
              <w:right w:type="dxa" w:w="120"/>
            </w:tcMar>
          </w:tcPr>
          <w:p>
            <w:r>
              <w:rPr>
                <w:b w:val="false"/>
                <w:bCs w:val="false"/>
              </w:rPr>
              <w:t xml:space="preserve">Yes</w:t>
            </w:r>
          </w:p>
        </w:tc>
        <w:tc>
          <w:tcPr>
            <w:tcW w:type="dxa" w:w="2100"/>
            <w:tcMar>
              <w:top w:type="dxa" w:w="100"/>
              <w:left w:type="dxa" w:w="120"/>
              <w:bottom w:type="dxa" w:w="100"/>
              <w:right w:type="dxa" w:w="120"/>
            </w:tcMar>
          </w:tcPr>
          <w:p>
            <w:r>
              <w:rPr>
                <w:b w:val="false"/>
                <w:bCs w:val="false"/>
              </w:rPr>
              <w:t xml:space="preserve">Yes</w:t>
            </w:r>
          </w:p>
        </w:tc>
        <w:tc>
          <w:tcPr>
            <w:tcW w:type="dxa" w:w="2200"/>
            <w:tcMar>
              <w:top w:type="dxa" w:w="100"/>
              <w:left w:type="dxa" w:w="120"/>
              <w:bottom w:type="dxa" w:w="100"/>
              <w:right w:type="dxa" w:w="120"/>
            </w:tcMar>
          </w:tcPr>
          <w:p>
            <w:r>
              <w:rPr>
                <w:b w:val="false"/>
                <w:bCs w:val="false"/>
              </w:rPr>
              <w:t xml:space="preserve">No</w:t>
            </w:r>
          </w:p>
        </w:tc>
      </w:tr>
      <w:tr>
        <w:tc>
          <w:tcPr>
            <w:tcW w:type="dxa" w:w="3600"/>
            <w:shd w:fill="F3F4F6" w:val="clear"/>
            <w:tcMar>
              <w:top w:type="dxa" w:w="100"/>
              <w:left w:type="dxa" w:w="120"/>
              <w:bottom w:type="dxa" w:w="100"/>
              <w:right w:type="dxa" w:w="120"/>
            </w:tcMar>
          </w:tcPr>
          <w:p>
            <w:r>
              <w:rPr>
                <w:b w:val="false"/>
                <w:bCs w:val="false"/>
              </w:rPr>
              <w:t xml:space="preserve">Commercial AC Head</w:t>
            </w:r>
          </w:p>
        </w:tc>
        <w:tc>
          <w:tcPr>
            <w:tcW w:type="dxa" w:w="2100"/>
            <w:shd w:fill="F3F4F6" w:val="clear"/>
            <w:tcMar>
              <w:top w:type="dxa" w:w="100"/>
              <w:left w:type="dxa" w:w="120"/>
              <w:bottom w:type="dxa" w:w="100"/>
              <w:right w:type="dxa" w:w="120"/>
            </w:tcMar>
          </w:tcPr>
          <w:p>
            <w:r>
              <w:rPr>
                <w:b w:val="false"/>
                <w:bCs w:val="false"/>
              </w:rPr>
              <w:t xml:space="preserve">Yes</w:t>
            </w:r>
          </w:p>
        </w:tc>
        <w:tc>
          <w:tcPr>
            <w:tcW w:type="dxa" w:w="2100"/>
            <w:shd w:fill="F3F4F6" w:val="clear"/>
            <w:tcMar>
              <w:top w:type="dxa" w:w="100"/>
              <w:left w:type="dxa" w:w="120"/>
              <w:bottom w:type="dxa" w:w="100"/>
              <w:right w:type="dxa" w:w="120"/>
            </w:tcMar>
          </w:tcPr>
          <w:p>
            <w:r>
              <w:rPr>
                <w:b w:val="false"/>
                <w:bCs w:val="false"/>
              </w:rPr>
              <w:t xml:space="preserve">No</w:t>
            </w:r>
          </w:p>
        </w:tc>
        <w:tc>
          <w:tcPr>
            <w:tcW w:type="dxa" w:w="2200"/>
            <w:shd w:fill="F3F4F6" w:val="clear"/>
            <w:tcMar>
              <w:top w:type="dxa" w:w="100"/>
              <w:left w:type="dxa" w:w="120"/>
              <w:bottom w:type="dxa" w:w="100"/>
              <w:right w:type="dxa" w:w="120"/>
            </w:tcMar>
          </w:tcPr>
          <w:p>
            <w:r>
              <w:rPr>
                <w:b w:val="false"/>
                <w:bCs w:val="false"/>
              </w:rPr>
              <w:t xml:space="preserve">Yes</w:t>
            </w:r>
          </w:p>
        </w:tc>
      </w:tr>
    </w:tbl>
    <w:p>
      <w:pPr>
        <w:pStyle w:val="Heading2"/>
        <w:spacing w:after="120" w:before="260"/>
      </w:pPr>
      <w:r>
        <w:rPr>
          <w:b/>
          <w:bCs/>
          <w:color w:val="1F2937"/>
        </w:rPr>
        <w:t xml:space="preserve">Deleting records (Commercial AC Head only)</w:t>
      </w:r>
    </w:p>
    <w:p>
      <w:pPr>
        <w:spacing w:after="160" w:line="300"/>
      </w:pPr>
      <w:r>
        <w:t xml:space="preserve">Only the Commercial AC Head has a delete option, shown as a trash-can icon on list entries. It’s scoped to what they can already see and approve:</w:t>
      </w:r>
    </w:p>
    <w:p>
      <w:pPr>
        <w:pStyle w:val="ListParagraph"/>
        <w:numPr>
          <w:ilvl w:val="0"/>
          <w:numId w:val="2"/>
        </w:numPr>
        <w:spacing w:after="90"/>
      </w:pPr>
      <w:r>
        <w:t xml:space="preserve">Field Contact Reports -- BD submissions only.</w:t>
      </w:r>
    </w:p>
    <w:p>
      <w:pPr>
        <w:pStyle w:val="ListParagraph"/>
        <w:numPr>
          <w:ilvl w:val="0"/>
          <w:numId w:val="2"/>
        </w:numPr>
        <w:spacing w:after="90"/>
      </w:pPr>
      <w:r>
        <w:t xml:space="preserve">MCP (Plan) -- BD and NSM submissions.</w:t>
      </w:r>
    </w:p>
    <w:p>
      <w:pPr>
        <w:spacing w:after="160" w:line="300"/>
      </w:pPr>
      <w:r>
        <w:t xml:space="preserve">Deleting is permanent -- there’s no undo, and no confirmation email is sent. It’s meant for cleaning up test, duplicate, or otherwise unwanted entries, not for routine record-keeping.</w:t>
      </w:r>
    </w:p>
    <w:p>
      <w:pPr>
        <w:pStyle w:val="Heading1"/>
        <w:spacing w:after="160" w:before="360"/>
      </w:pPr>
      <w:r>
        <w:rPr>
          <w:b/>
          <w:bCs/>
          <w:color w:val="1F2937"/>
        </w:rPr>
        <w:t xml:space="preserve">11. Questions or Issues</w:t>
      </w:r>
    </w:p>
    <w:p>
      <w:pPr>
        <w:spacing w:after="160" w:line="300"/>
      </w:pPr>
      <w:r>
        <w:t xml:space="preserve">For access problems, contact your administrator. If an attendee raises a concern about a visit or a report through the acknowledgment email, it routes to:</w:t>
      </w:r>
    </w:p>
    <w:p>
      <w:pPr>
        <w:pStyle w:val="ListParagraph"/>
        <w:numPr>
          <w:ilvl w:val="0"/>
          <w:numId w:val="2"/>
        </w:numPr>
        <w:spacing w:after="90"/>
      </w:pPr>
      <w:r>
        <w:t xml:space="preserve">Jamaica Linsangan -- MBT Sales Engineer visits.</w:t>
      </w:r>
    </w:p>
    <w:p>
      <w:pPr>
        <w:pStyle w:val="ListParagraph"/>
        <w:numPr>
          <w:ilvl w:val="0"/>
          <w:numId w:val="2"/>
        </w:numPr>
        <w:spacing w:after="90"/>
      </w:pPr>
      <w:r>
        <w:t xml:space="preserve">Ronald Acedillo -- Business Development Team visits.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2026-07-26T09:41:28.474Z</dcterms:created>
  <dcterms:modified xsi:type="dcterms:W3CDTF">2026-07-26T09:41:28.475Z</dcterms:modified>
</cp:coreProperties>
</file>

<file path=docProps/custom.xml><?xml version="1.0" encoding="utf-8"?>
<Properties xmlns="http://schemas.openxmlformats.org/officeDocument/2006/custom-properties" xmlns:vt="http://schemas.openxmlformats.org/officeDocument/2006/docPropsVTypes"/>
</file>