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4"/>
          <w:szCs w:val="44"/>
        </w:rPr>
        <w:t xml:space="preserve">MBT SALES OPERATIONS APP</w:t>
      </w:r>
    </w:p>
    <w:p>
      <w:pPr>
        <w:spacing w:after="40"/>
      </w:pPr>
      <w:r>
        <w:rPr>
          <w:color w:val="2563EB"/>
          <w:sz w:val="28"/>
          <w:szCs w:val="28"/>
        </w:rPr>
        <w:t xml:space="preserve">Full Application Review &amp; Improvement Recommendations</w:t>
      </w:r>
    </w:p>
    <w:p>
      <w:pPr>
        <w:spacing w:after="400"/>
      </w:pPr>
      <w:r>
        <w:rPr>
          <w:i/>
          <w:iCs/>
          <w:color w:val="6B7280"/>
          <w:sz w:val="20"/>
          <w:szCs w:val="20"/>
        </w:rPr>
        <w:t xml:space="preserve">Prepared for Ronald Acedillo · Concepcion Midea Inc. · July 25, 2026</w:t>
      </w:r>
    </w:p>
    <w:p>
      <w:pPr>
        <w:pStyle w:val="Heading1"/>
        <w:spacing w:after="200" w:before="400"/>
      </w:pPr>
      <w:r>
        <w:t xml:space="preserve">1. Summary</w:t>
      </w:r>
    </w:p>
    <w:p>
      <w:pPr>
        <w:spacing w:after="160" w:line="276"/>
      </w:pPr>
      <w:r>
        <w:t xml:space="preserve">The app is in solid working shape: authentication, role-based approvals, the redesigned Field Contact Report forms, and Meeting Minutes have all been tested end-to-end on the live deployment and work correctly. This review looks at the codebase and both Supabase databases (the Sales app’s own project and the separate MBT Project Pipeline project) to flag real bugs, design gaps that will matter as the team’s usage grows, and the specific question of pulling Pipeline project inquiries into the Sales app for discussion during field visits and meetings.</w:t>
      </w:r>
    </w:p>
    <w:p>
      <w:pPr>
        <w:spacing w:after="160" w:line="276"/>
      </w:pPr>
      <w:r>
        <w:t xml:space="preserve">Two things are worth reading first because they shape several recommendations below. First, since the FCR redesign, a Field Contact Report no longer requires a link to a formal Account record — customer details are typed freely into each report, so nothing rolls up into one customer history automatically. Second, the Pipeline app and the Sales app are two completely separate Supabase projects (separate databases, separate logins) with no concept of a shared “account” between them — Pipeline spreads a project’s counterparty across up to nine different free-text fields (dealer, end-user, developer, consultant, general contractor, distributor, etc.) depending on how the deal came in. Both of these are addressed in detail in their own sections below.</w:t>
      </w:r>
    </w:p>
    <w:p>
      <w:pPr>
        <w:pStyle w:val="Heading1"/>
        <w:spacing w:after="200" w:before="400"/>
      </w:pPr>
      <w:r>
        <w:t xml:space="preserve">2. Bugs to Fix</w:t>
      </w:r>
    </w:p>
    <w:p>
      <w:pPr>
        <w:spacing w:after="160" w:line="276"/>
      </w:pPr>
      <w:r>
        <w:t xml:space="preserve">These are concrete defects found while reading the code, not style opinions. None are visible unless you know where to look, which is exactly why they’re worth fixing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3182"/>
        <w:gridCol w:w="1872"/>
      </w:tblGrid>
      <w:tr>
        <w:trPr>
          <w:tblHeader/>
        </w:trPr>
        <w:tc>
          <w:tcPr>
            <w:tcW w:type="dxa" w:w="2434"/>
            <w:shd w:fill="1F2937" w:val="clear"/>
            <w:tcMar>
              <w:top w:type="dxa" w:w="80"/>
              <w:left w:type="dxa" w:w="100"/>
              <w:bottom w:type="dxa" w:w="80"/>
              <w:right w:type="dxa" w:w="100"/>
            </w:tcMar>
          </w:tcPr>
          <w:p>
            <w:pPr>
              <w:jc w:val="left"/>
            </w:pPr>
            <w:r>
              <w:rPr>
                <w:b/>
                <w:bCs/>
                <w:color w:val="FFFFFF"/>
                <w:sz w:val="20"/>
                <w:szCs w:val="20"/>
              </w:rPr>
              <w:t xml:space="preserve">Issue</w:t>
            </w:r>
          </w:p>
        </w:tc>
        <w:tc>
          <w:tcPr>
            <w:tcW w:type="dxa" w:w="1872"/>
            <w:shd w:fill="1F2937" w:val="clear"/>
            <w:tcMar>
              <w:top w:type="dxa" w:w="80"/>
              <w:left w:type="dxa" w:w="100"/>
              <w:bottom w:type="dxa" w:w="80"/>
              <w:right w:type="dxa" w:w="100"/>
            </w:tcMar>
          </w:tcPr>
          <w:p>
            <w:pPr>
              <w:jc w:val="left"/>
            </w:pPr>
            <w:r>
              <w:rPr>
                <w:b/>
                <w:bCs/>
                <w:color w:val="FFFFFF"/>
                <w:sz w:val="20"/>
                <w:szCs w:val="20"/>
              </w:rPr>
              <w:t xml:space="preserve">Where</w:t>
            </w:r>
          </w:p>
        </w:tc>
        <w:tc>
          <w:tcPr>
            <w:tcW w:type="dxa" w:w="3182"/>
            <w:shd w:fill="1F2937" w:val="clear"/>
            <w:tcMar>
              <w:top w:type="dxa" w:w="80"/>
              <w:left w:type="dxa" w:w="100"/>
              <w:bottom w:type="dxa" w:w="80"/>
              <w:right w:type="dxa" w:w="100"/>
            </w:tcMar>
          </w:tcPr>
          <w:p>
            <w:pPr>
              <w:jc w:val="left"/>
            </w:pPr>
            <w:r>
              <w:rPr>
                <w:b/>
                <w:bCs/>
                <w:color w:val="FFFFFF"/>
                <w:sz w:val="20"/>
                <w:szCs w:val="20"/>
              </w:rPr>
              <w:t xml:space="preserve">Effect</w:t>
            </w:r>
          </w:p>
        </w:tc>
        <w:tc>
          <w:tcPr>
            <w:tcW w:type="dxa" w:w="1872"/>
            <w:shd w:fill="1F2937" w:val="clear"/>
            <w:tcMar>
              <w:top w:type="dxa" w:w="80"/>
              <w:left w:type="dxa" w:w="100"/>
              <w:bottom w:type="dxa" w:w="80"/>
              <w:right w:type="dxa" w:w="100"/>
            </w:tcMar>
          </w:tcPr>
          <w:p>
            <w:pPr>
              <w:jc w:val="left"/>
            </w:pPr>
            <w:r>
              <w:rPr>
                <w:b/>
                <w:bCs/>
                <w:color w:val="FFFFFF"/>
                <w:sz w:val="20"/>
                <w:szCs w:val="20"/>
              </w:rPr>
              <w:t xml:space="preserve">Fix</w:t>
            </w:r>
          </w:p>
        </w:tc>
      </w:tr>
      <w:tr>
        <w:tc>
          <w:tcPr>
            <w:tcW w:type="dxa" w:w="2434"/>
            <w:tcMar>
              <w:top w:type="dxa" w:w="80"/>
              <w:left w:type="dxa" w:w="100"/>
              <w:bottom w:type="dxa" w:w="80"/>
              <w:right w:type="dxa" w:w="100"/>
            </w:tcMar>
          </w:tcPr>
          <w:p>
            <w:pPr>
              <w:jc w:val="left"/>
            </w:pPr>
            <w:r>
              <w:rPr>
                <w:b w:val="false"/>
                <w:bCs w:val="false"/>
                <w:sz w:val="20"/>
                <w:szCs w:val="20"/>
              </w:rPr>
              <w:t xml:space="preserve">Dashboard reads a field that no longer exists on FCRs</w:t>
            </w:r>
          </w:p>
        </w:tc>
        <w:tc>
          <w:tcPr>
            <w:tcW w:type="dxa" w:w="1872"/>
            <w:tcMar>
              <w:top w:type="dxa" w:w="80"/>
              <w:left w:type="dxa" w:w="100"/>
              <w:bottom w:type="dxa" w:w="80"/>
              <w:right w:type="dxa" w:w="100"/>
            </w:tcMar>
          </w:tcPr>
          <w:p>
            <w:pPr>
              <w:jc w:val="left"/>
            </w:pPr>
            <w:r>
              <w:rPr>
                <w:b w:val="false"/>
                <w:bCs w:val="false"/>
                <w:sz w:val="20"/>
                <w:szCs w:val="20"/>
              </w:rPr>
              <w:t xml:space="preserve">Dashboard.jsx, "Recent Field Contact Reports"</w:t>
            </w:r>
          </w:p>
        </w:tc>
        <w:tc>
          <w:tcPr>
            <w:tcW w:type="dxa" w:w="3182"/>
            <w:tcMar>
              <w:top w:type="dxa" w:w="80"/>
              <w:left w:type="dxa" w:w="100"/>
              <w:bottom w:type="dxa" w:w="80"/>
              <w:right w:type="dxa" w:w="100"/>
            </w:tcMar>
          </w:tcPr>
          <w:p>
            <w:pPr>
              <w:jc w:val="left"/>
            </w:pPr>
            <w:r>
              <w:rPr>
                <w:b w:val="false"/>
                <w:bCs w:val="false"/>
                <w:sz w:val="20"/>
                <w:szCs w:val="20"/>
              </w:rPr>
              <w:t xml:space="preserve">Every recent FCR shows the generic label "Field Contact Report" instead of the customer’s name, because the code still reads item.account_name, which was replaced by item.customer_info.company_name during the FCR redesign</w:t>
            </w:r>
          </w:p>
        </w:tc>
        <w:tc>
          <w:tcPr>
            <w:tcW w:type="dxa" w:w="1872"/>
            <w:tcMar>
              <w:top w:type="dxa" w:w="80"/>
              <w:left w:type="dxa" w:w="100"/>
              <w:bottom w:type="dxa" w:w="80"/>
              <w:right w:type="dxa" w:w="100"/>
            </w:tcMar>
          </w:tcPr>
          <w:p>
            <w:pPr>
              <w:jc w:val="left"/>
            </w:pPr>
            <w:r>
              <w:rPr>
                <w:b w:val="false"/>
                <w:bCs w:val="false"/>
                <w:sz w:val="20"/>
                <w:szCs w:val="20"/>
              </w:rPr>
              <w:t xml:space="preserve">One-line change to read item.customer_info?.company_name</w:t>
            </w:r>
          </w:p>
        </w:tc>
      </w:tr>
      <w:tr>
        <w:tc>
          <w:tcPr>
            <w:tcW w:type="dxa" w:w="2434"/>
            <w:shd w:fill="F3F4F6" w:val="clear"/>
            <w:tcMar>
              <w:top w:type="dxa" w:w="80"/>
              <w:left w:type="dxa" w:w="100"/>
              <w:bottom w:type="dxa" w:w="80"/>
              <w:right w:type="dxa" w:w="100"/>
            </w:tcMar>
          </w:tcPr>
          <w:p>
            <w:pPr>
              <w:jc w:val="left"/>
            </w:pPr>
            <w:r>
              <w:rPr>
                <w:b w:val="false"/>
                <w:bCs w:val="false"/>
                <w:sz w:val="20"/>
                <w:szCs w:val="20"/>
              </w:rPr>
              <w:t xml:space="preserve">Approval pages have no menu link</w:t>
            </w:r>
          </w:p>
        </w:tc>
        <w:tc>
          <w:tcPr>
            <w:tcW w:type="dxa" w:w="1872"/>
            <w:shd w:fill="F3F4F6" w:val="clear"/>
            <w:tcMar>
              <w:top w:type="dxa" w:w="80"/>
              <w:left w:type="dxa" w:w="100"/>
              <w:bottom w:type="dxa" w:w="80"/>
              <w:right w:type="dxa" w:w="100"/>
            </w:tcMar>
          </w:tcPr>
          <w:p>
            <w:pPr>
              <w:jc w:val="left"/>
            </w:pPr>
            <w:r>
              <w:rPr>
                <w:b w:val="false"/>
                <w:bCs w:val="false"/>
                <w:sz w:val="20"/>
                <w:szCs w:val="20"/>
              </w:rPr>
              <w:t xml:space="preserve">Sidebar.jsx vs. /fcr/approval and /itinerary/approval routes</w:t>
            </w:r>
          </w:p>
        </w:tc>
        <w:tc>
          <w:tcPr>
            <w:tcW w:type="dxa" w:w="3182"/>
            <w:shd w:fill="F3F4F6" w:val="clear"/>
            <w:tcMar>
              <w:top w:type="dxa" w:w="80"/>
              <w:left w:type="dxa" w:w="100"/>
              <w:bottom w:type="dxa" w:w="80"/>
              <w:right w:type="dxa" w:w="100"/>
            </w:tcMar>
          </w:tcPr>
          <w:p>
            <w:pPr>
              <w:jc w:val="left"/>
            </w:pPr>
            <w:r>
              <w:rPr>
                <w:b w:val="false"/>
                <w:bCs w:val="false"/>
                <w:sz w:val="20"/>
                <w:szCs w:val="20"/>
              </w:rPr>
              <w:t xml:space="preserve">NSM and Commercial AC Head can still approve via inline buttons on the regular list pages, but the two dedicated approval-queue pages built for them are unreachable from any menu — dead screens</w:t>
            </w:r>
          </w:p>
        </w:tc>
        <w:tc>
          <w:tcPr>
            <w:tcW w:type="dxa" w:w="1872"/>
            <w:shd w:fill="F3F4F6" w:val="clear"/>
            <w:tcMar>
              <w:top w:type="dxa" w:w="80"/>
              <w:left w:type="dxa" w:w="100"/>
              <w:bottom w:type="dxa" w:w="80"/>
              <w:right w:type="dxa" w:w="100"/>
            </w:tcMar>
          </w:tcPr>
          <w:p>
            <w:pPr>
              <w:jc w:val="left"/>
            </w:pPr>
            <w:r>
              <w:rPr>
                <w:b w:val="false"/>
                <w:bCs w:val="false"/>
                <w:sz w:val="20"/>
                <w:szCs w:val="20"/>
              </w:rPr>
              <w:t xml:space="preserve">Either add an "Approvals" sidebar item (ideally with a pending-count badge) for those two roles, or remove the unused pages</w:t>
            </w:r>
          </w:p>
        </w:tc>
      </w:tr>
      <w:tr>
        <w:tc>
          <w:tcPr>
            <w:tcW w:type="dxa" w:w="2434"/>
            <w:tcMar>
              <w:top w:type="dxa" w:w="80"/>
              <w:left w:type="dxa" w:w="100"/>
              <w:bottom w:type="dxa" w:w="80"/>
              <w:right w:type="dxa" w:w="100"/>
            </w:tcMar>
          </w:tcPr>
          <w:p>
            <w:pPr>
              <w:jc w:val="left"/>
            </w:pPr>
            <w:r>
              <w:rPr>
                <w:b w:val="false"/>
                <w:bCs w:val="false"/>
                <w:sz w:val="20"/>
                <w:szCs w:val="20"/>
              </w:rPr>
              <w:t xml:space="preserve">Notification bell is decorative</w:t>
            </w:r>
          </w:p>
        </w:tc>
        <w:tc>
          <w:tcPr>
            <w:tcW w:type="dxa" w:w="1872"/>
            <w:tcMar>
              <w:top w:type="dxa" w:w="80"/>
              <w:left w:type="dxa" w:w="100"/>
              <w:bottom w:type="dxa" w:w="80"/>
              <w:right w:type="dxa" w:w="100"/>
            </w:tcMar>
          </w:tcPr>
          <w:p>
            <w:pPr>
              <w:jc w:val="left"/>
            </w:pPr>
            <w:r>
              <w:rPr>
                <w:b w:val="false"/>
                <w:bCs w:val="false"/>
                <w:sz w:val="20"/>
                <w:szCs w:val="20"/>
              </w:rPr>
              <w:t xml:space="preserve">Navbar.jsx</w:t>
            </w:r>
          </w:p>
        </w:tc>
        <w:tc>
          <w:tcPr>
            <w:tcW w:type="dxa" w:w="3182"/>
            <w:tcMar>
              <w:top w:type="dxa" w:w="80"/>
              <w:left w:type="dxa" w:w="100"/>
              <w:bottom w:type="dxa" w:w="80"/>
              <w:right w:type="dxa" w:w="100"/>
            </w:tcMar>
          </w:tcPr>
          <w:p>
            <w:pPr>
              <w:jc w:val="left"/>
            </w:pPr>
            <w:r>
              <w:rPr>
                <w:b w:val="false"/>
                <w:bCs w:val="false"/>
                <w:sz w:val="20"/>
                <w:szCs w:val="20"/>
              </w:rPr>
              <w:t xml:space="preserve">The bell always shows a red "unread" dot and does nothing when clicked — reads as a bug to anyone who tries it</w:t>
            </w:r>
          </w:p>
        </w:tc>
        <w:tc>
          <w:tcPr>
            <w:tcW w:type="dxa" w:w="1872"/>
            <w:tcMar>
              <w:top w:type="dxa" w:w="80"/>
              <w:left w:type="dxa" w:w="100"/>
              <w:bottom w:type="dxa" w:w="80"/>
              <w:right w:type="dxa" w:w="100"/>
            </w:tcMar>
          </w:tcPr>
          <w:p>
            <w:pPr>
              <w:jc w:val="left"/>
            </w:pPr>
            <w:r>
              <w:rPr>
                <w:b w:val="false"/>
                <w:bCs w:val="false"/>
                <w:sz w:val="20"/>
                <w:szCs w:val="20"/>
              </w:rPr>
              <w:t xml:space="preserve">Wire it to real events (new pending approval, rejection, etc.) or remove it for now</w:t>
            </w:r>
          </w:p>
        </w:tc>
      </w:tr>
      <w:tr>
        <w:tc>
          <w:tcPr>
            <w:tcW w:type="dxa" w:w="2434"/>
            <w:shd w:fill="F3F4F6" w:val="clear"/>
            <w:tcMar>
              <w:top w:type="dxa" w:w="80"/>
              <w:left w:type="dxa" w:w="100"/>
              <w:bottom w:type="dxa" w:w="80"/>
              <w:right w:type="dxa" w:w="100"/>
            </w:tcMar>
          </w:tcPr>
          <w:p>
            <w:pPr>
              <w:jc w:val="left"/>
            </w:pPr>
            <w:r>
              <w:rPr>
                <w:b w:val="false"/>
                <w:bCs w:val="false"/>
                <w:sz w:val="20"/>
                <w:szCs w:val="20"/>
              </w:rPr>
              <w:t xml:space="preserve">No edit or delete for Meetings</w:t>
            </w:r>
          </w:p>
        </w:tc>
        <w:tc>
          <w:tcPr>
            <w:tcW w:type="dxa" w:w="1872"/>
            <w:shd w:fill="F3F4F6" w:val="clear"/>
            <w:tcMar>
              <w:top w:type="dxa" w:w="80"/>
              <w:left w:type="dxa" w:w="100"/>
              <w:bottom w:type="dxa" w:w="80"/>
              <w:right w:type="dxa" w:w="100"/>
            </w:tcMar>
          </w:tcPr>
          <w:p>
            <w:pPr>
              <w:jc w:val="left"/>
            </w:pPr>
            <w:r>
              <w:rPr>
                <w:b w:val="false"/>
                <w:bCs w:val="false"/>
                <w:sz w:val="20"/>
                <w:szCs w:val="20"/>
              </w:rPr>
              <w:t xml:space="preserve">MeetingMinutes.jsx</w:t>
            </w:r>
          </w:p>
        </w:tc>
        <w:tc>
          <w:tcPr>
            <w:tcW w:type="dxa" w:w="3182"/>
            <w:shd w:fill="F3F4F6" w:val="clear"/>
            <w:tcMar>
              <w:top w:type="dxa" w:w="80"/>
              <w:left w:type="dxa" w:w="100"/>
              <w:bottom w:type="dxa" w:w="80"/>
              <w:right w:type="dxa" w:w="100"/>
            </w:tcMar>
          </w:tcPr>
          <w:p>
            <w:pPr>
              <w:jc w:val="left"/>
            </w:pPr>
            <w:r>
              <w:rPr>
                <w:b w:val="false"/>
                <w:bCs w:val="false"/>
                <w:sz w:val="20"/>
                <w:szCs w:val="20"/>
              </w:rPr>
              <w:t xml:space="preserve">Once minutes are saved there is no way to correct a typo or remove a duplicate from inside the app</w:t>
            </w:r>
          </w:p>
        </w:tc>
        <w:tc>
          <w:tcPr>
            <w:tcW w:type="dxa" w:w="1872"/>
            <w:shd w:fill="F3F4F6" w:val="clear"/>
            <w:tcMar>
              <w:top w:type="dxa" w:w="80"/>
              <w:left w:type="dxa" w:w="100"/>
              <w:bottom w:type="dxa" w:w="80"/>
              <w:right w:type="dxa" w:w="100"/>
            </w:tcMar>
          </w:tcPr>
          <w:p>
            <w:pPr>
              <w:jc w:val="left"/>
            </w:pPr>
            <w:r>
              <w:rPr>
                <w:b w:val="false"/>
                <w:bCs w:val="false"/>
                <w:sz w:val="20"/>
                <w:szCs w:val="20"/>
              </w:rPr>
              <w:t xml:space="preserve">Add edit and delete actions, matching the pattern already used for FCRs/Itineraries</w:t>
            </w:r>
          </w:p>
        </w:tc>
      </w:tr>
      <w:tr>
        <w:tc>
          <w:tcPr>
            <w:tcW w:type="dxa" w:w="2434"/>
            <w:tcMar>
              <w:top w:type="dxa" w:w="80"/>
              <w:left w:type="dxa" w:w="100"/>
              <w:bottom w:type="dxa" w:w="80"/>
              <w:right w:type="dxa" w:w="100"/>
            </w:tcMar>
          </w:tcPr>
          <w:p>
            <w:pPr>
              <w:jc w:val="left"/>
            </w:pPr>
            <w:r>
              <w:rPr>
                <w:b w:val="false"/>
                <w:bCs w:val="false"/>
                <w:sz w:val="20"/>
                <w:szCs w:val="20"/>
              </w:rPr>
              <w:t xml:space="preserve">"AI Recommended Approach" isn’t AI</w:t>
            </w:r>
          </w:p>
        </w:tc>
        <w:tc>
          <w:tcPr>
            <w:tcW w:type="dxa" w:w="1872"/>
            <w:tcMar>
              <w:top w:type="dxa" w:w="80"/>
              <w:left w:type="dxa" w:w="100"/>
              <w:bottom w:type="dxa" w:w="80"/>
              <w:right w:type="dxa" w:w="100"/>
            </w:tcMar>
          </w:tcPr>
          <w:p>
            <w:pPr>
              <w:jc w:val="left"/>
            </w:pPr>
            <w:r>
              <w:rPr>
                <w:b w:val="false"/>
                <w:bCs w:val="false"/>
                <w:sz w:val="20"/>
                <w:szCs w:val="20"/>
              </w:rPr>
              <w:t xml:space="preserve">AccountForm.jsx, generateRecommendation()</w:t>
            </w:r>
          </w:p>
        </w:tc>
        <w:tc>
          <w:tcPr>
            <w:tcW w:type="dxa" w:w="3182"/>
            <w:tcMar>
              <w:top w:type="dxa" w:w="80"/>
              <w:left w:type="dxa" w:w="100"/>
              <w:bottom w:type="dxa" w:w="80"/>
              <w:right w:type="dxa" w:w="100"/>
            </w:tcMar>
          </w:tcPr>
          <w:p>
            <w:pPr>
              <w:jc w:val="left"/>
            </w:pPr>
            <w:r>
              <w:rPr>
                <w:b w:val="false"/>
                <w:bCs w:val="false"/>
                <w:sz w:val="20"/>
                <w:szCs w:val="20"/>
              </w:rPr>
              <w:t xml:space="preserve">The button picks a random sentence from a hardcoded list per industry — not a real recommendation engine. Not a bug exactly, but the label oversells it and could produce a bland/repeated suggestion for two very different companies in the same industry</w:t>
            </w:r>
          </w:p>
        </w:tc>
        <w:tc>
          <w:tcPr>
            <w:tcW w:type="dxa" w:w="1872"/>
            <w:tcMar>
              <w:top w:type="dxa" w:w="80"/>
              <w:left w:type="dxa" w:w="100"/>
              <w:bottom w:type="dxa" w:w="80"/>
              <w:right w:type="dxa" w:w="100"/>
            </w:tcMar>
          </w:tcPr>
          <w:p>
            <w:pPr>
              <w:jc w:val="left"/>
            </w:pPr>
            <w:r>
              <w:rPr>
                <w:b w:val="false"/>
                <w:bCs w:val="false"/>
                <w:sz w:val="20"/>
                <w:szCs w:val="20"/>
              </w:rPr>
              <w:t xml:space="preserve">Either relabel it honestly ("Suggested talking points") or replace it with a real model call using the account’s actual notes/pain points</w:t>
            </w:r>
          </w:p>
        </w:tc>
      </w:tr>
    </w:tbl>
    <w:p>
      <w:pPr>
        <w:pStyle w:val="Heading1"/>
        <w:spacing w:after="200" w:before="400"/>
      </w:pPr>
      <w:r>
        <w:t xml:space="preserve">3. Data Model &amp; Security Notes</w:t>
      </w:r>
    </w:p>
    <w:p>
      <w:pPr>
        <w:pStyle w:val="Heading2"/>
        <w:spacing w:after="150" w:before="300"/>
      </w:pPr>
      <w:r>
        <w:t xml:space="preserve">3.1 Accounts are private to whoever created them</w:t>
      </w:r>
    </w:p>
    <w:p>
      <w:pPr>
        <w:spacing w:after="160" w:line="276"/>
      </w:pPr>
      <w:r>
        <w:t xml:space="preserve">The accounts table’s row-level security only lets a user see accounts they personally created (created_by = auth.uid()). In practice that means if a Sales Engineer and a BD Engineer both deal with "Skyline Consulting Engineers," they will end up with two separate, mutually invisible Account records instead of one shared customer file. For a small team that’s meant to be coordinating coverage of the same customers, this is worth revisiting — a shared, team-visible account book (still write-protected so only the owner or a manager can edit it) would remove duplicate data entry and let anyone pull up a customer’s full history.</w:t>
      </w:r>
    </w:p>
    <w:p>
      <w:pPr>
        <w:pStyle w:val="Heading2"/>
        <w:spacing w:after="150" w:before="300"/>
      </w:pPr>
      <w:r>
        <w:t xml:space="preserve">3.2 FCRs are no longer tied to a canonical account</w:t>
      </w:r>
    </w:p>
    <w:p>
      <w:pPr>
        <w:spacing w:after="160" w:line="276"/>
      </w:pPr>
      <w:r>
        <w:t xml:space="preserve">Before the redesign, an FCR pointed at a specific accounts row. Now the official-format FCR captures customer_info as free text on every submission, and account_id is optional and mostly unused. That was the right call to match the paper form quickly, but it means two FCRs about the same customer, submitted a month apart, have no structural link to each other — there’s no way to open a customer and see "every visit we’ve ever logged with them." Section 6 below (the Pipeline integration) leans on fixing this, because a trustworthy link to Pipeline needs a trustworthy, de-duplicated account on this side first.</w:t>
      </w:r>
    </w:p>
    <w:p>
      <w:pPr>
        <w:pStyle w:val="Heading2"/>
        <w:spacing w:after="150" w:before="300"/>
      </w:pPr>
      <w:r>
        <w:t xml:space="preserve">3.3 Approver visibility is role-wide, not manager-specific</w:t>
      </w:r>
    </w:p>
    <w:p>
      <w:pPr>
        <w:spacing w:after="160" w:line="276"/>
      </w:pPr>
      <w:r>
        <w:t xml:space="preserve">An NSM can see and approve every Sales Engineer’s FCRs and itineraries, not just direct reports — fine at the current team size, worth a second look if the team structure grows more layers.</w:t>
      </w:r>
    </w:p>
    <w:p>
      <w:pPr>
        <w:pStyle w:val="Heading2"/>
        <w:spacing w:after="150" w:before="300"/>
      </w:pPr>
      <w:r>
        <w:t xml:space="preserve">3.4 No duplicate-detection on company names</w:t>
      </w:r>
    </w:p>
    <w:p>
      <w:pPr>
        <w:spacing w:after="160" w:line="276"/>
      </w:pPr>
      <w:r>
        <w:t xml:space="preserve">Nothing stops "Skyline Consulting Engineers" and "Skyline Consulting Eng." from being saved as two different accounts by two different reps. A simple case-insensitive check on save (with a "did you mean an existing account?" prompt) would catch most of this early.</w:t>
      </w:r>
    </w:p>
    <w:p>
      <w:pPr>
        <w:pStyle w:val="Heading1"/>
        <w:spacing w:after="200" w:before="400"/>
      </w:pPr>
      <w:r>
        <w:t xml:space="preserve">4. Workflow &amp; UX Improvements</w:t>
      </w:r>
    </w:p>
    <w:p>
      <w:pPr>
        <w:spacing w:after="80" w:before="200"/>
      </w:pPr>
      <w:r>
        <w:rPr>
          <w:b/>
          <w:bCs/>
          <w:color w:val="2563EB"/>
          <w:spacing w:val="12"/>
          <w:sz w:val="18"/>
          <w:szCs w:val="18"/>
        </w:rPr>
        <w:t xml:space="preserve">ACCOUNT VISIBILITY</w:t>
      </w:r>
    </w:p>
    <w:p>
      <w:pPr>
        <w:pStyle w:val="ListParagraph"/>
        <w:numPr>
          <w:ilvl w:val="0"/>
          <w:numId w:val="1"/>
        </w:numPr>
        <w:spacing w:after="100" w:line="276"/>
      </w:pPr>
      <w:r>
        <w:t xml:space="preserve">Add a proper Account detail (read-only profile) view that shows the company’s info plus, in one place, every FCR, meeting, and itinerary visit logged against it — currently the only account view is the edit form.</w:t>
      </w:r>
    </w:p>
    <w:p>
      <w:pPr>
        <w:pStyle w:val="ListParagraph"/>
        <w:numPr>
          <w:ilvl w:val="0"/>
          <w:numId w:val="1"/>
        </w:numPr>
        <w:spacing w:after="100" w:line="276"/>
      </w:pPr>
      <w:r>
        <w:t xml:space="preserve">Once accounts are shared team-wide (3.1), this becomes the natural home for the Pipeline project-inquiry list described in Section 6.</w:t>
      </w:r>
    </w:p>
    <w:p>
      <w:pPr>
        <w:spacing w:after="80" w:before="200"/>
      </w:pPr>
      <w:r>
        <w:rPr>
          <w:b/>
          <w:bCs/>
          <w:color w:val="2563EB"/>
          <w:spacing w:val="12"/>
          <w:sz w:val="18"/>
          <w:szCs w:val="18"/>
        </w:rPr>
        <w:t xml:space="preserve">SEARCH &amp; SCALE</w:t>
      </w:r>
    </w:p>
    <w:p>
      <w:pPr>
        <w:pStyle w:val="ListParagraph"/>
        <w:numPr>
          <w:ilvl w:val="0"/>
          <w:numId w:val="1"/>
        </w:numPr>
        <w:spacing w:after="100" w:line="276"/>
      </w:pPr>
      <w:r>
        <w:t xml:space="preserve">Meeting Minutes has no search or filter bar, unlike Accounts, FCRs, and Itineraries — it will get unwieldy fast once the team logs more than a handful of meetings.</w:t>
      </w:r>
    </w:p>
    <w:p>
      <w:pPr>
        <w:pStyle w:val="ListParagraph"/>
        <w:numPr>
          <w:ilvl w:val="0"/>
          <w:numId w:val="1"/>
        </w:numPr>
        <w:spacing w:after="100" w:line="276"/>
      </w:pPr>
      <w:r>
        <w:t xml:space="preserve">A single search box across accounts, FCRs, and meetings ("find everything about Skyline") will matter once the Pipeline app’s scale (745 rows already) is any indication of where this data is headed.</w:t>
      </w:r>
    </w:p>
    <w:p>
      <w:pPr>
        <w:pStyle w:val="ListParagraph"/>
        <w:numPr>
          <w:ilvl w:val="0"/>
          <w:numId w:val="1"/>
        </w:numPr>
        <w:spacing w:after="100" w:line="276"/>
      </w:pPr>
      <w:r>
        <w:t xml:space="preserve">None of the list pages paginate — every FCR/meeting/account is fetched at once. Fine today; add pagination once any list regularly exceeds ~100 rows.</w:t>
      </w:r>
    </w:p>
    <w:p>
      <w:pPr>
        <w:spacing w:after="80" w:before="200"/>
      </w:pPr>
      <w:r>
        <w:rPr>
          <w:b/>
          <w:bCs/>
          <w:color w:val="2563EB"/>
          <w:spacing w:val="12"/>
          <w:sz w:val="18"/>
          <w:szCs w:val="18"/>
        </w:rPr>
        <w:t xml:space="preserve">FOLLOW-THROUGH ON DATA ALREADY CAPTURED</w:t>
      </w:r>
    </w:p>
    <w:p>
      <w:pPr>
        <w:pStyle w:val="ListParagraph"/>
        <w:numPr>
          <w:ilvl w:val="0"/>
          <w:numId w:val="1"/>
        </w:numPr>
        <w:spacing w:after="100" w:line="276"/>
      </w:pPr>
      <w:r>
        <w:t xml:space="preserve">FCRs capture a follow_up_date and Meetings capture a next_meeting_date, but nothing in the app surfaces them again — they’re write-only today. A "Follow-ups due this week" widget on the Dashboard would put that data to work.</w:t>
      </w:r>
    </w:p>
    <w:p>
      <w:pPr>
        <w:pStyle w:val="ListParagraph"/>
        <w:numPr>
          <w:ilvl w:val="0"/>
          <w:numId w:val="1"/>
        </w:numPr>
        <w:spacing w:after="100" w:line="276"/>
      </w:pPr>
      <w:r>
        <w:t xml:space="preserve">An approved Itinerary visit could auto-create a draft FCR pre-filled with the account and date, since the rep is about to make that exact visit anyway — removes a full round of re-typing.</w:t>
      </w:r>
    </w:p>
    <w:p>
      <w:pPr>
        <w:spacing w:after="80" w:before="200"/>
      </w:pPr>
      <w:r>
        <w:rPr>
          <w:b/>
          <w:bCs/>
          <w:color w:val="2563EB"/>
          <w:spacing w:val="12"/>
          <w:sz w:val="18"/>
          <w:szCs w:val="18"/>
        </w:rPr>
        <w:t xml:space="preserve">OUTPUT &amp; SHARING</w:t>
      </w:r>
    </w:p>
    <w:p>
      <w:pPr>
        <w:pStyle w:val="ListParagraph"/>
        <w:numPr>
          <w:ilvl w:val="0"/>
          <w:numId w:val="1"/>
        </w:numPr>
        <w:spacing w:after="100" w:line="276"/>
      </w:pPr>
      <w:r>
        <w:t xml:space="preserve">Add a "Export as PDF" action on a completed FCR — since the whole point of the redesign was to match the official paper form, a printable/emailable PDF is the natural next step for filing or sending to a customer.</w:t>
      </w:r>
    </w:p>
    <w:p>
      <w:pPr>
        <w:pStyle w:val="ListParagraph"/>
        <w:numPr>
          <w:ilvl w:val="0"/>
          <w:numId w:val="1"/>
        </w:numPr>
        <w:spacing w:after="100" w:line="276"/>
      </w:pPr>
      <w:r>
        <w:t xml:space="preserve">Meeting Minutes currently supports copy-to-clipboard and .txt download only; an "Email to attendees" action would match how minutes are actually distributed in most organizations.</w:t>
      </w:r>
    </w:p>
    <w:p>
      <w:pPr>
        <w:spacing w:after="80" w:before="200"/>
      </w:pPr>
      <w:r>
        <w:rPr>
          <w:b/>
          <w:bCs/>
          <w:color w:val="2563EB"/>
          <w:spacing w:val="12"/>
          <w:sz w:val="18"/>
          <w:szCs w:val="18"/>
        </w:rPr>
        <w:t xml:space="preserve">LEADERSHIP VIEW</w:t>
      </w:r>
    </w:p>
    <w:p>
      <w:pPr>
        <w:pStyle w:val="ListParagraph"/>
        <w:numPr>
          <w:ilvl w:val="0"/>
          <w:numId w:val="1"/>
        </w:numPr>
        <w:spacing w:after="100" w:line="276"/>
      </w:pPr>
      <w:r>
        <w:t xml:space="preserve">NSM and Commercial AC Head currently see the same Dashboard stat cards as individual reps. Leadership roles would get more value from team-wide aggregates — total pipeline value, win rate, overdue follow-ups across the team — which pairs naturally with the Pipeline integration in Section 6.</w:t>
      </w:r>
    </w:p>
    <w:p>
      <w:r>
        <w:br w:type="page"/>
      </w:r>
    </w:p>
    <w:p>
      <w:pPr>
        <w:pStyle w:val="Heading1"/>
        <w:spacing w:after="200" w:before="400"/>
      </w:pPr>
      <w:r>
        <w:t xml:space="preserve">5. Connecting MBT Project Pipeline to MBT Sales Operations</w:t>
      </w:r>
    </w:p>
    <w:p>
      <w:pPr>
        <w:spacing w:after="160" w:line="276"/>
      </w:pPr>
      <w:r>
        <w:t xml:space="preserve">This is the part that needs the most care, because the two apps are genuinely separate systems: separate Supabase projects, separate databases, separate logins. There is no built-in way for one to query the other — anything that shows Pipeline data inside the Sales app has to be deliberately built and kept secure. Below is what the data actually looks like, why a "just query the other database" shortcut doesn’t work safely, and the approach recommended for actually building this.</w:t>
      </w:r>
    </w:p>
    <w:p>
      <w:pPr>
        <w:pStyle w:val="Heading2"/>
        <w:spacing w:after="150" w:before="300"/>
      </w:pPr>
      <w:r>
        <w:t xml:space="preserve">5.1 What "the account" means in Pipeline today</w:t>
      </w:r>
    </w:p>
    <w:p>
      <w:pPr>
        <w:spacing w:after="160" w:line="276"/>
      </w:pPr>
      <w:r>
        <w:t xml:space="preserve">The Pipeline app’s projects table (745 rows and growing) has no single "account" or "customer" field. Depending on how a deal came in, the counterparty name lives in one of several different free-text columns:</w:t>
      </w:r>
    </w:p>
    <w:p>
      <w:pPr>
        <w:pStyle w:val="ListParagraph"/>
        <w:numPr>
          <w:ilvl w:val="0"/>
          <w:numId w:val="1"/>
        </w:numPr>
        <w:spacing w:after="100" w:line="276"/>
      </w:pPr>
      <w:r>
        <w:t xml:space="preserve">dealer — for distributor/dealer-sourced Sales Engineer deals (the most commonly filled field in practice)</w:t>
      </w:r>
    </w:p>
    <w:p>
      <w:pPr>
        <w:pStyle w:val="ListParagraph"/>
        <w:numPr>
          <w:ilvl w:val="0"/>
          <w:numId w:val="1"/>
        </w:numPr>
        <w:spacing w:after="100" w:line="276"/>
      </w:pPr>
      <w:r>
        <w:t xml:space="preserve">enduser, developer, or gc (general contractor) — for direct-to-owner or construction-driven deals</w:t>
      </w:r>
    </w:p>
    <w:p>
      <w:pPr>
        <w:pStyle w:val="ListParagraph"/>
        <w:numPr>
          <w:ilvl w:val="0"/>
          <w:numId w:val="1"/>
        </w:numPr>
        <w:spacing w:after="100" w:line="276"/>
      </w:pPr>
      <w:r>
        <w:t xml:space="preserve">consultant, consultant_account, or consultancy_firm — for spec-in / consultant-driven deals (this is the case most relevant to the BD Engineer FCR just tested, which centers on MEP consultants)</w:t>
      </w:r>
    </w:p>
    <w:p>
      <w:pPr>
        <w:pStyle w:val="ListParagraph"/>
        <w:numPr>
          <w:ilvl w:val="0"/>
          <w:numId w:val="1"/>
        </w:numPr>
        <w:spacing w:after="100" w:line="276"/>
      </w:pPr>
      <w:r>
        <w:t xml:space="preserve">contractor_company, dist_name, or endorse_company — for contractor- or distributor-endorsed deals</w:t>
      </w:r>
    </w:p>
    <w:p>
      <w:pPr>
        <w:spacing w:after="160" w:line="276"/>
      </w:pPr>
      <w:r>
        <w:t xml:space="preserve">In the sample data pulled while researching this, most SE-sourced rows only had dealer filled in, with the other eight fields blank — confirming this really is scattered by deal type, not a data-entry oversight. Practically, this means a project inquiry can’t be matched to a Sales-app Account by a single reliable key. Automatic name-matching (fuzzy string matching across nine columns) risks silently attaching the wrong project to the wrong account, or missing real matches because of spelling differences ("Skyline Consulting" vs. "Skyline Consulting Engineers"). For that reason, the recommendation below treats matching as something a person confirms once per account, not something the system guesses.</w:t>
      </w:r>
    </w:p>
    <w:p>
      <w:pPr>
        <w:pStyle w:val="Heading2"/>
        <w:spacing w:after="150" w:before="300"/>
      </w:pPr>
      <w:r>
        <w:t xml:space="preserve">5.2 Why a direct "query the other database" shortcut is unsafe here</w:t>
      </w:r>
    </w:p>
    <w:p>
      <w:pPr>
        <w:spacing w:after="160" w:line="276"/>
      </w:pPr>
      <w:r>
        <w:t xml:space="preserve">Both apps could technically embed the other project’s public API key and query it directly from the browser. This is worth ruling out explicitly rather than skipping past, because it’s the first thing that looks simplest: Pipeline’s projects table already has row-level security that only allows access to logged-in Pipeline users with a matching role (NSM/Head/PM/Director see everything; an SE or BD person only sees their own deals). A Sales-app user isn’t logged into Pipeline at all, so that security would either block the request entirely (safe but useless) or, if loosened to make it work, would expose commercially sensitive figures — project totals, discounts, win/loss reasons — to anyone who opens the Sales app’s public GitHub Pages site and inspects its network traffic, logged in or not, since GitHub Pages has no server in front of it to hide a key. This isn’t a theoretical risk for this specific setup; it’s the direct consequence of one app being a public static site and the other holding pricing data behind a login.</w:t>
      </w:r>
    </w:p>
    <w:p>
      <w:pPr>
        <w:pStyle w:val="Heading2"/>
        <w:spacing w:after="150" w:before="300"/>
      </w:pPr>
      <w:r>
        <w:t xml:space="preserve">5.3 Recommended approach</w:t>
      </w:r>
    </w:p>
    <w:p>
      <w:pPr>
        <w:spacing w:after="160" w:line="276"/>
      </w:pPr>
      <w:r>
        <w:rPr>
          <w:b/>
          <w:bCs/>
        </w:rPr>
        <w:t xml:space="preserve">A small server-side "bridge" function in the Pipeline project, feeding a local, per-account cache table in the Sales app, with a person confirming the account match once.</w:t>
      </w:r>
    </w:p>
    <w:p>
      <w:pPr>
        <w:spacing w:after="160" w:line="276"/>
      </w:pPr>
      <w:r>
        <w:t xml:space="preserve">Concretely, in three pieces:</w:t>
      </w:r>
    </w:p>
    <w:p>
      <w:pPr>
        <w:pStyle w:val="ListParagraph"/>
        <w:numPr>
          <w:ilvl w:val="0"/>
          <w:numId w:val="1"/>
        </w:numPr>
        <w:spacing w:after="100" w:line="276"/>
      </w:pPr>
      <w:r>
        <w:t xml:space="preserve">Pipeline side: one Supabase Edge Function that runs with elevated (service-role) access on the server — never sent to any browser — and searches the nine counterparty fields for a given company name, returning only the fields relevant to a field conversation: project name, date, status, brand(s), delivery stage, whether it’s in forecast, and the assigned SE/BD person. Pricing figures (total, discount) can be included or held back — worth a quick decision from you on whether reps below NSM level should see deal values.</w:t>
      </w:r>
    </w:p>
    <w:p>
      <w:pPr>
        <w:pStyle w:val="ListParagraph"/>
        <w:numPr>
          <w:ilvl w:val="0"/>
          <w:numId w:val="1"/>
        </w:numPr>
        <w:spacing w:after="100" w:line="276"/>
      </w:pPr>
      <w:r>
        <w:t xml:space="preserve">Sales app side: a small accounts_pipeline_links table (account_id, pipeline_project_id, linked_by, linked_at) and a "Search Pipeline projects" box on the Account detail page (see 4, "Account visibility") where a rep searches by company name, reviews the candidates, and confirms which ones belong to that account. This is the one place a human resolves the "which of the nine fields is the match" ambiguity from 5.1 — once linked, it stays linked.</w:t>
      </w:r>
    </w:p>
    <w:p>
      <w:pPr>
        <w:pStyle w:val="ListParagraph"/>
        <w:numPr>
          <w:ilvl w:val="0"/>
          <w:numId w:val="1"/>
        </w:numPr>
        <w:spacing w:after="100" w:line="276"/>
      </w:pPr>
      <w:r>
        <w:t xml:space="preserve">Once linked, those project inquiries surface wherever they’re useful for discussion: on the Account detail page, and as a "Related Pipeline Projects" panel available when starting a new FCR or Meeting Minutes for that account — with an "Import into Project Opportunities" button on the FCR form, since Pipeline’s name / total / status / SE-or-BD-person already map almost one-to-one onto the FCR’s existing Project Opportunities table.</w:t>
      </w:r>
    </w:p>
    <w:p>
      <w:pPr>
        <w:spacing w:after="160" w:line="276"/>
      </w:pPr>
      <w:r>
        <w:t xml:space="preserve">This keeps every Pipeline credential and every pricing figure server-side, gives you one deliberate decision point per account instead of a fuzzy auto-match that could be wrong, and reuses a table shape (Project Opportunities) already built and tested in the FCR form.</w:t>
      </w:r>
    </w:p>
    <w:p>
      <w:pPr>
        <w:pStyle w:val="Heading2"/>
        <w:spacing w:after="150" w:before="300"/>
      </w:pPr>
      <w:r>
        <w:t xml:space="preserve">5.4 Alternative considered: a live cross-database link</w:t>
      </w:r>
    </w:p>
    <w:p>
      <w:pPr>
        <w:spacing w:after="160" w:line="276"/>
      </w:pPr>
      <w:r>
        <w:t xml:space="preserve">Postgres supports directly linking two databases (a "foreign data wrapper"), which would avoid the caching step above and always show live Pipeline data. It’s the more powerful option, but it comes with two practical downsides for this setup: it requires a direct, persistent database connection between the two Supabase projects, which needs verifying against both projects’ free-tier connection limits before relying on it, and it still needs the same access-control and account-matching decisions as 5.3 layered on top — it removes the caching step but not the harder design questions. Worth revisiting later if the cached approach proves too slow to refresh, but not the starting point.</w:t>
      </w:r>
    </w:p>
    <w:p>
      <w:pPr>
        <w:pStyle w:val="Heading2"/>
        <w:spacing w:after="150" w:before="300"/>
      </w:pPr>
      <w:r>
        <w:t xml:space="preserve">5.5 What this would take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246"/>
        <w:gridCol w:w="4306"/>
      </w:tblGrid>
      <w:tr>
        <w:trPr>
          <w:tblHeader/>
        </w:trPr>
        <w:tc>
          <w:tcPr>
            <w:tcW w:type="dxa" w:w="2808"/>
            <w:shd w:fill="1F2937" w:val="clear"/>
            <w:tcMar>
              <w:top w:type="dxa" w:w="80"/>
              <w:left w:type="dxa" w:w="100"/>
              <w:bottom w:type="dxa" w:w="80"/>
              <w:right w:type="dxa" w:w="100"/>
            </w:tcMar>
          </w:tcPr>
          <w:p>
            <w:pPr>
              <w:jc w:val="left"/>
            </w:pPr>
            <w:r>
              <w:rPr>
                <w:b/>
                <w:bCs/>
                <w:color w:val="FFFFFF"/>
                <w:sz w:val="20"/>
                <w:szCs w:val="20"/>
              </w:rPr>
              <w:t xml:space="preserve">Piece</w:t>
            </w:r>
          </w:p>
        </w:tc>
        <w:tc>
          <w:tcPr>
            <w:tcW w:type="dxa" w:w="2246"/>
            <w:shd w:fill="1F2937" w:val="clear"/>
            <w:tcMar>
              <w:top w:type="dxa" w:w="80"/>
              <w:left w:type="dxa" w:w="100"/>
              <w:bottom w:type="dxa" w:w="80"/>
              <w:right w:type="dxa" w:w="100"/>
            </w:tcMar>
          </w:tcPr>
          <w:p>
            <w:pPr>
              <w:jc w:val="left"/>
            </w:pPr>
            <w:r>
              <w:rPr>
                <w:b/>
                <w:bCs/>
                <w:color w:val="FFFFFF"/>
                <w:sz w:val="20"/>
                <w:szCs w:val="20"/>
              </w:rPr>
              <w:t xml:space="preserve">Lives in</w:t>
            </w:r>
          </w:p>
        </w:tc>
        <w:tc>
          <w:tcPr>
            <w:tcW w:type="dxa" w:w="4306"/>
            <w:shd w:fill="1F2937" w:val="clear"/>
            <w:tcMar>
              <w:top w:type="dxa" w:w="80"/>
              <w:left w:type="dxa" w:w="100"/>
              <w:bottom w:type="dxa" w:w="80"/>
              <w:right w:type="dxa" w:w="100"/>
            </w:tcMar>
          </w:tcPr>
          <w:p>
            <w:pPr>
              <w:jc w:val="left"/>
            </w:pPr>
            <w:r>
              <w:rPr>
                <w:b/>
                <w:bCs/>
                <w:color w:val="FFFFFF"/>
                <w:sz w:val="20"/>
                <w:szCs w:val="20"/>
              </w:rPr>
              <w:t xml:space="preserve">Type of work</w:t>
            </w:r>
          </w:p>
        </w:tc>
      </w:tr>
      <w:tr>
        <w:tc>
          <w:tcPr>
            <w:tcW w:type="dxa" w:w="2808"/>
            <w:tcMar>
              <w:top w:type="dxa" w:w="80"/>
              <w:left w:type="dxa" w:w="100"/>
              <w:bottom w:type="dxa" w:w="80"/>
              <w:right w:type="dxa" w:w="100"/>
            </w:tcMar>
          </w:tcPr>
          <w:p>
            <w:pPr>
              <w:jc w:val="left"/>
            </w:pPr>
            <w:r>
              <w:rPr>
                <w:b w:val="false"/>
                <w:bCs w:val="false"/>
                <w:sz w:val="20"/>
                <w:szCs w:val="20"/>
              </w:rPr>
              <w:t xml:space="preserve">Search/match Edge Function</w:t>
            </w:r>
          </w:p>
        </w:tc>
        <w:tc>
          <w:tcPr>
            <w:tcW w:type="dxa" w:w="2246"/>
            <w:tcMar>
              <w:top w:type="dxa" w:w="80"/>
              <w:left w:type="dxa" w:w="100"/>
              <w:bottom w:type="dxa" w:w="80"/>
              <w:right w:type="dxa" w:w="100"/>
            </w:tcMar>
          </w:tcPr>
          <w:p>
            <w:pPr>
              <w:jc w:val="left"/>
            </w:pPr>
            <w:r>
              <w:rPr>
                <w:b w:val="false"/>
                <w:bCs w:val="false"/>
                <w:sz w:val="20"/>
                <w:szCs w:val="20"/>
              </w:rPr>
              <w:t xml:space="preserve">Pipeline project</w:t>
            </w:r>
          </w:p>
        </w:tc>
        <w:tc>
          <w:tcPr>
            <w:tcW w:type="dxa" w:w="4306"/>
            <w:tcMar>
              <w:top w:type="dxa" w:w="80"/>
              <w:left w:type="dxa" w:w="100"/>
              <w:bottom w:type="dxa" w:w="80"/>
              <w:right w:type="dxa" w:w="100"/>
            </w:tcMar>
          </w:tcPr>
          <w:p>
            <w:pPr>
              <w:jc w:val="left"/>
            </w:pPr>
            <w:r>
              <w:rPr>
                <w:b w:val="false"/>
                <w:bCs w:val="false"/>
                <w:sz w:val="20"/>
                <w:szCs w:val="20"/>
              </w:rPr>
              <w:t xml:space="preserve">New — one Edge Function, no changes to existing Pipeline tables or screens</w:t>
            </w:r>
          </w:p>
        </w:tc>
      </w:tr>
      <w:tr>
        <w:tc>
          <w:tcPr>
            <w:tcW w:type="dxa" w:w="2808"/>
            <w:shd w:fill="F3F4F6" w:val="clear"/>
            <w:tcMar>
              <w:top w:type="dxa" w:w="80"/>
              <w:left w:type="dxa" w:w="100"/>
              <w:bottom w:type="dxa" w:w="80"/>
              <w:right w:type="dxa" w:w="100"/>
            </w:tcMar>
          </w:tcPr>
          <w:p>
            <w:pPr>
              <w:jc w:val="left"/>
            </w:pPr>
            <w:r>
              <w:rPr>
                <w:b w:val="false"/>
                <w:bCs w:val="false"/>
                <w:sz w:val="20"/>
                <w:szCs w:val="20"/>
              </w:rPr>
              <w:t xml:space="preserve">accounts_pipeline_links table</w:t>
            </w:r>
          </w:p>
        </w:tc>
        <w:tc>
          <w:tcPr>
            <w:tcW w:type="dxa" w:w="2246"/>
            <w:shd w:fill="F3F4F6" w:val="clear"/>
            <w:tcMar>
              <w:top w:type="dxa" w:w="80"/>
              <w:left w:type="dxa" w:w="100"/>
              <w:bottom w:type="dxa" w:w="80"/>
              <w:right w:type="dxa" w:w="100"/>
            </w:tcMar>
          </w:tcPr>
          <w:p>
            <w:pPr>
              <w:jc w:val="left"/>
            </w:pPr>
            <w:r>
              <w:rPr>
                <w:b w:val="false"/>
                <w:bCs w:val="false"/>
                <w:sz w:val="20"/>
                <w:szCs w:val="20"/>
              </w:rPr>
              <w:t xml:space="preserve">Sales app database</w:t>
            </w:r>
          </w:p>
        </w:tc>
        <w:tc>
          <w:tcPr>
            <w:tcW w:type="dxa" w:w="4306"/>
            <w:shd w:fill="F3F4F6" w:val="clear"/>
            <w:tcMar>
              <w:top w:type="dxa" w:w="80"/>
              <w:left w:type="dxa" w:w="100"/>
              <w:bottom w:type="dxa" w:w="80"/>
              <w:right w:type="dxa" w:w="100"/>
            </w:tcMar>
          </w:tcPr>
          <w:p>
            <w:pPr>
              <w:jc w:val="left"/>
            </w:pPr>
            <w:r>
              <w:rPr>
                <w:b w:val="false"/>
                <w:bCs w:val="false"/>
                <w:sz w:val="20"/>
                <w:szCs w:val="20"/>
              </w:rPr>
              <w:t xml:space="preserve">New table + migration</w:t>
            </w:r>
          </w:p>
        </w:tc>
      </w:tr>
      <w:tr>
        <w:tc>
          <w:tcPr>
            <w:tcW w:type="dxa" w:w="2808"/>
            <w:tcMar>
              <w:top w:type="dxa" w:w="80"/>
              <w:left w:type="dxa" w:w="100"/>
              <w:bottom w:type="dxa" w:w="80"/>
              <w:right w:type="dxa" w:w="100"/>
            </w:tcMar>
          </w:tcPr>
          <w:p>
            <w:pPr>
              <w:jc w:val="left"/>
            </w:pPr>
            <w:r>
              <w:rPr>
                <w:b w:val="false"/>
                <w:bCs w:val="false"/>
                <w:sz w:val="20"/>
                <w:szCs w:val="20"/>
              </w:rPr>
              <w:t xml:space="preserve">"Search Pipeline projects" UI on Account page</w:t>
            </w:r>
          </w:p>
        </w:tc>
        <w:tc>
          <w:tcPr>
            <w:tcW w:type="dxa" w:w="2246"/>
            <w:tcMar>
              <w:top w:type="dxa" w:w="80"/>
              <w:left w:type="dxa" w:w="100"/>
              <w:bottom w:type="dxa" w:w="80"/>
              <w:right w:type="dxa" w:w="100"/>
            </w:tcMar>
          </w:tcPr>
          <w:p>
            <w:pPr>
              <w:jc w:val="left"/>
            </w:pPr>
            <w:r>
              <w:rPr>
                <w:b w:val="false"/>
                <w:bCs w:val="false"/>
                <w:sz w:val="20"/>
                <w:szCs w:val="20"/>
              </w:rPr>
              <w:t xml:space="preserve">Sales app frontend</w:t>
            </w:r>
          </w:p>
        </w:tc>
        <w:tc>
          <w:tcPr>
            <w:tcW w:type="dxa" w:w="4306"/>
            <w:tcMar>
              <w:top w:type="dxa" w:w="80"/>
              <w:left w:type="dxa" w:w="100"/>
              <w:bottom w:type="dxa" w:w="80"/>
              <w:right w:type="dxa" w:w="100"/>
            </w:tcMar>
          </w:tcPr>
          <w:p>
            <w:pPr>
              <w:jc w:val="left"/>
            </w:pPr>
            <w:r>
              <w:rPr>
                <w:b w:val="false"/>
                <w:bCs w:val="false"/>
                <w:sz w:val="20"/>
                <w:szCs w:val="20"/>
              </w:rPr>
              <w:t xml:space="preserve">New — pairs with the Account detail page recommended in Section 4</w:t>
            </w:r>
          </w:p>
        </w:tc>
      </w:tr>
      <w:tr>
        <w:tc>
          <w:tcPr>
            <w:tcW w:type="dxa" w:w="2808"/>
            <w:shd w:fill="F3F4F6" w:val="clear"/>
            <w:tcMar>
              <w:top w:type="dxa" w:w="80"/>
              <w:left w:type="dxa" w:w="100"/>
              <w:bottom w:type="dxa" w:w="80"/>
              <w:right w:type="dxa" w:w="100"/>
            </w:tcMar>
          </w:tcPr>
          <w:p>
            <w:pPr>
              <w:jc w:val="left"/>
            </w:pPr>
            <w:r>
              <w:rPr>
                <w:b w:val="false"/>
                <w:bCs w:val="false"/>
                <w:sz w:val="20"/>
                <w:szCs w:val="20"/>
              </w:rPr>
              <w:t xml:space="preserve">"Related Pipeline Projects" panel + import button</w:t>
            </w:r>
          </w:p>
        </w:tc>
        <w:tc>
          <w:tcPr>
            <w:tcW w:type="dxa" w:w="2246"/>
            <w:shd w:fill="F3F4F6" w:val="clear"/>
            <w:tcMar>
              <w:top w:type="dxa" w:w="80"/>
              <w:left w:type="dxa" w:w="100"/>
              <w:bottom w:type="dxa" w:w="80"/>
              <w:right w:type="dxa" w:w="100"/>
            </w:tcMar>
          </w:tcPr>
          <w:p>
            <w:pPr>
              <w:jc w:val="left"/>
            </w:pPr>
            <w:r>
              <w:rPr>
                <w:b w:val="false"/>
                <w:bCs w:val="false"/>
                <w:sz w:val="20"/>
                <w:szCs w:val="20"/>
              </w:rPr>
              <w:t xml:space="preserve">FCR / Meeting forms</w:t>
            </w:r>
          </w:p>
        </w:tc>
        <w:tc>
          <w:tcPr>
            <w:tcW w:type="dxa" w:w="4306"/>
            <w:shd w:fill="F3F4F6" w:val="clear"/>
            <w:tcMar>
              <w:top w:type="dxa" w:w="80"/>
              <w:left w:type="dxa" w:w="100"/>
              <w:bottom w:type="dxa" w:w="80"/>
              <w:right w:type="dxa" w:w="100"/>
            </w:tcMar>
          </w:tcPr>
          <w:p>
            <w:pPr>
              <w:jc w:val="left"/>
            </w:pPr>
            <w:r>
              <w:rPr>
                <w:b w:val="false"/>
                <w:bCs w:val="false"/>
                <w:sz w:val="20"/>
                <w:szCs w:val="20"/>
              </w:rPr>
              <w:t xml:space="preserve">New, reuses existing Project Opportunities table component</w:t>
            </w:r>
          </w:p>
        </w:tc>
      </w:tr>
      <w:tr>
        <w:tc>
          <w:tcPr>
            <w:tcW w:type="dxa" w:w="2808"/>
            <w:tcMar>
              <w:top w:type="dxa" w:w="80"/>
              <w:left w:type="dxa" w:w="100"/>
              <w:bottom w:type="dxa" w:w="80"/>
              <w:right w:type="dxa" w:w="100"/>
            </w:tcMar>
          </w:tcPr>
          <w:p>
            <w:pPr>
              <w:jc w:val="left"/>
            </w:pPr>
            <w:r>
              <w:rPr>
                <w:b w:val="false"/>
                <w:bCs w:val="false"/>
                <w:sz w:val="20"/>
                <w:szCs w:val="20"/>
              </w:rPr>
              <w:t xml:space="preserve">Decision needed from you</w:t>
            </w:r>
          </w:p>
        </w:tc>
        <w:tc>
          <w:tcPr>
            <w:tcW w:type="dxa" w:w="2246"/>
            <w:tcMar>
              <w:top w:type="dxa" w:w="80"/>
              <w:left w:type="dxa" w:w="100"/>
              <w:bottom w:type="dxa" w:w="80"/>
              <w:right w:type="dxa" w:w="100"/>
            </w:tcMar>
          </w:tcPr>
          <w:p>
            <w:pPr>
              <w:jc w:val="left"/>
            </w:pPr>
            <w:r>
              <w:rPr>
                <w:b w:val="false"/>
                <w:bCs w:val="false"/>
                <w:sz w:val="20"/>
                <w:szCs w:val="20"/>
              </w:rPr>
              <w:t xml:space="preserve">—</w:t>
            </w:r>
          </w:p>
        </w:tc>
        <w:tc>
          <w:tcPr>
            <w:tcW w:type="dxa" w:w="4306"/>
            <w:tcMar>
              <w:top w:type="dxa" w:w="80"/>
              <w:left w:type="dxa" w:w="100"/>
              <w:bottom w:type="dxa" w:w="80"/>
              <w:right w:type="dxa" w:w="100"/>
            </w:tcMar>
          </w:tcPr>
          <w:p>
            <w:pPr>
              <w:jc w:val="left"/>
            </w:pPr>
            <w:r>
              <w:rPr>
                <w:b w:val="false"/>
                <w:bCs w:val="false"/>
                <w:sz w:val="20"/>
                <w:szCs w:val="20"/>
              </w:rPr>
              <w:t xml:space="preserve">Whether deal values (total/discount) are visible to all roles or NSM+ only, and which counterparty fields count as "the account" per deal type</w:t>
            </w:r>
          </w:p>
        </w:tc>
      </w:tr>
    </w:tbl>
    <w:p>
      <w:pPr>
        <w:pStyle w:val="Heading1"/>
        <w:spacing w:after="200" w:before="400"/>
      </w:pPr>
      <w:r>
        <w:t xml:space="preserve">6. Suggested Order of Work</w:t>
      </w:r>
    </w:p>
    <w:p>
      <w:pPr>
        <w:spacing w:after="160" w:line="276"/>
      </w:pPr>
      <w:r>
        <w:t xml:space="preserve">Roughly in the order that gives the most value for the least risk:</w:t>
      </w:r>
    </w:p>
    <w:p>
      <w:pPr>
        <w:pStyle w:val="ListParagraph"/>
        <w:numPr>
          <w:ilvl w:val="0"/>
          <w:numId w:val="1"/>
        </w:numPr>
        <w:spacing w:after="100" w:line="276"/>
      </w:pPr>
      <w:r>
        <w:t xml:space="preserve">Fix the two Dashboard/navigation bugs in Section 2 — quick, low-risk, immediately visible.</w:t>
      </w:r>
    </w:p>
    <w:p>
      <w:pPr>
        <w:pStyle w:val="ListParagraph"/>
        <w:numPr>
          <w:ilvl w:val="0"/>
          <w:numId w:val="1"/>
        </w:numPr>
        <w:spacing w:after="100" w:line="276"/>
      </w:pPr>
      <w:r>
        <w:t xml:space="preserve">Make Accounts shared across the team and give FCRs/Meetings a real link back to one canonical account (3.1 / 3.2) — this is the foundation the Pipeline integration depends on, so it’s worth doing before, not during, that project.</w:t>
      </w:r>
    </w:p>
    <w:p>
      <w:pPr>
        <w:pStyle w:val="ListParagraph"/>
        <w:numPr>
          <w:ilvl w:val="0"/>
          <w:numId w:val="1"/>
        </w:numPr>
        <w:spacing w:after="100" w:line="276"/>
      </w:pPr>
      <w:r>
        <w:t xml:space="preserve">Build the Account detail page (Section 4) — immediately useful on its own, and the natural home for everything that follows.</w:t>
      </w:r>
    </w:p>
    <w:p>
      <w:pPr>
        <w:pStyle w:val="ListParagraph"/>
        <w:numPr>
          <w:ilvl w:val="0"/>
          <w:numId w:val="1"/>
        </w:numPr>
        <w:spacing w:after="100" w:line="276"/>
      </w:pPr>
      <w:r>
        <w:t xml:space="preserve">Build the Pipeline bridge (Section 5) once the above is in place.</w:t>
      </w:r>
    </w:p>
    <w:p>
      <w:pPr>
        <w:pStyle w:val="ListParagraph"/>
        <w:numPr>
          <w:ilvl w:val="0"/>
          <w:numId w:val="1"/>
        </w:numPr>
        <w:spacing w:after="100" w:line="276"/>
      </w:pPr>
      <w:r>
        <w:t xml:space="preserve">Round out the smaller UX items (search on Meeting Minutes, follow-up reminders, PDF export) as time allows.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2026-07-25T08:38:42.678Z</dcterms:created>
  <dcterms:modified xsi:type="dcterms:W3CDTF">2026-07-25T08:38:42.679Z</dcterms:modified>
</cp:coreProperties>
</file>

<file path=docProps/custom.xml><?xml version="1.0" encoding="utf-8"?>
<Properties xmlns="http://schemas.openxmlformats.org/officeDocument/2006/custom-properties" xmlns:vt="http://schemas.openxmlformats.org/officeDocument/2006/docPropsVTypes"/>
</file>