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NGAME Churn Persistence Index (CPI) and Dollar-Weighted CPI (wCPI): Full Derivation</w:t>
      </w:r>
    </w:p>
    <w:p>
      <w:pPr>
        <w:pStyle w:val="Subtitle"/>
      </w:pPr>
      <w:r>
        <w:t xml:space="preserve">Per-transaction daily measures rolled up into composite CPI / wCPI and scored against a trained baseline</w:t>
      </w:r>
    </w:p>
    <w:p>
      <w:pPr>
        <w:pStyle w:val="Date"/>
      </w:pPr>
      <w:r>
        <w:t xml:space="preserve">June 26, 2026</w:t>
      </w:r>
    </w:p>
    <w:bookmarkStart w:id="20" w:name="ngame-cpi-wcpi-full-derivation"/>
    <w:p>
      <w:pPr>
        <w:pStyle w:val="Heading1"/>
      </w:pPr>
      <w:r>
        <w:t xml:space="preserve">NGAME CPI / wCPI — Full Derivation</w:t>
      </w:r>
    </w:p>
    <w:p>
      <w:pPr>
        <w:pStyle w:val="FirstParagraph"/>
      </w:pPr>
      <w:r>
        <w:t xml:space="preserve">This document gives the end-to-end computation for each transaction type’s daily</w:t>
      </w:r>
      <w:r>
        <w:t xml:space="preserve"> </w:t>
      </w:r>
      <w:r>
        <w:t xml:space="preserve">measures — the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baseline and the persistence index that replaced the misused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coefficient — rolled up into a composite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I</m:t>
        </m:r>
      </m:oMath>
      <w:r>
        <w:t xml:space="preserve"> </w:t>
      </w:r>
      <w:r>
        <w:t xml:space="preserve">and a</w:t>
      </w:r>
      <w:r>
        <w:t xml:space="preserve"> </w:t>
      </w:r>
      <w:r>
        <w:t xml:space="preserve">dollar-weighted</w:t>
      </w:r>
      <w:r>
        <w:t xml:space="preserve"> </w:t>
      </w:r>
      <m:oMath>
        <m:r>
          <m:rPr>
            <m:sty m:val="p"/>
          </m:rPr>
          <m:t>w</m:t>
        </m: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I</m:t>
        </m:r>
      </m:oMath>
      <w:r>
        <w:t xml:space="preserve">, then scored against the trained distribution.</w:t>
      </w:r>
      <w:r>
        <w:t xml:space="preserve"> </w:t>
      </w:r>
      <w:r>
        <w:t xml:space="preserve">NGAME tracks 17 transaction types plus Vendors (</w:t>
      </w:r>
      <m:oMath>
        <m:sSub>
          <m:e>
            <m:r>
              <m:t>φ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φ</m:t>
            </m:r>
          </m:e>
          <m:sub>
            <m:r>
              <m:t>18</m:t>
            </m:r>
          </m:sub>
        </m:sSub>
      </m:oMath>
      <w:r>
        <w:t xml:space="preserve">).</w:t>
      </w:r>
    </w:p>
    <w:bookmarkStart w:id="9" w:name="why-the-original-varphi-was-replaced"/>
    <w:p>
      <w:pPr>
        <w:pStyle w:val="Heading2"/>
      </w:pPr>
      <w:r>
        <w:t xml:space="preserve">Why the original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was replaced</w:t>
      </w:r>
    </w:p>
    <w:p>
      <w:pPr>
        <w:pStyle w:val="FirstParagraph"/>
      </w:pPr>
      <w:r>
        <w:t xml:space="preserve">The legacy metric used the Matthews /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correlation formula with the</w:t>
      </w:r>
      <w:r>
        <w:t xml:space="preserve"> </w:t>
      </w:r>
      <w:r>
        <w:t xml:space="preserve">contingency cell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hard-coded to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numerator reduces to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, so the output is confined to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— counterintuitive, not auditor-explainable, and impossible to</w:t>
      </w:r>
      <w:r>
        <w:t xml:space="preserve"> </w:t>
      </w:r>
      <w:r>
        <w:t xml:space="preserve">threshold without training variance: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rad>
            </m:den>
          </m:f>
          <m:r>
            <m:rPr>
              <m:sty m:val="p"/>
            </m:rPr>
            <m:t>≤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revision below restores a proper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persistence measure.</w:t>
      </w:r>
    </w:p>
    <w:p>
      <w:r>
        <w:pict>
          <v:rect style="width:0;height:1.5pt" o:hralign="center" o:hrstd="t" o:hr="t"/>
        </w:pict>
      </w:r>
    </w:p>
    <w:bookmarkEnd w:id="9"/>
    <w:bookmarkStart w:id="10" w:name="Xce80cfec424e9531e1260524877779e7d5fb4c3"/>
    <w:p>
      <w:pPr>
        <w:pStyle w:val="Heading2"/>
      </w:pPr>
      <w:r>
        <w:t xml:space="preserve">1. Daily set-up — the per-type contingency counts</w:t>
      </w:r>
    </w:p>
    <w:p>
      <w:pPr>
        <w:pStyle w:val="FirstParagraph"/>
      </w:pPr>
      <w:r>
        <w:t xml:space="preserve">For each transaction type</w:t>
      </w:r>
      <w:r>
        <w:t xml:space="preserve"> </w:t>
      </w:r>
      <m:oMath>
        <m:r>
          <m:t>k</m:t>
        </m:r>
      </m:oMath>
      <w:r>
        <w:t xml:space="preserve">, compare yesterday’s URI set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against today’s</w:t>
      </w:r>
      <w:r>
        <w:t xml:space="preserve"> </w:t>
      </w:r>
      <w:r>
        <w:t xml:space="preserve">URI set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Present in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snapshots (retained)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\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Yesterday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(removed)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\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(new additions)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Total unique transactions across both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Xf7981bae509841c4492c7d5066e5748c07b3193"/>
    <w:p>
      <w:pPr>
        <w:pStyle w:val="Heading2"/>
      </w:pPr>
      <w:r>
        <w:t xml:space="preserve">2. Daily per-type measures (the revised</w:t>
      </w:r>
      <w:r>
        <w:t xml:space="preserve"> </w:t>
      </w:r>
      <m:oMath>
        <m:r>
          <m:t>φ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I</m:t>
        </m:r>
      </m:oMath>
      <w:r>
        <w:t xml:space="preserve">)</w:t>
      </w:r>
    </w:p>
    <w:p>
      <w:pPr>
        <w:pStyle w:val="FirstParagraph"/>
      </w:pPr>
      <w:r>
        <w:t xml:space="preserve">The Churn Persistence Index is the</w:t>
      </w:r>
      <w:r>
        <w:t xml:space="preserve"> </w:t>
      </w:r>
      <w:r>
        <w:rPr>
          <w:b/>
          <w:bCs/>
        </w:rPr>
        <w:t xml:space="preserve">Jaccard similarity</w:t>
      </w:r>
      <w:r>
        <w:t xml:space="preserve"> </w:t>
      </w:r>
      <w:r>
        <w:t xml:space="preserve">of the two</w:t>
      </w:r>
      <w:r>
        <w:t xml:space="preserve"> </w:t>
      </w:r>
      <w:r>
        <w:t xml:space="preserve">populations, with two directional companions that conserve 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I</m:t>
                  </m:r>
                </m:e>
                <m:sub>
                  <m:r>
                    <m:t>k</m:t>
                  </m:r>
                </m:sub>
              </m:sSub>
              <m:r>
                <m:t> </m:t>
              </m:r>
              <m:r>
                <m:rPr>
                  <m:sty m:val="p"/>
                </m:rPr>
                <m:t>=</m:t>
              </m:r>
              <m:r>
                <m:t> 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t> </m:t>
              </m:r>
              <m:r>
                <m:rPr>
                  <m:sty m:val="p"/>
                </m:rPr>
                <m:t>=</m:t>
              </m:r>
              <m:r>
                <m:t> 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t> 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(no transactions of type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either snapshot), then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I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by convention (</w:t>
      </w:r>
      <w:r>
        <w:t xml:space="preserve">“absence is stable”</w:t>
      </w:r>
      <w:r>
        <w:t xml:space="preserve">).</w:t>
      </w:r>
    </w:p>
    <w:p>
      <w:pPr>
        <w:pStyle w:val="BodyText"/>
      </w:pPr>
      <w:r>
        <w:t xml:space="preserve">The triplet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I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characterises the day’s dynamics for type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no information loss. A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CPI (high churn) is the primary fraud concern; a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AdditionRate flags bulk</w:t>
      </w:r>
      <w:r>
        <w:t xml:space="preserve"> </w:t>
      </w:r>
      <w:r>
        <w:t xml:space="preserve">insertion; a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DeletionRate flags retroactive deletion.</w:t>
      </w:r>
    </w:p>
    <w:bookmarkStart w:id="11" w:name="worked-example-single-day-cpi"/>
    <w:p>
      <w:pPr>
        <w:pStyle w:val="Heading3"/>
      </w:pPr>
      <w:r>
        <w:t xml:space="preserve">Worked example — single-day CPI</w:t>
      </w:r>
    </w:p>
    <w:p>
      <w:pPr>
        <w:pStyle w:val="FirstParagraph"/>
      </w:pPr>
      <w:r>
        <w:rPr>
          <w:b/>
          <w:bCs/>
        </w:rPr>
        <w:t xml:space="preserve">Customers (</w:t>
      </w:r>
      <m:oMath>
        <m:sSub>
          <m:e>
            <m:r>
              <m:t>φ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): one vendor added.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Before: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,</m:t>
          </m:r>
          <m:r>
            <m:t> 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sty m:val="p"/>
            </m:rPr>
            <m:t>C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50</m:t>
              </m:r>
            </m:num>
            <m:den>
              <m:r>
                <m:t>50</m:t>
              </m:r>
            </m:den>
          </m:f>
          <m:r>
            <m:rPr>
              <m:sty m:val="p"/>
            </m:rPr>
            <m:t>=</m:t>
          </m:r>
          <m:r>
            <m:t>1.000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After: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,</m:t>
          </m:r>
          <m:r>
            <m:t> 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sty m:val="p"/>
            </m:rPr>
            <m:t>C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50</m:t>
              </m:r>
            </m:num>
            <m:den>
              <m:r>
                <m:t>51</m:t>
              </m:r>
            </m:den>
          </m:f>
          <m:r>
            <m:rPr>
              <m:sty m:val="p"/>
            </m:rPr>
            <m:t>=</m:t>
          </m:r>
          <m:r>
            <m:t>0.980</m:t>
          </m:r>
        </m:oMath>
      </m:oMathPara>
    </w:p>
    <w:p>
      <w:pPr>
        <w:pStyle w:val="FirstParagraph"/>
      </w:pPr>
      <w:r>
        <w:t xml:space="preserve">One added URI is a small move; a bulk insert (e.g. 10 vendors in a day) drives</w:t>
      </w:r>
      <w:r>
        <w:t xml:space="preserve"> </w:t>
      </w:r>
      <w:r>
        <w:t xml:space="preserve">CPI down sharply and lifts the AdditionRate</w:t>
      </w:r>
      <w:r>
        <w:t xml:space="preserve"> </w:t>
      </w:r>
      <m:oMath>
        <m:r>
          <m:t>z</m:t>
        </m:r>
      </m:oMath>
      <w:r>
        <w:t xml:space="preserve">-score.</w:t>
      </w:r>
    </w:p>
    <w:p>
      <w:pPr>
        <w:pStyle w:val="BodyText"/>
      </w:pPr>
      <w:r>
        <w:rPr>
          <w:b/>
          <w:bCs/>
        </w:rPr>
        <w:t xml:space="preserve">Partial churn (illustrative),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2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0.400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l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2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0.400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A</m:t>
          </m:r>
          <m:r>
            <m:rPr>
              <m:sty m:val="p"/>
            </m:rPr>
            <m:t>d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0.200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rPr>
            <m:sty m:val="p"/>
          </m:rPr>
          <m:t>D</m:t>
        </m:r>
        <m:r>
          <m:rPr>
            <m:sty m:val="p"/>
          </m:rPr>
          <m:t>e</m:t>
        </m:r>
        <m:r>
          <m:rPr>
            <m:sty m:val="p"/>
          </m:rPr>
          <m:t>l</m:t>
        </m:r>
        <m:r>
          <m:rPr>
            <m:sty m:val="p"/>
          </m:rPr>
          <m:t>e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1.000</m:t>
        </m:r>
      </m:oMath>
      <w:r>
        <w:t xml:space="preserve">,</w:t>
      </w:r>
      <w:r>
        <w:t xml:space="preserve"> </w:t>
      </w:r>
      <w:r>
        <w:t xml:space="preserve">confirming the conservation identity.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dollar-weighted-cpi-wcpi"/>
    <w:p>
      <w:pPr>
        <w:pStyle w:val="Heading2"/>
      </w:pPr>
      <w:r>
        <w:t xml:space="preserve">3. Dollar-weighted CPI (wCPI)</w:t>
      </w:r>
    </w:p>
    <w:p>
      <w:pPr>
        <w:pStyle w:val="FirstParagraph"/>
      </w:pPr>
      <w:r>
        <w:t xml:space="preserve">Unweighted CPI treats a $50 expense identically to a $500{,}000 wire. The</w:t>
      </w:r>
      <w:r>
        <w:t xml:space="preserve"> </w:t>
      </w:r>
      <w:r>
        <w:t xml:space="preserve">weighted form keeps the Jaccard structure but replaces set cardinality with the</w:t>
      </w:r>
      <w:r>
        <w:t xml:space="preserve"> </w:t>
      </w:r>
      <w:r>
        <w:t xml:space="preserve">sum of transaction amounts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(taken from</w:t>
      </w:r>
      <w:r>
        <w:t xml:space="preserve"> </w:t>
      </w:r>
      <w:r>
        <w:rPr>
          <w:rStyle w:val="VerbatimChar"/>
        </w:rPr>
        <w:t xml:space="preserve">qb:hasTotalAmount</w:t>
      </w:r>
      <w:r>
        <w:t xml:space="preserve">; entity-type</w:t>
      </w:r>
      <w:r>
        <w:t xml:space="preserve"> </w:t>
      </w:r>
      <w:r>
        <w:t xml:space="preserve">records with no dollar amount default to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$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</m:e>
            <m:sub>
              <m:r>
                <m:t>k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t> </m:t>
                  </m:r>
                  <m:r>
                    <m:rPr>
                      <m:sty m:val="p"/>
                    </m:rPr>
                    <m:t>∈</m:t>
                  </m:r>
                  <m:r>
                    <m:t> 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∩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t> </m:t>
                  </m:r>
                  <m:r>
                    <m:rPr>
                      <m:sty m:val="p"/>
                    </m:rPr>
                    <m:t>∈</m:t>
                  </m:r>
                  <m:r>
                    <m:t> 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retained dollars</m:t>
              </m:r>
            </m:num>
            <m:den>
              <m:r>
                <m:rPr>
                  <m:nor/>
                  <m:sty m:val="p"/>
                </m:rPr>
                <m:t>total dollars in play</m:t>
              </m:r>
            </m:den>
          </m:f>
          <m:r>
            <m:rPr>
              <m:sty m:val="p"/>
            </m:rPr>
            <m:t>.</m:t>
          </m:r>
        </m:oMath>
      </m:oMathPara>
    </w:p>
    <w:bookmarkStart w:id="13" w:name="Xc474598fe0a2b30e2b31be28899728c7f4df304"/>
    <w:p>
      <w:pPr>
        <w:pStyle w:val="Heading3"/>
      </w:pPr>
      <w:r>
        <w:t xml:space="preserve">Worked example — the $50,000 expense hidden in a normal day (test W2)</w:t>
      </w:r>
    </w:p>
    <w:p>
      <w:pPr>
        <w:pStyle w:val="FirstParagraph"/>
      </w:pPr>
      <w:r>
        <w:t xml:space="preserve">Twenty transactions: 19 of $50 retained, plus one new $50{,}000 expense, 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19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Unweighted:</m:t>
          </m:r>
          <m:r>
            <m:t> </m:t>
          </m:r>
          <m:r>
            <m:rPr>
              <m:sty m:val="p"/>
            </m:rPr>
            <m:t>C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19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=</m:t>
          </m:r>
          <m:r>
            <m:t>0.9500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looks normal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Weighted:</m:t>
          </m:r>
          <m:r>
            <m:t> </m:t>
          </m:r>
          <m:r>
            <m:rPr>
              <m:nor/>
              <m:sty m:val="p"/>
            </m:rPr>
            <m:t>retained </m:t>
          </m:r>
          <m:r>
            <m:rPr>
              <m:sty m:val="p"/>
            </m:rPr>
            <m:t>$</m:t>
          </m:r>
          <m:r>
            <m:rPr>
              <m:sty m:val="p"/>
            </m:rPr>
            <m:t>=</m:t>
          </m:r>
          <m:r>
            <m:t>19</m:t>
          </m:r>
          <m:r>
            <m:rPr>
              <m:sty m:val="p"/>
            </m:rPr>
            <m:t>×</m:t>
          </m:r>
          <m:r>
            <m:rPr>
              <m:sty m:val="p"/>
            </m:rPr>
            <m:t>$</m:t>
          </m:r>
          <m:r>
            <m:t>50</m:t>
          </m:r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950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union </m:t>
          </m:r>
          <m:r>
            <m:rPr>
              <m:sty m:val="p"/>
            </m:rPr>
            <m:t>$</m:t>
          </m:r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950</m:t>
          </m:r>
          <m:r>
            <m:rPr>
              <m:sty m:val="p"/>
            </m:rPr>
            <m:t>+</m:t>
          </m:r>
          <m:r>
            <m:rPr>
              <m:sty m:val="p"/>
            </m:rPr>
            <m:t>$</m:t>
          </m:r>
          <m:r>
            <m:t>50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50</m:t>
          </m:r>
          <m:r>
            <m:rPr>
              <m:sty m:val="p"/>
            </m:rPr>
            <m:t>,</m:t>
          </m:r>
          <m:r>
            <m:t>950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w</m:t>
          </m:r>
          <m:r>
            <m:rPr>
              <m:sty m:val="p"/>
            </m:rPr>
            <m:t>C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950</m:t>
              </m:r>
            </m:num>
            <m:den>
              <m:r>
                <m:t>50</m:t>
              </m:r>
              <m:r>
                <m:rPr>
                  <m:sty m:val="p"/>
                </m:rPr>
                <m:t>,</m:t>
              </m:r>
              <m:r>
                <m:t>950</m:t>
              </m:r>
            </m:den>
          </m:f>
          <m:r>
            <m:rPr>
              <m:sty m:val="p"/>
            </m:rPr>
            <m:t>=</m:t>
          </m:r>
          <m:r>
            <m:t>0.0186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alarm fires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Divergence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p"/>
            </m:rPr>
            <m:t>C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−</m:t>
          </m:r>
          <m:r>
            <m:rPr>
              <m:sty m:val="p"/>
            </m:rPr>
            <m:t>w</m:t>
          </m:r>
          <m:r>
            <m:rPr>
              <m:sty m:val="p"/>
            </m:rPr>
            <m:t>C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0.9500</m:t>
          </m:r>
          <m:r>
            <m:rPr>
              <m:sty m:val="p"/>
            </m:rPr>
            <m:t>−</m:t>
          </m:r>
          <m:r>
            <m:t>0.0186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0.931</m:t>
          </m:r>
          <m:r>
            <m:t> </m:t>
          </m:r>
          <m:r>
            <m:rPr>
              <m:sty m:val="p"/>
            </m:rPr>
            <m:t>→</m:t>
          </m:r>
          <m:r>
            <m:t> </m:t>
          </m:r>
          <m:r>
            <m:rPr>
              <m:nor/>
              <m:sty m:val="b"/>
            </m:rPr>
            <m:t>HIGH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Unweighted CPI</w:t>
            </w:r>
          </w:p>
        </w:tc>
        <w:tc>
          <w:tcPr/>
          <w:p>
            <w:pPr>
              <w:pStyle w:val="Compact"/>
            </w:pPr>
            <m:oMath>
              <m:r>
                <m:t>0.9500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Looks completely normal (19 of 20 URIs retained)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Dollar-weighted wCPI</w:t>
            </w:r>
          </w:p>
        </w:tc>
        <w:tc>
          <w:tcPr/>
          <w:p>
            <w:pPr>
              <w:pStyle w:val="Compact"/>
            </w:pPr>
            <m:oMath>
              <m:r>
                <m:t>0.0186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Exposure is overwhelmingly new dollars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Divergence</w:t>
            </w:r>
          </w:p>
        </w:tc>
        <w:tc>
          <w:tcPr/>
          <w:p>
            <w:pPr>
              <w:pStyle w:val="Compact"/>
            </w:pPr>
            <m:oMath>
              <m:r>
                <m:t>0.931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</w:tbl>
    <w:p>
      <w:pPr>
        <w:pStyle w:val="BodyText"/>
      </w:pPr>
      <w:r>
        <w:t xml:space="preserve">Dollar-alarm thresholds on divergence:</w:t>
      </w:r>
      <w:r>
        <w:t xml:space="preserve"> </w:t>
      </w:r>
      <m:oMath>
        <m:r>
          <m:rPr>
            <m:sty m:val="p"/>
          </m:rPr>
          <m:t>&gt;</m:t>
        </m:r>
        <m:r>
          <m:t>0.30</m:t>
        </m:r>
        <m:r>
          <m:rPr>
            <m:sty m:val="p"/>
          </m:rPr>
          <m:t>=</m:t>
        </m:r>
      </m:oMath>
      <w:r>
        <w:t xml:space="preserve"> </w:t>
      </w:r>
      <w:r>
        <w:t xml:space="preserve">HIGH,</w:t>
      </w:r>
      <w:r>
        <w:t xml:space="preserve"> </w:t>
      </w:r>
      <m:oMath>
        <m:r>
          <m:rPr>
            <m:sty m:val="p"/>
          </m:rPr>
          <m:t>&gt;</m:t>
        </m:r>
        <m:r>
          <m:t>0.15</m:t>
        </m:r>
        <m:r>
          <m:rPr>
            <m:sty m:val="p"/>
          </m:rPr>
          <m:t>=</m:t>
        </m:r>
      </m:oMath>
      <w:r>
        <w:t xml:space="preserve"> </w:t>
      </w:r>
      <w:r>
        <w:t xml:space="preserve">MEDIUM. This is</w:t>
      </w:r>
      <w:r>
        <w:t xml:space="preserve"> </w:t>
      </w:r>
      <w:r>
        <w:t xml:space="preserve">the count-blind exposure the unweighted index cannot see.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97a8414c54c25d874f3ce45752cbacc4999ea9f"/>
    <w:p>
      <w:pPr>
        <w:pStyle w:val="Heading2"/>
      </w:pPr>
      <w:r>
        <w:t xml:space="preserve">4. The trained baseline — daily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per type</w:t>
      </w:r>
    </w:p>
    <w:p>
      <w:pPr>
        <w:pStyle w:val="FirstParagraph"/>
      </w:pPr>
      <w:r>
        <w:t xml:space="preserve">Over an</w:t>
      </w:r>
      <w:r>
        <w:t xml:space="preserve"> </w:t>
      </w:r>
      <m:oMath>
        <m:r>
          <m:t>N</m:t>
        </m:r>
      </m:oMath>
      <w:r>
        <w:t xml:space="preserve">-day training window, each type accumulates a distribution of daily</w:t>
      </w:r>
      <w:r>
        <w:t xml:space="preserve"> </w:t>
      </w:r>
      <w:r>
        <w:t xml:space="preserve">CPI values. The training matrix stores the mean and standard deviation. (The</w:t>
      </w:r>
      <w:r>
        <w:t xml:space="preserve"> </w:t>
      </w:r>
      <w:r>
        <w:t xml:space="preserve">original matrix stored only the mean — the</w:t>
      </w:r>
      <w:r>
        <w:t xml:space="preserve"> </w:t>
      </w:r>
      <w:r>
        <w:t xml:space="preserve">“Average Phi array”</w:t>
      </w:r>
      <w:r>
        <w:t xml:space="preserve">;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had to</w:t>
      </w:r>
      <w:r>
        <w:t xml:space="preserve"> </w:t>
      </w:r>
      <w:r>
        <w:t xml:space="preserve">be added.)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I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σ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Sup>
                            <m:e>
                              <m:r>
                                <m:rPr>
                                  <m:sty m:val="p"/>
                                </m:rPr>
                                <m:t>C</m:t>
                              </m:r>
                              <m:r>
                                <m:rPr>
                                  <m:sty m:val="p"/>
                                </m:rPr>
                                <m:t>P</m:t>
                              </m:r>
                              <m:r>
                                <m:rPr>
                                  <m:sty m:val="p"/>
                                </m:rPr>
                                <m:t>I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AdditionRate and DeletionRate carry their own baselines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d</m:t>
            </m:r>
          </m:sup>
        </m:sSubSup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k</m:t>
            </m:r>
          </m:sub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d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</m:sup>
        </m:sSubSup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k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</m:sup>
        </m:sSubSup>
        <m:r>
          <m:rPr>
            <m:sty m:val="p"/>
          </m:rPr>
          <m:t>)</m:t>
        </m:r>
      </m:oMath>
      <w:r>
        <w:t xml:space="preserve">. Optional day-of-week</w:t>
      </w:r>
      <w:r>
        <w:t xml:space="preserve"> </w:t>
      </w:r>
      <w:r>
        <w:t xml:space="preserve">stratification computes separate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per weekday (requires</w:t>
      </w:r>
      <w:r>
        <w:t xml:space="preserve"> </w:t>
      </w:r>
      <w:r>
        <w:t xml:space="preserve">roughly 60–90 training days for a stable</w:t>
      </w:r>
      <w:r>
        <w:t xml:space="preserve"> </w:t>
      </w:r>
      <m:oMath>
        <m:r>
          <m:t>σ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15"/>
    <w:bookmarkStart w:id="17" w:name="Xade8c7a3c78e99ab05f38d7d0db2844eeb7d98e"/>
    <w:p>
      <w:pPr>
        <w:pStyle w:val="Heading2"/>
      </w:pPr>
      <w:r>
        <w:t xml:space="preserve">5. Daily anomaly score —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against the trained distribution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I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nor/>
                      <m:sty m:val="p"/>
                    </m:rPr>
                    <m:t>today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Statistical meaning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z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2.0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Within 95% of training distribution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2.0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|</m:t>
              </m:r>
              <m:sSub>
                <m:e>
                  <m:r>
                    <m:t>z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3.0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Outside 95%, within 99.7%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z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t>3.0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Beyond</w:t>
            </w:r>
            <w:r>
              <w:t xml:space="preserve"> </w:t>
            </w:r>
            <m:oMath>
              <m:r>
                <m:t>3</m:t>
              </m:r>
              <m:r>
                <m:t>σ</m:t>
              </m:r>
            </m:oMath>
            <w:r>
              <w:t xml:space="preserve"> </w:t>
            </w:r>
            <w:r>
              <w:t xml:space="preserve">— rare under normal operations</w:t>
            </w:r>
          </w:p>
        </w:tc>
      </w:tr>
    </w:tbl>
    <w:bookmarkStart w:id="16" w:name="worked-example-chartofaccounts-z-score"/>
    <w:p>
      <w:pPr>
        <w:pStyle w:val="Heading3"/>
      </w:pPr>
      <w:r>
        <w:t xml:space="preserve">Worked example — ChartOfAccounts</w:t>
      </w:r>
      <w:r>
        <w:t xml:space="preserve"> </w:t>
      </w:r>
      <m:oMath>
        <m:r>
          <m:t>z</m:t>
        </m:r>
      </m:oMath>
      <w:r>
        <w:t xml:space="preserve">-score</w:t>
      </w:r>
    </w:p>
    <w:p>
      <w:pPr>
        <w:pStyle w:val="FirstParagraph"/>
      </w:pPr>
      <w:r>
        <w:t xml:space="preserve">With today’s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t>0.065</m:t>
        </m:r>
      </m:oMath>
      <w:r>
        <w:t xml:space="preserve"> </w:t>
      </w:r>
      <w:r>
        <w:t xml:space="preserve">against a trained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0.049</m:t>
        </m:r>
        <m:r>
          <m:rPr>
            <m:sty m:val="p"/>
          </m:rPr>
          <m:t>,</m:t>
        </m:r>
        <m:r>
          <m:t> </m:t>
        </m:r>
        <m:r>
          <m:t>σ</m:t>
        </m:r>
        <m:r>
          <m:rPr>
            <m:sty m:val="p"/>
          </m:rPr>
          <m:t>=</m:t>
        </m:r>
        <m:r>
          <m:t>0.004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0.065</m:t>
              </m:r>
              <m:r>
                <m:rPr>
                  <m:sty m:val="p"/>
                </m:rPr>
                <m:t>−</m:t>
              </m:r>
              <m:r>
                <m:t>0.049</m:t>
              </m:r>
            </m:num>
            <m:den>
              <m:r>
                <m:t>0.004</m:t>
              </m:r>
            </m:den>
          </m:f>
          <m:r>
            <m:rPr>
              <m:sty m:val="p"/>
            </m:rPr>
            <m:t>=</m:t>
          </m:r>
          <m:r>
            <m:t>4.0</m:t>
          </m:r>
          <m:r>
            <m:t> </m:t>
          </m:r>
          <m:r>
            <m:rPr>
              <m:sty m:val="p"/>
            </m:rPr>
            <m:t>→</m:t>
          </m:r>
          <m:r>
            <m:t> </m:t>
          </m:r>
          <m:r>
            <m:rPr>
              <m:nor/>
              <m:sty m:val="b"/>
            </m:rPr>
            <m:t>HIGH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tight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(0.004) makes even a small absolute move land</w:t>
      </w:r>
      <w:r>
        <w:t xml:space="preserve"> </w:t>
      </w:r>
      <m:oMath>
        <m:r>
          <m:t>4</m:t>
        </m:r>
        <m:r>
          <m:t>σ</m:t>
        </m:r>
      </m:oMath>
      <w:r>
        <w:t xml:space="preserve"> </w:t>
      </w:r>
      <w:r>
        <w:t xml:space="preserve">out. The</w:t>
      </w:r>
      <w:r>
        <w:t xml:space="preserve"> </w:t>
      </w:r>
      <w:r>
        <w:t xml:space="preserve">same calculation drives the live dashboard’s TOP ANOMALIES list (</w:t>
      </w:r>
      <m:oMath>
        <m:r>
          <m:t>z</m:t>
        </m:r>
      </m:oMath>
      <w:r>
        <w:t xml:space="preserve">, deviation</w:t>
      </w:r>
      <w:r>
        <w:t xml:space="preserve"> </w:t>
      </w:r>
      <w:r>
        <w:t xml:space="preserve">level, percent deviation).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fa92e9a73a7a4c21e3c8aa811f445173d27050d"/>
    <w:p>
      <w:pPr>
        <w:pStyle w:val="Heading2"/>
      </w:pPr>
      <w:r>
        <w:t xml:space="preserve">6. Composite roll-up — the multi-day sequence (SCPI / weighted SCPI)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“slow-burn”</w:t>
      </w:r>
      <w:r>
        <w:t xml:space="preserve"> </w:t>
      </w:r>
      <w:r>
        <w:t xml:space="preserve">attack spreads small daily moves that never trip a single-day</w:t>
      </w:r>
      <w:r>
        <w:t xml:space="preserve"> </w:t>
      </w:r>
      <w:r>
        <w:t xml:space="preserve">alarm. The sequence index is the</w:t>
      </w:r>
      <w:r>
        <w:t xml:space="preserve"> </w:t>
      </w:r>
      <w:r>
        <w:rPr>
          <w:b/>
          <w:bCs/>
        </w:rPr>
        <w:t xml:space="preserve">geometric mean</w:t>
      </w:r>
      <w:r>
        <w:t xml:space="preserve"> </w:t>
      </w:r>
      <w:r>
        <w:t xml:space="preserve">of the last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daily CPIs</w:t>
      </w:r>
      <w:r>
        <w:t xml:space="preserve"> </w:t>
      </w:r>
      <w:r>
        <w:t xml:space="preserve">(computed in log-space for numerical stability), scored with a</w:t>
      </w:r>
      <w:r>
        <w:t xml:space="preserve"> </w:t>
      </w:r>
      <m:oMath>
        <m:rad>
          <m:radPr>
            <m:degHide m:val="on"/>
          </m:radPr>
          <m:deg/>
          <m:e>
            <m:r>
              <m:t>L</m:t>
            </m:r>
          </m:e>
        </m:rad>
      </m:oMath>
      <w:r>
        <w:t xml:space="preserve">-tightened</w:t>
      </w:r>
      <w:r>
        <w:t xml:space="preserve"> </w:t>
      </w:r>
      <m:oMath>
        <m:r>
          <m:t>z</m:t>
        </m:r>
      </m:oMath>
      <w:r>
        <w:t xml:space="preserve">. The dollar path runs identically over the daily wCPI</w:t>
      </w:r>
      <w:r>
        <w:t xml:space="preserve"> </w:t>
      </w:r>
      <w:r>
        <w:t xml:space="preserve">buffer.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rPr>
                              <m:sty m:val="p"/>
                            </m:rPr>
                            <m:t>C</m:t>
                          </m:r>
                          <m:r>
                            <m:rPr>
                              <m:sty m:val="p"/>
                            </m:rPr>
                            <m:t>P</m:t>
                          </m:r>
                          <m:r>
                            <m:rPr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L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z</m:t>
              </m:r>
            </m:e>
            <m:sub>
              <m:r>
                <m:t>k</m:t>
              </m:r>
            </m:sub>
            <m:sup>
              <m:r>
                <m:rPr>
                  <m:nor/>
                  <m:sty m:val="p"/>
                </m:rPr>
                <m:t>seq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I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 the same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the training matrix — no schema change. The</w:t>
      </w:r>
      <w:r>
        <w:t xml:space="preserve"> </w:t>
      </w:r>
      <w:r>
        <w:t xml:space="preserve">weighted SCPI is the identical construction computed over the daily wCPI buffer.</w:t>
      </w:r>
    </w:p>
    <w:p>
      <w:pPr>
        <w:pStyle w:val="BodyText"/>
      </w:pPr>
      <w:r>
        <w:rPr>
          <w:b/>
          <w:bCs/>
        </w:rPr>
        <w:t xml:space="preserve">Slow-burn detection — the payoff.</w:t>
      </w:r>
      <w:r>
        <w:t xml:space="preserve"> </w:t>
      </w:r>
      <w:r>
        <w:t xml:space="preserve">A vendor type drifting at only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σ</m:t>
        </m:r>
        <m:r>
          <m:rPr>
            <m:sty m:val="p"/>
          </m:rPr>
          <m:t>/</m:t>
        </m:r>
        <m:r>
          <m:rPr>
            <m:nor/>
            <m:sty m:val="p"/>
          </m:rPr>
          <m:t>day</m:t>
        </m:r>
      </m:oMath>
      <w:r>
        <w:t xml:space="preserve"> </w:t>
      </w:r>
      <w:r>
        <w:t xml:space="preserve">(MEDIUM at most on any single day) scores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nor/>
                <m:sty m:val="p"/>
              </m:rPr>
              <m:t>seq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−</m:t>
        </m:r>
        <m:r>
          <m:t>4.47</m:t>
        </m:r>
      </m:oMath>
      <w:r>
        <w:t xml:space="preserve"> </w:t>
      </w:r>
      <w:r>
        <w:t xml:space="preserve">on day 5 — a HIGH alert the per-day detector would</w:t>
      </w:r>
      <w:r>
        <w:t xml:space="preserve"> </w:t>
      </w:r>
      <w:r>
        <w:t xml:space="preserve">never raise.</w:t>
      </w:r>
    </w:p>
    <w:p>
      <w:pPr>
        <w:pStyle w:val="BodyText"/>
      </w:pPr>
      <w:r>
        <w:t xml:space="preserve">Implementation: a rolling buffer persists 18-element daily CPI (and wCPI)</w:t>
      </w:r>
      <w:r>
        <w:t xml:space="preserve"> </w:t>
      </w:r>
      <w:r>
        <w:t xml:space="preserve">records;</w:t>
      </w:r>
      <w:r>
        <w:t xml:space="preserve"> </w:t>
      </w:r>
      <w:r>
        <w:rPr>
          <w:rStyle w:val="VerbatimChar"/>
        </w:rPr>
        <w:t xml:space="preserve">ngame_sequence_cpi_agent.py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ready=False</w:t>
      </w:r>
      <w:r>
        <w:t xml:space="preserve"> </w:t>
      </w:r>
      <w:r>
        <w:t xml:space="preserve">until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days</w:t>
      </w:r>
      <w:r>
        <w:t xml:space="preserve"> </w:t>
      </w:r>
      <w:r>
        <w:t xml:space="preserve">exist, so the existing single-day pipeline is unaffected until day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f75b557b175e2cc826ce6c747128a7e44132162"/>
    <w:p>
      <w:pPr>
        <w:pStyle w:val="Heading2"/>
      </w:pPr>
      <w:r>
        <w:t xml:space="preserve">7. The core code that produces the daily triplet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_calculate_phi_for_transaction_type</w:t>
      </w:r>
      <w:r>
        <w:t xml:space="preserve"> </w:t>
      </w:r>
      <w:r>
        <w:t xml:space="preserve">(renamed to CPI) in</w:t>
      </w:r>
      <w:r>
        <w:t xml:space="preserve"> </w:t>
      </w:r>
      <w:r>
        <w:rPr>
          <w:rStyle w:val="VerbatimChar"/>
        </w:rPr>
        <w:t xml:space="preserve">ngame_cpi_analysis_agent.py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(yesterday_uris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today_uris)   </w:t>
      </w:r>
      <w:r>
        <w:rPr>
          <w:rStyle w:val="CommentTok"/>
        </w:rPr>
        <w:t xml:space="preserve"># retained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(yesterday_uris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today_uris)   </w:t>
      </w:r>
      <w:r>
        <w:rPr>
          <w:rStyle w:val="CommentTok"/>
        </w:rPr>
        <w:t xml:space="preserve"># removed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(today_uris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yesterday_uris)   </w:t>
      </w:r>
      <w:r>
        <w:rPr>
          <w:rStyle w:val="CommentTok"/>
        </w:rPr>
        <w:t xml:space="preserve"># added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                          </w:t>
      </w:r>
      <w:r>
        <w:rPr>
          <w:rStyle w:val="CommentTok"/>
        </w:rPr>
        <w:t xml:space="preserve"># total unique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                           </w:t>
      </w:r>
      <w:r>
        <w:rPr>
          <w:rStyle w:val="CommentTok"/>
        </w:rPr>
        <w:t xml:space="preserve"># stable by convention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'cpi'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'addition_rate'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'deletion_rate'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'retained'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'added'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'removed'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'cpi'</w:t>
      </w:r>
      <w:r>
        <w:rPr>
          <w:rStyle w:val="NormalTok"/>
        </w:rPr>
        <w:t xml:space="preserve">:          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n,            </w:t>
      </w:r>
      <w:r>
        <w:rPr>
          <w:rStyle w:val="CommentTok"/>
        </w:rPr>
        <w:t xml:space="preserve"># Jaccard persistence score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'addition_rate'</w:t>
      </w:r>
      <w:r>
        <w:rPr>
          <w:rStyle w:val="NormalTok"/>
        </w:rPr>
        <w:t xml:space="preserve">: 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n,            </w:t>
      </w:r>
      <w:r>
        <w:rPr>
          <w:rStyle w:val="CommentTok"/>
        </w:rPr>
        <w:t xml:space="preserve"># fraction new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'deletion_rate'</w:t>
      </w:r>
      <w:r>
        <w:rPr>
          <w:rStyle w:val="NormalTok"/>
        </w:rPr>
        <w:t xml:space="preserve">: 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n,            </w:t>
      </w:r>
      <w:r>
        <w:rPr>
          <w:rStyle w:val="CommentTok"/>
        </w:rPr>
        <w:t xml:space="preserve"># fraction removed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'retained'</w:t>
      </w:r>
      <w:r>
        <w:rPr>
          <w:rStyle w:val="NormalTok"/>
        </w:rPr>
        <w:t xml:space="preserve">: a, </w:t>
      </w:r>
      <w:r>
        <w:rPr>
          <w:rStyle w:val="StringTok"/>
        </w:rPr>
        <w:t xml:space="preserve">'added'</w:t>
      </w:r>
      <w:r>
        <w:rPr>
          <w:rStyle w:val="NormalTok"/>
        </w:rPr>
        <w:t xml:space="preserve">: c, </w:t>
      </w:r>
      <w:r>
        <w:rPr>
          <w:rStyle w:val="StringTok"/>
        </w:rPr>
        <w:t xml:space="preserve">'removed'</w:t>
      </w:r>
      <w:r>
        <w:rPr>
          <w:rStyle w:val="NormalTok"/>
        </w:rPr>
        <w:t xml:space="preserve">: b,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Sources: chat 5f6dc7aa (PHI → CPI / wCPI derivation), chat 2eb9f286 (Training</w:t>
      </w:r>
      <w:r>
        <w:rPr>
          <w:i/>
          <w:iCs/>
        </w:rPr>
        <w:t xml:space="preserve"> </w:t>
      </w:r>
      <w:r>
        <w:rPr>
          <w:i/>
          <w:iCs/>
        </w:rPr>
        <w:t xml:space="preserve">Matrix</w:t>
      </w:r>
      <w:r>
        <w:rPr>
          <w:i/>
          <w:iCs/>
        </w:rPr>
        <w:t xml:space="preserve"> </w:t>
      </w:r>
      <m:oMath>
        <m:r>
          <m:t>μ</m:t>
        </m:r>
        <m:r>
          <m:rPr>
            <m:sty m:val="p"/>
          </m:rPr>
          <m:t>/</m:t>
        </m:r>
        <m:r>
          <m:t>σ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z-score), chat 9f2b1e90 (sequence SCPI composite). The W2</w:t>
      </w:r>
      <w:r>
        <w:rPr>
          <w:i/>
          <w:iCs/>
        </w:rPr>
        <w:t xml:space="preserve"> </w:t>
      </w:r>
      <w:r>
        <w:rPr>
          <w:i/>
          <w:iCs/>
        </w:rPr>
        <w:t xml:space="preserve">wCPI figures are the agent’s verified test output ($950 retained</w:t>
      </w:r>
      <w:r>
        <w:rPr>
          <w:i/>
          <w:iCs/>
        </w:rPr>
        <w:t xml:space="preserve"> </w:t>
      </w:r>
      <m:oMath>
        <m:r>
          <m:rPr>
            <m:sty m:val="p"/>
          </m:rPr>
          <m:t>÷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$50,950</w:t>
      </w:r>
      <w:r>
        <w:rPr>
          <w:i/>
          <w:iCs/>
        </w:rPr>
        <w:t xml:space="preserve"> </w:t>
      </w:r>
      <w:r>
        <w:rPr>
          <w:i/>
          <w:iCs/>
        </w:rPr>
        <w:t xml:space="preserve">union</w:t>
      </w:r>
      <w:r>
        <w:rPr>
          <w:i/>
          <w:iCs/>
        </w:rPr>
        <w:t xml:space="preserve"> </w:t>
      </w:r>
      <m:oMath>
        <m:r>
          <m:rPr>
            <m:sty m:val="p"/>
          </m:rPr>
          <m:t>=</m:t>
        </m:r>
        <m:r>
          <m:t>0.0186</m:t>
        </m:r>
      </m:oMath>
      <w:r>
        <w:rPr>
          <w:i/>
          <w:iCs/>
        </w:rPr>
        <w:t xml:space="preserve">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NGAME Churn Persistence Index (CPI) and Dollar-Weighted CPI (wCPI): Full Derivation</dc:title>
  <dc:creator/>
  <cp:keywords/>
  <dcterms:created xsi:type="dcterms:W3CDTF">2026-06-27T04:35:02Z</dcterms:created>
  <dcterms:modified xsi:type="dcterms:W3CDTF">2026-06-27T04:35:02Z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26, 2026</vt:lpwstr>
  </property>
  <property fmtid="{D5CDD505-2E9C-101B-9397-08002B2CF9AE}" pid="3" name="subtitle">
    <vt:lpwstr>Per-transaction daily measures rolled up into composite CPI / wCPI and scored against a trained baseline</vt:lpwstr>
  </property>
</Properties>
</file>