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fldSimple w:instr="TOC \o &quot;1-3&quot; \h \z \u">
        <w:r>
          <w:t>Actualizar la tabla de contenido en Word: clic derecho &gt; Actualizar campos.</w:t>
        </w:r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(triangulación):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desarrollar 2 spin-off desde los laboratorios de investigación y operacionalizar el Parque Tecnológico del Caribe (PTC), integrando el ecosistema de ciencia, tecnología e innovación de la región.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Pool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dos componentes transversales que acompañan todas las fases.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8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Difusión y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Seguimiento, indicadores y articulación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ruta, mide el impacto mediante indicadores y coordina la articulación permanente con las facultades a través de los docentes enlace. Garantiza la continuidad de los procesos —una de las debilidades identificadas— y alimenta la meta de sostenibilidad del PDI (≥ 3 %).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Hackathones y retos de innovación interdisciplinarios.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7 (sensibilización). Encuesta a estudiantes: 45 % solicita talleres de creatividad e innovación.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2. Complementa la sensibilización con captación efectiva.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Aporte de la tutora (herramienta de clasificación) y de los referentes; convergencia con la consulta interna.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pool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 (formación y asesoría). Encuesta: asesoría de modelo de negocio 62 %, educación financiera 50 %, marketing 49 %.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Pool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Ruta MAVI (branding, transformación digital). Encuesta: asesoría legal/tributaria 32 %, mentorías 29 %.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PDI: 2 spin-off, PTC, transferencia tecnológica. Encuesta: acceso a convocatorias y financiación 32 %.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Retos interdisciplinarios:</w:t>
      </w:r>
      <w:r>
        <w:rPr>
          <w:b w:val="0"/>
        </w:rPr>
        <w:t xml:space="preserve"> convocatorias que reúnan a estudiantes de distintas facultades alrededor de problemas reales.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