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0" w:before="0"/>
        <w:jc w:val="center"/>
      </w:pPr>
      <w:r>
        <w:rPr>
          <w:b/>
          <w:i w:val="0"/>
          <w:color w:val="1E3B7D"/>
          <w:sz w:val="30"/>
        </w:rPr>
        <w:t>UNIVERSIDAD DEL ATLÁNTICO</w:t>
      </w:r>
    </w:p>
    <w:p>
      <w:pPr>
        <w:spacing w:after="120" w:before="0"/>
        <w:jc w:val="center"/>
      </w:pPr>
      <w:r>
        <w:rPr>
          <w:b w:val="0"/>
          <w:i w:val="0"/>
          <w:color w:val="595959"/>
          <w:sz w:val="24"/>
        </w:rPr>
        <w:t>Facultad de Ciencias Económicas — Programa de Administración de Empresas</w:t>
      </w:r>
    </w:p>
    <w:p/>
    <w:p/>
    <w:p/>
    <w:p>
      <w:pPr>
        <w:spacing w:after="120" w:before="0"/>
        <w:jc w:val="center"/>
      </w:pPr>
      <w:r>
        <w:rPr>
          <w:b/>
          <w:i w:val="0"/>
          <w:color w:val="1E3B7D"/>
          <w:sz w:val="36"/>
        </w:rPr>
        <w:t>Diseño de una ruta institucional de emprendimiento para la articulación del Centro de Innovación y Emprendimiento con las facultades de la Universidad del Atlántico</w:t>
      </w:r>
    </w:p>
    <w:p/>
    <w:p/>
    <w:p>
      <w:pPr>
        <w:spacing w:after="120" w:before="0"/>
        <w:jc w:val="center"/>
      </w:pPr>
      <w:r>
        <w:rPr>
          <w:b w:val="0"/>
          <w:i/>
          <w:color w:val="595959"/>
          <w:sz w:val="24"/>
        </w:rPr>
        <w:t>Trabajo de grado — Modalidad Práctica Profesional</w:t>
      </w:r>
    </w:p>
    <w:p/>
    <w:p/>
    <w:p/>
    <w:p/>
    <w:p/>
    <w:p>
      <w:pPr>
        <w:spacing w:after="0" w:before="0"/>
        <w:jc w:val="center"/>
      </w:pPr>
      <w:r>
        <w:rPr>
          <w:b w:val="0"/>
          <w:i w:val="0"/>
          <w:sz w:val="24"/>
        </w:rPr>
        <w:t>Autor: Ronaldo Javier Martínez Mur</w:t>
      </w:r>
    </w:p>
    <w:p>
      <w:pPr>
        <w:spacing w:after="0" w:before="0"/>
        <w:jc w:val="center"/>
      </w:pPr>
      <w:r>
        <w:rPr>
          <w:b w:val="0"/>
          <w:i w:val="0"/>
          <w:sz w:val="24"/>
        </w:rPr>
        <w:t>Tutora: Graciela E. Villamil Villadiego</w:t>
      </w:r>
    </w:p>
    <w:p>
      <w:pPr>
        <w:spacing w:after="0" w:before="0"/>
        <w:jc w:val="center"/>
      </w:pPr>
      <w:r>
        <w:rPr>
          <w:b w:val="0"/>
          <w:i w:val="0"/>
          <w:sz w:val="24"/>
        </w:rPr>
        <w:t>Funcionario responsable (entidad): Jorge Eliecer Duarte Forero</w:t>
      </w:r>
    </w:p>
    <w:p/>
    <w:p/>
    <w:p/>
    <w:p>
      <w:pPr>
        <w:spacing w:after="120" w:before="0"/>
        <w:jc w:val="center"/>
      </w:pPr>
      <w:r>
        <w:rPr>
          <w:b/>
          <w:i w:val="0"/>
          <w:color w:val="1E3B7D"/>
          <w:sz w:val="24"/>
        </w:rPr>
        <w:t>Barranquilla, Colombia — 2026</w:t>
      </w:r>
    </w:p>
    <w:p>
      <w:r>
        <w:br w:type="page"/>
      </w:r>
    </w:p>
    <w:p>
      <w:pPr>
        <w:pStyle w:val="Heading1"/>
        <w:spacing w:before="280" w:after="120"/>
      </w:pPr>
      <w:r>
        <w:t>1. Resumen</w:t>
      </w:r>
    </w:p>
    <w:p>
      <w:pPr>
        <w:spacing w:after="120" w:before="0"/>
        <w:jc w:val="both"/>
      </w:pPr>
      <w:r>
        <w:rPr>
          <w:b w:val="0"/>
          <w:i w:val="0"/>
        </w:rPr>
        <w:t>El presente trabajo, desarrollado en la modalidad de práctica profesional, tuvo como propósito diseñar una ruta institucional de emprendimiento que articule el Centro de Innovación y Emprendimiento (CIE) con las facultades de la Universidad del Atlántico, con el fin de incentivar y fortalecer el espíritu emprendedor de la comunidad universitaria. El estudio se enmarca en un enfoque aplicado, de alcance descriptivo–propositivo y metodología mixta, que combinó revisión documental, benchmarking de referentes nacionales y regionales, consultas a actores del ecosistema y la aplicación de dos encuestas: una a estudiantes y egresados (n=106) y otra a docentes (n=10). El diagnóstico evidenció que, si bien el 87,7 % de los estudiantes manifiesta interés en emprender, el 67 % conoce poco o nada el CIE y el 54,7 % no se ha acercado por desconocer sus servicios; a su vez, los docentes identificaron la débil articulación entre facultades y el CIE como la principal dificultad (60 %) y valoraron con 4,2/5 la pertinencia de crear una ruta institucional. Estos hallazgos, contrastados con las consultas internas y externas, confirmaron que el problema no radica en la falta de motivación, sino en la baja visibilidad, el acceso limitado y la escasa articulación. Como resultado, se diseñó una ruta compuesta por seis fases secuenciales organizadas por nivel de madurez —sensibilización; identificación e ideación; diagnóstico y clasificación; formación y preincubación; incubación y fortalecimiento; y aceleración, financiación y transferencia— acompañadas por dos componentes transversales de difusión y de seguimiento y articulación. La propuesta se fundamenta en el Plan de Desarrollo Institucional 2022–2031 (Universidad del Atlántico, 2022) y en referentes como MacondoLab, la Universidad de los Andes y Ruta N, y constituye un instrumento de gestión replicable para consolidar el ecosistema emprendedor de la institución.</w:t>
      </w:r>
    </w:p>
    <w:p>
      <w:pPr>
        <w:spacing w:after="80" w:before="0"/>
        <w:jc w:val="both"/>
      </w:pPr>
      <w:r>
        <w:rPr>
          <w:b w:val="0"/>
          <w:i w:val="0"/>
        </w:rPr>
      </w:r>
      <w:r>
        <w:rPr>
          <w:b/>
          <w:i w:val="0"/>
        </w:rPr>
        <w:t>Palabras clave:</w:t>
      </w:r>
      <w:r>
        <w:rPr>
          <w:b w:val="0"/>
          <w:i w:val="0"/>
        </w:rPr>
        <w:t xml:space="preserve"> ecosistema; acompañamiento por etapas; transferencia de conocimiento; educación superior; incubación.</w:t>
      </w:r>
    </w:p>
    <w:p>
      <w:pPr>
        <w:pStyle w:val="Heading1"/>
        <w:spacing w:before="280" w:after="120"/>
      </w:pPr>
      <w:r>
        <w:t>Abstract</w:t>
      </w:r>
    </w:p>
    <w:p>
      <w:pPr>
        <w:spacing w:after="120" w:before="0"/>
        <w:jc w:val="both"/>
      </w:pPr>
      <w:r>
        <w:rPr>
          <w:b w:val="0"/>
          <w:i w:val="0"/>
        </w:rPr>
        <w:t>This work, carried out under the professional internship modality, aimed to design an institutional entrepreneurship route to connect the Innovation and Entrepreneurship Center (CIE) with the schools of Universidad del Atlántico, in order to encourage and strengthen the entrepreneurial spirit of the university community. The study follows an applied approach, with a descriptive–propositional scope and a mixed methodology that combined document review, benchmarking of national and regional references, consultations with ecosystem stakeholders, and two surveys: one for students and graduates (n=106) and another for professors (n=10). The diagnosis showed that, although 87.7% of students express interest in entrepreneurship, 67% know little or nothing about the CIE and 54.7% have not approached it because they are unaware of its services; professors identified the weak articulation between schools and the CIE as the main difficulty (60%) and rated the relevance of creating an institutional route at 4.2/5. These findings, cross-checked against internal and external consultations, confirmed that the problem lies not in a lack of motivation but in low visibility, limited access, and weak articulation. As a result, a route was designed comprising six sequential phases organized by maturity level —awareness; identification and ideation; diagnosis and classification; training and pre-incubation; incubation and strengthening; and acceleration, financing and transfer— supported by two cross-cutting components of communication and of monitoring and articulation. The proposal is grounded in the Institutional Development Plan 2022–2031 (Universidad del Atlántico, 2022) and in references such as MacondoLab, Universidad de los Andes and Ruta N, and constitutes a replicable management instrument to consolidate the institution's entrepreneurial ecosystem.</w:t>
      </w:r>
    </w:p>
    <w:p>
      <w:pPr>
        <w:spacing w:after="80" w:before="0"/>
        <w:jc w:val="both"/>
      </w:pPr>
      <w:r>
        <w:rPr>
          <w:b w:val="0"/>
          <w:i w:val="0"/>
        </w:rPr>
      </w:r>
      <w:r>
        <w:rPr>
          <w:b/>
          <w:i w:val="0"/>
        </w:rPr>
        <w:t>Key words:</w:t>
      </w:r>
      <w:r>
        <w:rPr>
          <w:b w:val="0"/>
          <w:i w:val="0"/>
        </w:rPr>
        <w:t xml:space="preserve"> ecosystem; stage-based support; knowledge transfer; higher education; incubation.</w:t>
      </w:r>
    </w:p>
    <w:p>
      <w:r>
        <w:br w:type="page"/>
      </w:r>
    </w:p>
    <w:p>
      <w:pPr>
        <w:pStyle w:val="Heading1"/>
        <w:spacing w:before="280" w:after="120"/>
      </w:pPr>
      <w:r>
        <w:t>Contenido</w:t>
      </w:r>
    </w:p>
    <w:p>
      <w:fldSimple w:instr="TOC \o &quot;1-3&quot; \h \z \u">
        <w:r>
          <w:t>Actualice la tabla de contenido en Word: clic derecho &gt; Actualizar campos.</w:t>
        </w:r>
      </w:fldSimple>
    </w:p>
    <w:p>
      <w:r>
        <w:br w:type="page"/>
      </w:r>
    </w:p>
    <w:p>
      <w:pPr>
        <w:pStyle w:val="Heading1"/>
        <w:spacing w:before="280" w:after="120"/>
      </w:pPr>
      <w:r>
        <w:t>Lista de figuras</w:t>
      </w:r>
    </w:p>
    <w:p>
      <w:fldSimple w:instr="TOC \h \z \c &quot;Figura&quot;">
        <w:r>
          <w:t>Actualice en Word: clic derecho &gt; Actualizar campos.</w:t>
        </w:r>
      </w:fldSimple>
    </w:p>
    <w:p>
      <w:pPr>
        <w:pStyle w:val="Heading1"/>
        <w:spacing w:before="280" w:after="120"/>
      </w:pPr>
      <w:r>
        <w:t>Lista de tablas</w:t>
      </w:r>
    </w:p>
    <w:p>
      <w:fldSimple w:instr="TOC \h \z \c &quot;Tabla&quot;">
        <w:r>
          <w:t>Actualice en Word: clic derecho &gt; Actualizar campos.</w:t>
        </w:r>
      </w:fldSimple>
    </w:p>
    <w:p>
      <w:r>
        <w:br w:type="page"/>
      </w:r>
    </w:p>
    <w:p>
      <w:pPr>
        <w:pStyle w:val="Heading1"/>
        <w:spacing w:before="280" w:after="120"/>
      </w:pPr>
      <w:r>
        <w:t>2. Antecedentes</w:t>
      </w:r>
    </w:p>
    <w:p>
      <w:pPr>
        <w:pStyle w:val="Heading2"/>
      </w:pPr>
      <w:r>
        <w:t>2.1 Historia del emprendimiento y la innovación (leyes y políticas)</w:t>
      </w:r>
    </w:p>
    <w:p>
      <w:pPr>
        <w:spacing w:after="120" w:before="0"/>
        <w:jc w:val="both"/>
      </w:pPr>
      <w:r>
        <w:rPr>
          <w:b w:val="0"/>
          <w:i w:val="0"/>
        </w:rPr>
        <w:t>El emprendimiento y la innovación se han consolidado como ejes del desarrollo económico y social, y las universidades han pasado de ser exclusivamente centros de formación a convertirse en agentes activos de los ecosistemas de innovación, en lo que se ha denominado la «tercera misión» universitaria (Pöcher et al., 2026). Desde esta perspectiva, el emprendimiento se entiende como un elemento de formación que requiere propuestas capaces de integrar la realidad social con el sistema universitario (Zubillaga del Río, 2015).</w:t>
      </w:r>
    </w:p>
    <w:p>
      <w:pPr>
        <w:spacing w:after="120" w:before="0"/>
        <w:jc w:val="both"/>
      </w:pPr>
      <w:r>
        <w:rPr>
          <w:b w:val="0"/>
          <w:i w:val="0"/>
        </w:rPr>
        <w:t>En Colombia, este propósito cuenta con un marco normativo explícito. La Ley 1014 de 2006 «De fomento a la cultura del emprendimiento» tiene por objeto promover el espíritu emprendedor en todos los estamentos educativos del país y crear un marco interinstitucional que fomente la cultura empresarial (Congreso de la República de Colombia, 2006). Este mandato se complementa con la Política Nacional de Emprendimiento (Ministerio de Comercio, Industria y Turismo, 2020), que orienta el fortalecimiento del ecosistema, la financiación y la articulación entre actores.</w:t>
      </w:r>
    </w:p>
    <w:p>
      <w:pPr>
        <w:spacing w:after="120" w:before="0"/>
        <w:jc w:val="both"/>
      </w:pPr>
      <w:r>
        <w:rPr>
          <w:b w:val="0"/>
          <w:i w:val="0"/>
        </w:rPr>
        <w:t>La literatura reciente subraya que el emprendimiento universitario en Colombia depende de factores como la persistencia y el desempeño del estudiante dentro de un ecosistema de apoyo (Gálvez-Albarracín et al., 2025), y que la falta de una secuencia lógica de acompañamiento limita que las iniciativas se transformen en empresas competitivas (Bermúdez Sánchez, 2015). Asimismo, la intención de emprender está condicionada por dimensiones psicológicas, educativas y sociales que la universidad debe potenciar mediante escalas de medición y seguimiento claras (Saavedra-García et al., 2025).</w:t>
      </w:r>
    </w:p>
    <w:p>
      <w:pPr>
        <w:pStyle w:val="Heading2"/>
      </w:pPr>
      <w:r>
        <w:t>2.2 Centros o instituciones de innovación y emprendimiento</w:t>
      </w:r>
    </w:p>
    <w:p>
      <w:pPr>
        <w:spacing w:after="120" w:before="0"/>
        <w:jc w:val="both"/>
      </w:pPr>
      <w:r>
        <w:rPr>
          <w:b w:val="0"/>
          <w:i w:val="0"/>
        </w:rPr>
        <w:t>Para que un centro de innovación y emprendimiento sea una verdadera estrategia de desarrollo institucional, debe funcionar como un espacio de encuentro interdisciplinar que facilite la asesoría a cualquier miembro de la comunidad, sin importar su facultad de origen (Méndez Lozano, 2015). Del mismo modo, la efectividad de estas unidades depende de un modelo de gestión estratégica que ordene sus procesos y servicios (Pitre-Redondo et al., 2015).</w:t>
      </w:r>
    </w:p>
    <w:p>
      <w:pPr>
        <w:spacing w:after="120" w:before="0"/>
        <w:jc w:val="both"/>
      </w:pPr>
      <w:r>
        <w:rPr>
          <w:b w:val="0"/>
          <w:i w:val="0"/>
        </w:rPr>
        <w:t>El análisis de referentes muestra distintos modelos de acompañamiento. MacondoLab, de la Universidad Simón Bolívar, estructura su metodología en cinco fases inspiradas en la metamorfosis (diagnosticar, descubrir, hacer, despegar y crecer) (MacondoLab, s.f.). La Corporación Universitaria Americana organiza su acompañamiento en sensibilización, preincubación, incubación y fortalecimiento (Corporación Universitaria Americana, s.f.), mientras que la Universidad de los Andes articula un ecosistema de innovación, emprendimiento y transferencia que emplea metodologías como Lean Startup y Disciplined Entrepreneurship (Universidad de los Andes, s.f.). A escala de ciudad, Ruta N actúa como articulador del ecosistema de ciencia, tecnología e innovación de Medellín (Corporación Ruta N Medellín, s.f.), y Parque E funciona como incubadora de emprendimientos de base tecnológica (Alcaldía de Medellín, s.f.). La Tabla 1 sintetiza estos referentes.</w:t>
      </w:r>
    </w:p>
    <w:p>
      <w:pPr>
        <w:spacing w:before="120" w:after="40"/>
        <w:jc w:val="left"/>
      </w:pPr>
      <w:r>
        <w:rPr>
          <w:i/>
          <w:color w:val="595959"/>
          <w:sz w:val="18"/>
        </w:rPr>
        <w:t xml:space="preserve">Tabla </w:t>
      </w:r>
      <w:fldSimple w:instr=" SEQ Tabla \* ARABIC ">
        <w:r>
          <w:t>1</w:t>
        </w:r>
      </w:fldSimple>
      <w:r>
        <w:rPr>
          <w:i/>
          <w:color w:val="595959"/>
          <w:sz w:val="18"/>
        </w:rPr>
        <w:t>. Comparativo de referentes de rutas de emprendimiento</w:t>
      </w:r>
    </w:p>
    <w:tbl>
      <w:tblPr>
        <w:tblStyle w:val="TableGrid"/>
        <w:tblW w:type="auto" w:w="0"/>
        <w:tblLook w:firstColumn="1" w:firstRow="1" w:lastColumn="0" w:lastRow="0" w:noHBand="0" w:noVBand="1" w:val="04A0"/>
      </w:tblPr>
      <w:tblGrid>
        <w:gridCol w:w="4549"/>
        <w:gridCol w:w="4549"/>
      </w:tblGrid>
      <w:tr>
        <w:tc>
          <w:tcPr>
            <w:tcW w:type="dxa" w:w="4549"/>
            <w:shd w:val="clear" w:fill="1E3B7D"/>
          </w:tcPr>
          <w:p>
            <w:r>
              <w:rPr>
                <w:b/>
                <w:color w:val="FFFFFF"/>
                <w:sz w:val="20"/>
              </w:rPr>
              <w:t>Referente</w:t>
            </w:r>
          </w:p>
        </w:tc>
        <w:tc>
          <w:tcPr>
            <w:tcW w:type="dxa" w:w="4549"/>
            <w:shd w:val="clear" w:fill="1E3B7D"/>
          </w:tcPr>
          <w:p>
            <w:r>
              <w:rPr>
                <w:b/>
                <w:color w:val="FFFFFF"/>
                <w:sz w:val="20"/>
              </w:rPr>
              <w:t>Fases / componentes principales</w:t>
            </w:r>
          </w:p>
        </w:tc>
      </w:tr>
      <w:tr>
        <w:tc>
          <w:tcPr>
            <w:tcW w:type="dxa" w:w="4549"/>
          </w:tcPr>
          <w:p>
            <w:r>
              <w:rPr>
                <w:sz w:val="20"/>
              </w:rPr>
              <w:t>MacondoLab (U. Simón Bolívar)</w:t>
            </w:r>
          </w:p>
        </w:tc>
        <w:tc>
          <w:tcPr>
            <w:tcW w:type="dxa" w:w="4549"/>
          </w:tcPr>
          <w:p>
            <w:r>
              <w:rPr>
                <w:sz w:val="20"/>
              </w:rPr>
              <w:t>Diagnosticar → Descubrir → Hacer → Despegar → Crecer</w:t>
            </w:r>
          </w:p>
        </w:tc>
      </w:tr>
      <w:tr>
        <w:tc>
          <w:tcPr>
            <w:tcW w:type="dxa" w:w="4549"/>
          </w:tcPr>
          <w:p>
            <w:r>
              <w:rPr>
                <w:sz w:val="20"/>
              </w:rPr>
              <w:t>Corp. U. Americana</w:t>
            </w:r>
          </w:p>
        </w:tc>
        <w:tc>
          <w:tcPr>
            <w:tcW w:type="dxa" w:w="4549"/>
          </w:tcPr>
          <w:p>
            <w:r>
              <w:rPr>
                <w:sz w:val="20"/>
              </w:rPr>
              <w:t>Sensibilización → Preincubación → Incubación → Fortalecimiento</w:t>
            </w:r>
          </w:p>
        </w:tc>
      </w:tr>
      <w:tr>
        <w:tc>
          <w:tcPr>
            <w:tcW w:type="dxa" w:w="4549"/>
          </w:tcPr>
          <w:p>
            <w:r>
              <w:rPr>
                <w:sz w:val="20"/>
              </w:rPr>
              <w:t>Universidad de los Andes</w:t>
            </w:r>
          </w:p>
        </w:tc>
        <w:tc>
          <w:tcPr>
            <w:tcW w:type="dxa" w:w="4549"/>
          </w:tcPr>
          <w:p>
            <w:r>
              <w:rPr>
                <w:sz w:val="20"/>
              </w:rPr>
              <w:t>Identificación → Validación → Incubación → Aceleración/Transferencia</w:t>
            </w:r>
          </w:p>
        </w:tc>
      </w:tr>
      <w:tr>
        <w:tc>
          <w:tcPr>
            <w:tcW w:type="dxa" w:w="4549"/>
          </w:tcPr>
          <w:p>
            <w:r>
              <w:rPr>
                <w:sz w:val="20"/>
              </w:rPr>
              <w:t>Ruta N (Medellín)</w:t>
            </w:r>
          </w:p>
        </w:tc>
        <w:tc>
          <w:tcPr>
            <w:tcW w:type="dxa" w:w="4549"/>
          </w:tcPr>
          <w:p>
            <w:r>
              <w:rPr>
                <w:sz w:val="20"/>
              </w:rPr>
              <w:t>Formación → Incubación/Aceleración → Escalamiento</w:t>
            </w:r>
          </w:p>
        </w:tc>
      </w:tr>
      <w:tr>
        <w:tc>
          <w:tcPr>
            <w:tcW w:type="dxa" w:w="4549"/>
          </w:tcPr>
          <w:p>
            <w:r>
              <w:rPr>
                <w:sz w:val="20"/>
              </w:rPr>
              <w:t>Corporación MAVI – Pa'Lante</w:t>
            </w:r>
          </w:p>
        </w:tc>
        <w:tc>
          <w:tcPr>
            <w:tcW w:type="dxa" w:w="4549"/>
          </w:tcPr>
          <w:p>
            <w:r>
              <w:rPr>
                <w:sz w:val="20"/>
              </w:rPr>
              <w:t>Valoración → Modelo de negocio → Branding → Digital → Visibilidad → Capital → Innovación</w:t>
            </w:r>
          </w:p>
        </w:tc>
      </w:tr>
    </w:tbl>
    <w:p/>
    <w:p>
      <w:pPr>
        <w:spacing w:after="120" w:before="0"/>
        <w:jc w:val="both"/>
      </w:pPr>
      <w:r>
        <w:rPr>
          <w:b w:val="0"/>
          <w:i w:val="0"/>
        </w:rPr>
        <w:t>La evidencia internacional coincide en que estos procesos deben integrar formación, mentoría, validación y transferencia, y que su éxito depende de la articulación efectiva con el territorio (Merizalde Véliz et al., 2026).</w:t>
      </w:r>
    </w:p>
    <w:p>
      <w:pPr>
        <w:pStyle w:val="Heading2"/>
      </w:pPr>
      <w:r>
        <w:t>2.3 Barranquilla en relación al emprendimiento</w:t>
      </w:r>
    </w:p>
    <w:p>
      <w:pPr>
        <w:spacing w:after="120" w:before="0"/>
        <w:jc w:val="both"/>
      </w:pPr>
      <w:r>
        <w:rPr>
          <w:b w:val="0"/>
          <w:i w:val="0"/>
        </w:rPr>
        <w:t>Barranquilla y la región Caribe cuentan con un ecosistema de innovación en crecimiento. La Universidad Simón Bolívar, a través de MacondoLab, se ha consolidado como uno de los principales referentes regionales en crecimiento empresarial e innovación (MacondoLab, s.f.). La Universidad del Norte mantiene un Centro de Emprendimiento con fuerte conexión con el sector empresarial (Universidad del Norte, s.f.), y la Universidad de la Costa (CUC) desarrolla procesos de innovación aplicada y productividad (Universidad de la Costa, s.f.). En el plano de la transferencia tecnológica, Cientech opera como Oficina de Transferencia de Resultados de Investigación (OTRI) reconocida por MinCiencias, articulando universidad, empresa y Estado (Cientech, s.f.). Este entorno constituye una oportunidad para que la Universidad del Atlántico fortalezca sus alianzas y consolide su propia ruta institucional.</w:t>
      </w:r>
    </w:p>
    <w:p>
      <w:pPr>
        <w:pStyle w:val="Heading2"/>
      </w:pPr>
      <w:r>
        <w:t>2.4 Innovación y emprendimiento en la Universidad del Atlántico (PDI)</w:t>
      </w:r>
    </w:p>
    <w:p>
      <w:pPr>
        <w:spacing w:after="120" w:before="0"/>
        <w:jc w:val="both"/>
      </w:pPr>
      <w:r>
        <w:rPr>
          <w:b w:val="0"/>
          <w:i w:val="0"/>
        </w:rPr>
        <w:t>El Plan de Desarrollo Institucional 2022–2031 concibe la innovación y el emprendimiento como herramientas para fortalecer la relación entre la universidad, el sector productivo y la sociedad (Universidad del Atlántico, 2022). Dentro de la Línea Estratégica de Extensión y Proyección Social, la institución establece como estrategia «promover la innovación y desarrollo empresarial con responsabilidad social mediante actividades de sensibilización, acompañamiento y transferencia de conocimiento», así como «desarrollar y fomentar la cultura de innovación y emprendimiento mediante programas de formación y asesoría» (Universidad del Atlántico, 2022).</w:t>
      </w:r>
    </w:p>
    <w:p>
      <w:pPr>
        <w:spacing w:after="120" w:before="0"/>
        <w:jc w:val="both"/>
      </w:pPr>
      <w:r>
        <w:rPr>
          <w:b w:val="0"/>
          <w:i w:val="0"/>
        </w:rPr>
        <w:t>El PDI fija además metas concretas: formular e implementar la política de innovación, emprendimiento y transferencia tecnológica; crear el Centro de Emprendimiento «UA Emprende» —denominación institucional del actual CIE— y garantizar la sostenibilidad de al menos el 3 % de los proyectos acompañados; promover la comercialización de al menos dos proyectos que generen spin-off (en el marco de la Responsabilidad Social Universitaria); e incrementar los ingresos del Centro de Investigaciones Científicas y Tecnológicas (CICIT) y del Parque Tecnológico del Caribe (Universidad del Atlántico, 2022). En consecuencia, la ruta propuesta se constituye en el brazo operativo de estas metas institucionales.</w:t>
      </w:r>
    </w:p>
    <w:p>
      <w:pPr>
        <w:pStyle w:val="Heading1"/>
        <w:spacing w:before="280" w:after="120"/>
      </w:pPr>
      <w:r>
        <w:t>3. Planteamiento del problema</w:t>
      </w:r>
    </w:p>
    <w:p>
      <w:pPr>
        <w:pStyle w:val="Heading2"/>
      </w:pPr>
      <w:r>
        <w:t>3.1 Contexto de la Vicerrectoría de Investigaciones, Extensión y Proyección Social y la percepción del emprendimiento</w:t>
      </w:r>
    </w:p>
    <w:p>
      <w:pPr>
        <w:spacing w:after="120" w:before="0"/>
        <w:jc w:val="both"/>
      </w:pPr>
      <w:r>
        <w:rPr>
          <w:b w:val="0"/>
          <w:i w:val="0"/>
        </w:rPr>
        <w:t>El CIE se enmarca dentro de la estructura orgánica de la Universidad del Atlántico. Como se aprecia en el organigrama institucional (Figura 1), el Centro se ubica en el Departamento de Extensión y Proyección Social, adscrito a la Vicerrectoría de Investigaciones, Extensión y Proyección Social, unidad encargada de articular la relación entre la Universidad y su entorno (Universidad del Atlántico, 2026).</w:t>
      </w:r>
    </w:p>
    <w:p>
      <w:pPr>
        <w:jc w:val="center"/>
      </w:pPr>
      <w:r>
        <w:drawing>
          <wp:inline xmlns:a="http://schemas.openxmlformats.org/drawingml/2006/main" xmlns:pic="http://schemas.openxmlformats.org/drawingml/2006/picture">
            <wp:extent cx="5760720" cy="3580509"/>
            <wp:docPr id="1" name="Picture 1"/>
            <wp:cNvGraphicFramePr>
              <a:graphicFrameLocks noChangeAspect="1"/>
            </wp:cNvGraphicFramePr>
            <a:graphic>
              <a:graphicData uri="http://schemas.openxmlformats.org/drawingml/2006/picture">
                <pic:pic>
                  <pic:nvPicPr>
                    <pic:cNvPr id="0" name="organigrama_oficial.png"/>
                    <pic:cNvPicPr/>
                  </pic:nvPicPr>
                  <pic:blipFill>
                    <a:blip r:embed="rId10"/>
                    <a:stretch>
                      <a:fillRect/>
                    </a:stretch>
                  </pic:blipFill>
                  <pic:spPr>
                    <a:xfrm>
                      <a:off x="0" y="0"/>
                      <a:ext cx="5760720" cy="3580509"/>
                    </a:xfrm>
                    <a:prstGeom prst="rect"/>
                  </pic:spPr>
                </pic:pic>
              </a:graphicData>
            </a:graphic>
          </wp:inline>
        </w:drawing>
      </w:r>
    </w:p>
    <w:p>
      <w:pPr>
        <w:spacing w:after="200"/>
        <w:jc w:val="center"/>
      </w:pPr>
      <w:r>
        <w:rPr>
          <w:i/>
          <w:color w:val="595959"/>
          <w:sz w:val="18"/>
        </w:rPr>
        <w:t xml:space="preserve">Figura </w:t>
      </w:r>
      <w:fldSimple w:instr=" SEQ Figura \* ARABIC ">
        <w:r>
          <w:t>1</w:t>
        </w:r>
      </w:fldSimple>
      <w:r>
        <w:rPr>
          <w:i/>
          <w:color w:val="595959"/>
          <w:sz w:val="18"/>
        </w:rPr>
        <w:t>. Organigrama institucional de la Universidad del Atlántico. Fuente: Universidad del Atlántico (2026).</w:t>
      </w:r>
    </w:p>
    <w:p>
      <w:pPr>
        <w:spacing w:after="120" w:before="0"/>
        <w:jc w:val="both"/>
      </w:pPr>
      <w:r>
        <w:rPr>
          <w:b w:val="0"/>
          <w:i w:val="0"/>
        </w:rPr>
        <w:t>El Centro de Innovación y Emprendimiento es una unidad de creación reciente dentro de la Universidad. Su surgimiento y consolidación responden al mandato del Plan de Desarrollo Institucional 2022–2031, que ordena crear y fortalecer el ecosistema de innovación y emprendimiento, así como a la reestructuración orgánica de la institución (Universidad del Atlántico, 2022). Por su corta trayectoria, el CIE se encuentra aún en una etapa de estructuración de sus procesos y servicios, lo que explica tanto su gran potencial como los retos de visibilidad, articulación y consolidación que este trabajo busca atender. Para comprender el funcionamiento actual del Centro se realizó, además, una consulta a un funcionario del CIE, cuyas respuestas se recogen en el Anexo 1 y sirvieron de base para caracterizar sus servicios, fortalezas y limitaciones.</w:t>
      </w:r>
    </w:p>
    <w:p>
      <w:pPr>
        <w:spacing w:after="120" w:before="0"/>
        <w:jc w:val="both"/>
      </w:pPr>
      <w:r>
        <w:rPr>
          <w:b w:val="0"/>
          <w:i w:val="0"/>
        </w:rPr>
        <w:t>De manera específica, dentro de esa estructura el CIE se ubica en el Departamento de Extensión y Proyección Social, adscrito a la Vicerrectoría de Investigaciones, Extensión y Proyección Social; la Figura 2 presenta esa ubicación institucional y el lugar que ocupa la ruta de emprendimiento dentro de la Universidad.</w:t>
      </w:r>
    </w:p>
    <w:p>
      <w:pPr>
        <w:jc w:val="center"/>
      </w:pPr>
      <w:r>
        <w:drawing>
          <wp:inline xmlns:a="http://schemas.openxmlformats.org/drawingml/2006/main" xmlns:pic="http://schemas.openxmlformats.org/drawingml/2006/picture">
            <wp:extent cx="4389120" cy="2722366"/>
            <wp:docPr id="2" name="Picture 2"/>
            <wp:cNvGraphicFramePr>
              <a:graphicFrameLocks noChangeAspect="1"/>
            </wp:cNvGraphicFramePr>
            <a:graphic>
              <a:graphicData uri="http://schemas.openxmlformats.org/drawingml/2006/picture">
                <pic:pic>
                  <pic:nvPicPr>
                    <pic:cNvPr id="0" name="organigrama.png"/>
                    <pic:cNvPicPr/>
                  </pic:nvPicPr>
                  <pic:blipFill>
                    <a:blip r:embed="rId11"/>
                    <a:stretch>
                      <a:fillRect/>
                    </a:stretch>
                  </pic:blipFill>
                  <pic:spPr>
                    <a:xfrm>
                      <a:off x="0" y="0"/>
                      <a:ext cx="4389120" cy="2722366"/>
                    </a:xfrm>
                    <a:prstGeom prst="rect"/>
                  </pic:spPr>
                </pic:pic>
              </a:graphicData>
            </a:graphic>
          </wp:inline>
        </w:drawing>
      </w:r>
    </w:p>
    <w:p>
      <w:pPr>
        <w:spacing w:after="200"/>
        <w:jc w:val="center"/>
      </w:pPr>
      <w:r>
        <w:rPr>
          <w:i/>
          <w:color w:val="595959"/>
          <w:sz w:val="18"/>
        </w:rPr>
        <w:t xml:space="preserve">Figura </w:t>
      </w:r>
      <w:fldSimple w:instr=" SEQ Figura \* ARABIC ">
        <w:r>
          <w:t>1</w:t>
        </w:r>
      </w:fldSimple>
      <w:r>
        <w:rPr>
          <w:i/>
          <w:color w:val="595959"/>
          <w:sz w:val="18"/>
        </w:rPr>
        <w:t>. Ubicación institucional del CIE y de la ruta de emprendimiento. Elaboración propia a partir del PDI 2022-2031 (Universidad del Atlántico, 2022).</w:t>
      </w:r>
    </w:p>
    <w:p>
      <w:pPr>
        <w:spacing w:after="120" w:before="0"/>
        <w:jc w:val="both"/>
      </w:pPr>
      <w:r>
        <w:rPr>
          <w:b w:val="0"/>
          <w:i w:val="0"/>
        </w:rPr>
        <w:t>El diseño de una ruta pertinente exige, en primer lugar, comprender cómo percibe la comunidad universitaria el emprendimiento y al propio CIE. Medir la percepción es importante porque permite conocer la brecha entre la oferta institucional y su apropiación real: revela qué tan visible es el Centro, qué barreras encuentran las personas para acercarse y qué esperan del acompañamiento. Sin este diagnóstico, cualquier ruta correría el riesgo de responder a supuestos y no a necesidades reales. Con ese propósito se aplicó una encuesta a estudiantes y egresados (n=106), cuyos resultados completos se recogen en el Anexo 2, y que evidenció una brecha significativa: pese a que el 87,7 % manifiesta algún grado de interés o actividad emprendedora, el 67 % declara conocer poco o nada el CIE (Figura 3). Esta baja apropiación coincide con lo planteado por Saavedra-García et al. (2025) sobre la necesidad de potenciar la intención emprendedora mediante estrategias y seguimiento claros.</w:t>
      </w:r>
    </w:p>
    <w:p>
      <w:pPr>
        <w:jc w:val="center"/>
      </w:pPr>
      <w:r>
        <w:drawing>
          <wp:inline xmlns:a="http://schemas.openxmlformats.org/drawingml/2006/main" xmlns:pic="http://schemas.openxmlformats.org/drawingml/2006/picture">
            <wp:extent cx="4206240" cy="2421919"/>
            <wp:docPr id="3" name="Picture 3"/>
            <wp:cNvGraphicFramePr>
              <a:graphicFrameLocks noChangeAspect="1"/>
            </wp:cNvGraphicFramePr>
            <a:graphic>
              <a:graphicData uri="http://schemas.openxmlformats.org/drawingml/2006/picture">
                <pic:pic>
                  <pic:nvPicPr>
                    <pic:cNvPr id="0" name="g1_conocimiento_cie.png"/>
                    <pic:cNvPicPr/>
                  </pic:nvPicPr>
                  <pic:blipFill>
                    <a:blip r:embed="rId12"/>
                    <a:stretch>
                      <a:fillRect/>
                    </a:stretch>
                  </pic:blipFill>
                  <pic:spPr>
                    <a:xfrm>
                      <a:off x="0" y="0"/>
                      <a:ext cx="4206240" cy="2421919"/>
                    </a:xfrm>
                    <a:prstGeom prst="rect"/>
                  </pic:spPr>
                </pic:pic>
              </a:graphicData>
            </a:graphic>
          </wp:inline>
        </w:drawing>
      </w:r>
    </w:p>
    <w:p>
      <w:pPr>
        <w:spacing w:after="200"/>
        <w:jc w:val="center"/>
      </w:pPr>
      <w:r>
        <w:rPr>
          <w:i/>
          <w:color w:val="595959"/>
          <w:sz w:val="18"/>
        </w:rPr>
        <w:t xml:space="preserve">Figura </w:t>
      </w:r>
      <w:fldSimple w:instr=" SEQ Figura \* ARABIC ">
        <w:r>
          <w:t>1</w:t>
        </w:r>
      </w:fldSimple>
      <w:r>
        <w:rPr>
          <w:i/>
          <w:color w:val="595959"/>
          <w:sz w:val="18"/>
        </w:rPr>
        <w:t>. Nivel de conocimiento del CIE (encuesta a estudiantes, n=106).</w:t>
      </w:r>
    </w:p>
    <w:p>
      <w:pPr>
        <w:spacing w:after="120" w:before="0"/>
        <w:jc w:val="both"/>
      </w:pPr>
      <w:r>
        <w:rPr>
          <w:b w:val="0"/>
          <w:i w:val="0"/>
        </w:rPr>
        <w:t>La percepción estudiantil se complementó con una consulta a docentes (n=10), cuyos resultados se detallan en el Anexo 3. A diferencia de la encuesta a estudiantes, esta fue deliberadamente específica y dirigida: se aplicó principalmente a profesores de la Facultad de Ciencias Económicas que ya venían adelantando trabajos y procesos relacionados con el emprendimiento. Se optó por esta focalización porque el objetivo no era obtener una muestra general, sino una lectura cualificada por parte de actores con conocimiento directo del tema y de la relación entre las facultades y el CIE. El resultado fue contundente: los docentes señalaron la débil articulación entre las facultades y el CIE como la principal dificultad para fortalecer el emprendimiento (60 %) (Figura 4), lo que confirma —desde la mirada docente— uno de los factores más críticos del problema.</w:t>
      </w:r>
    </w:p>
    <w:p>
      <w:pPr>
        <w:jc w:val="center"/>
      </w:pPr>
      <w:r>
        <w:drawing>
          <wp:inline xmlns:a="http://schemas.openxmlformats.org/drawingml/2006/main" xmlns:pic="http://schemas.openxmlformats.org/drawingml/2006/picture">
            <wp:extent cx="4937760" cy="2516142"/>
            <wp:docPr id="4" name="Picture 4"/>
            <wp:cNvGraphicFramePr>
              <a:graphicFrameLocks noChangeAspect="1"/>
            </wp:cNvGraphicFramePr>
            <a:graphic>
              <a:graphicData uri="http://schemas.openxmlformats.org/drawingml/2006/picture">
                <pic:pic>
                  <pic:nvPicPr>
                    <pic:cNvPr id="0" name="docentes_dificultades.png"/>
                    <pic:cNvPicPr/>
                  </pic:nvPicPr>
                  <pic:blipFill>
                    <a:blip r:embed="rId13"/>
                    <a:stretch>
                      <a:fillRect/>
                    </a:stretch>
                  </pic:blipFill>
                  <pic:spPr>
                    <a:xfrm>
                      <a:off x="0" y="0"/>
                      <a:ext cx="4937760" cy="2516142"/>
                    </a:xfrm>
                    <a:prstGeom prst="rect"/>
                  </pic:spPr>
                </pic:pic>
              </a:graphicData>
            </a:graphic>
          </wp:inline>
        </w:drawing>
      </w:r>
    </w:p>
    <w:p>
      <w:pPr>
        <w:spacing w:after="200"/>
        <w:jc w:val="center"/>
      </w:pPr>
      <w:r>
        <w:rPr>
          <w:i/>
          <w:color w:val="595959"/>
          <w:sz w:val="18"/>
        </w:rPr>
        <w:t xml:space="preserve">Figura </w:t>
      </w:r>
      <w:fldSimple w:instr=" SEQ Figura \* ARABIC ">
        <w:r>
          <w:t>1</w:t>
        </w:r>
      </w:fldSimple>
      <w:r>
        <w:rPr>
          <w:i/>
          <w:color w:val="595959"/>
          <w:sz w:val="18"/>
        </w:rPr>
        <w:t>. Principales dificultades para fortalecer el emprendimiento según los docentes (n=10).</w:t>
      </w:r>
    </w:p>
    <w:p>
      <w:pPr>
        <w:pStyle w:val="Heading2"/>
      </w:pPr>
      <w:r>
        <w:t>3.2 Factores clave del problema</w:t>
      </w:r>
    </w:p>
    <w:p>
      <w:pPr>
        <w:spacing w:after="120" w:before="0"/>
        <w:jc w:val="both"/>
      </w:pPr>
      <w:r>
        <w:rPr>
          <w:b w:val="0"/>
          <w:i w:val="0"/>
        </w:rPr>
        <w:t xml:space="preserve">A partir del contraste de fuentes se identificaron cuatro factores clave. Primero, la </w:t>
      </w:r>
      <w:r>
        <w:rPr>
          <w:b/>
          <w:i w:val="0"/>
        </w:rPr>
        <w:t>baja visibilidad y difusión</w:t>
      </w:r>
      <w:r>
        <w:rPr>
          <w:b w:val="0"/>
          <w:i w:val="0"/>
        </w:rPr>
        <w:t xml:space="preserve"> del CIE: el 54,7 % de los estudiantes no se ha acercado por desconocer sus servicios y el 29,2 % no sabe cómo acceder. Segundo, la </w:t>
      </w:r>
      <w:r>
        <w:rPr>
          <w:b/>
          <w:i w:val="0"/>
        </w:rPr>
        <w:t>débil articulación</w:t>
      </w:r>
      <w:r>
        <w:rPr>
          <w:b w:val="0"/>
          <w:i w:val="0"/>
        </w:rPr>
        <w:t xml:space="preserve"> con las facultades, señalada por los docentes como la principal dificultad (60 %). Tercero, la </w:t>
      </w:r>
      <w:r>
        <w:rPr>
          <w:b/>
          <w:i w:val="0"/>
        </w:rPr>
        <w:t>ausencia de una ruta estructurada</w:t>
      </w:r>
      <w:r>
        <w:rPr>
          <w:b w:val="0"/>
          <w:i w:val="0"/>
        </w:rPr>
        <w:t xml:space="preserve">, reconocida en la consulta interna al propio CIE, que opera con «acciones y mecanismos» dispersos. Cuarto, la </w:t>
      </w:r>
      <w:r>
        <w:rPr>
          <w:b/>
          <w:i w:val="0"/>
        </w:rPr>
        <w:t>escasa integración curricular</w:t>
      </w:r>
      <w:r>
        <w:rPr>
          <w:b w:val="0"/>
          <w:i w:val="0"/>
        </w:rPr>
        <w:t xml:space="preserve"> del emprendimiento, que los estudiantes valoraron en 3,30/5 respecto a las herramientas que brinda su programa.</w:t>
      </w:r>
    </w:p>
    <w:p>
      <w:pPr>
        <w:spacing w:after="120" w:before="0"/>
        <w:jc w:val="both"/>
      </w:pPr>
      <w:r>
        <w:rPr>
          <w:b w:val="0"/>
          <w:i w:val="0"/>
        </w:rPr>
        <w:t>Estos factores debilitan la «tercera misión» universitaria y limitan la transferencia de conocimiento al territorio, aumentando el riesgo de fracaso de las iniciativas que logran nacer (Merizalde Véliz et al., 2026; Pöcher et al., 2026). El problema, por tanto, no es la falta de interés, sino la ausencia de un instrumento que organice, difunda y articule el acompañamiento.</w:t>
      </w:r>
    </w:p>
    <w:p>
      <w:pPr>
        <w:pStyle w:val="Heading1"/>
        <w:spacing w:before="280" w:after="120"/>
      </w:pPr>
      <w:r>
        <w:t>4. Descripción del caso</w:t>
      </w:r>
    </w:p>
    <w:p>
      <w:pPr>
        <w:pStyle w:val="Heading2"/>
      </w:pPr>
      <w:r>
        <w:t>4.1 Diagnóstico de los procesos y servicios del área de emprendimiento</w:t>
      </w:r>
    </w:p>
    <w:p>
      <w:pPr>
        <w:spacing w:after="120" w:before="0"/>
        <w:jc w:val="both"/>
      </w:pPr>
      <w:r>
        <w:rPr>
          <w:b w:val="0"/>
          <w:i w:val="0"/>
        </w:rPr>
        <w:t>El diagnóstico combinó consultas a actores y dos encuestas. La ficha técnica se presenta en la Tabla 2; los instrumentos aplicados y sus resultados completos se incorporan como anexos: las entrevistas y guías de consulta (Anexo 1), la encuesta a estudiantes y egresados con sus resultados (Anexo 2) y la encuesta a docentes con sus resultados (Anexo 3).</w:t>
      </w:r>
    </w:p>
    <w:p>
      <w:pPr>
        <w:spacing w:before="120" w:after="40"/>
        <w:jc w:val="left"/>
      </w:pPr>
      <w:r>
        <w:rPr>
          <w:i/>
          <w:color w:val="595959"/>
          <w:sz w:val="18"/>
        </w:rPr>
        <w:t xml:space="preserve">Tabla </w:t>
      </w:r>
      <w:fldSimple w:instr=" SEQ Tabla \* ARABIC ">
        <w:r>
          <w:t>1</w:t>
        </w:r>
      </w:fldSimple>
      <w:r>
        <w:rPr>
          <w:i/>
          <w:color w:val="595959"/>
          <w:sz w:val="18"/>
        </w:rPr>
        <w:t>. Ficha técnica de los instrumentos aplicados</w:t>
      </w:r>
    </w:p>
    <w:tbl>
      <w:tblPr>
        <w:tblStyle w:val="TableGrid"/>
        <w:tblW w:type="auto" w:w="0"/>
        <w:tblLook w:firstColumn="1" w:firstRow="1" w:lastColumn="0" w:lastRow="0" w:noHBand="0" w:noVBand="1" w:val="04A0"/>
      </w:tblPr>
      <w:tblGrid>
        <w:gridCol w:w="3033"/>
        <w:gridCol w:w="3033"/>
        <w:gridCol w:w="3033"/>
      </w:tblGrid>
      <w:tr>
        <w:tc>
          <w:tcPr>
            <w:tcW w:type="dxa" w:w="3033"/>
            <w:shd w:val="clear" w:fill="1E3B7D"/>
          </w:tcPr>
          <w:p>
            <w:r>
              <w:rPr>
                <w:b/>
                <w:color w:val="FFFFFF"/>
                <w:sz w:val="20"/>
              </w:rPr>
              <w:t>Instrumento</w:t>
            </w:r>
          </w:p>
        </w:tc>
        <w:tc>
          <w:tcPr>
            <w:tcW w:type="dxa" w:w="3033"/>
            <w:shd w:val="clear" w:fill="1E3B7D"/>
          </w:tcPr>
          <w:p>
            <w:r>
              <w:rPr>
                <w:b/>
                <w:color w:val="FFFFFF"/>
                <w:sz w:val="20"/>
              </w:rPr>
              <w:t>Población</w:t>
            </w:r>
          </w:p>
        </w:tc>
        <w:tc>
          <w:tcPr>
            <w:tcW w:type="dxa" w:w="3033"/>
            <w:shd w:val="clear" w:fill="1E3B7D"/>
          </w:tcPr>
          <w:p>
            <w:r>
              <w:rPr>
                <w:b/>
                <w:color w:val="FFFFFF"/>
                <w:sz w:val="20"/>
              </w:rPr>
              <w:t>Muestra</w:t>
            </w:r>
          </w:p>
        </w:tc>
      </w:tr>
      <w:tr>
        <w:tc>
          <w:tcPr>
            <w:tcW w:type="dxa" w:w="3033"/>
          </w:tcPr>
          <w:p>
            <w:r>
              <w:rPr>
                <w:sz w:val="20"/>
              </w:rPr>
              <w:t>Encuesta a estudiantes y egresados</w:t>
            </w:r>
          </w:p>
        </w:tc>
        <w:tc>
          <w:tcPr>
            <w:tcW w:type="dxa" w:w="3033"/>
          </w:tcPr>
          <w:p>
            <w:r>
              <w:rPr>
                <w:sz w:val="20"/>
              </w:rPr>
              <w:t>Comunidad estudiantil de varias facultades</w:t>
            </w:r>
          </w:p>
        </w:tc>
        <w:tc>
          <w:tcPr>
            <w:tcW w:type="dxa" w:w="3033"/>
          </w:tcPr>
          <w:p>
            <w:r>
              <w:rPr>
                <w:sz w:val="20"/>
              </w:rPr>
              <w:t>106 respuestas</w:t>
            </w:r>
          </w:p>
        </w:tc>
      </w:tr>
      <w:tr>
        <w:tc>
          <w:tcPr>
            <w:tcW w:type="dxa" w:w="3033"/>
          </w:tcPr>
          <w:p>
            <w:r>
              <w:rPr>
                <w:sz w:val="20"/>
              </w:rPr>
              <w:t>Encuesta a docentes</w:t>
            </w:r>
          </w:p>
        </w:tc>
        <w:tc>
          <w:tcPr>
            <w:tcW w:type="dxa" w:w="3033"/>
          </w:tcPr>
          <w:p>
            <w:r>
              <w:rPr>
                <w:sz w:val="20"/>
              </w:rPr>
              <w:t>Docentes de la institución</w:t>
            </w:r>
          </w:p>
        </w:tc>
        <w:tc>
          <w:tcPr>
            <w:tcW w:type="dxa" w:w="3033"/>
          </w:tcPr>
          <w:p>
            <w:r>
              <w:rPr>
                <w:sz w:val="20"/>
              </w:rPr>
              <w:t>10 respuestas</w:t>
            </w:r>
          </w:p>
        </w:tc>
      </w:tr>
      <w:tr>
        <w:tc>
          <w:tcPr>
            <w:tcW w:type="dxa" w:w="3033"/>
          </w:tcPr>
          <w:p>
            <w:r>
              <w:rPr>
                <w:sz w:val="20"/>
              </w:rPr>
              <w:t>Consultas (guía de preguntas)</w:t>
            </w:r>
          </w:p>
        </w:tc>
        <w:tc>
          <w:tcPr>
            <w:tcW w:type="dxa" w:w="3033"/>
          </w:tcPr>
          <w:p>
            <w:r>
              <w:rPr>
                <w:sz w:val="20"/>
              </w:rPr>
              <w:t>Actores del ecosistema</w:t>
            </w:r>
          </w:p>
        </w:tc>
        <w:tc>
          <w:tcPr>
            <w:tcW w:type="dxa" w:w="3033"/>
          </w:tcPr>
          <w:p>
            <w:r>
              <w:rPr>
                <w:sz w:val="20"/>
              </w:rPr>
              <w:t>CIE (interno) y Corporación MAVI (externo)</w:t>
            </w:r>
          </w:p>
        </w:tc>
      </w:tr>
    </w:tbl>
    <w:p/>
    <w:p>
      <w:pPr>
        <w:pStyle w:val="Heading3"/>
      </w:pPr>
      <w:r>
        <w:t>4.1.1 Situación actual del Centro de Innovación y Emprendimiento</w:t>
      </w:r>
    </w:p>
    <w:p>
      <w:pPr>
        <w:spacing w:after="120" w:before="0"/>
        <w:jc w:val="both"/>
      </w:pPr>
      <w:r>
        <w:rPr>
          <w:b w:val="0"/>
          <w:i w:val="0"/>
        </w:rPr>
        <w:t>De acuerdo con la consulta interna realizada al propio CIE (Anexo 1), este ofrece capacitaciones, asesorías, talleres de ideación, validación de modelos de negocio, eventos de innovación y convocatorias, y reconoce como fortalezas el talento humano, la experiencia en acompañamiento y la cercanía con los estudiantes. No obstante, admite que no existe una ruta estructurada que estandarice etapas, roles, servicios y tiempos, y señala limitaciones de recursos, visibilidad y continuidad. Esta lectura es coherente con la baja apropiación estudiantil evidenciada en la encuesta.</w:t>
      </w:r>
    </w:p>
    <w:p>
      <w:pPr>
        <w:spacing w:after="120" w:before="0"/>
        <w:jc w:val="both"/>
      </w:pPr>
      <w:r>
        <w:rPr>
          <w:b w:val="0"/>
          <w:i w:val="0"/>
        </w:rPr>
        <w:t>Los resultados de la encuesta a estudiantes y egresados matizan y profundizan el panorama. A continuación se presentan los principales hallazgos, cada uno acompañado de la figura correspondiente.</w:t>
      </w:r>
    </w:p>
    <w:p>
      <w:pPr>
        <w:spacing w:after="120" w:before="0"/>
        <w:jc w:val="both"/>
      </w:pPr>
      <w:r>
        <w:rPr>
          <w:b w:val="0"/>
          <w:i w:val="0"/>
        </w:rPr>
        <w:t>En primer lugar, respecto a la situación emprendedora de los encuestados, el 46,2 % manifiesta interés en emprender aunque todavía no tiene una idea definida, el 26,4 % ya cuenta con una idea, el 15,1 % tiene un emprendimiento en marcha y solo el 12,3 % declara no tener interés (Figura 5). Esto revela que la gran mayoría de la comunidad estudiantil se encuentra en etapas tempranas del proceso emprendedor —justamente donde el acompañamiento del CIE resulta más determinante—.</w:t>
      </w:r>
    </w:p>
    <w:p>
      <w:pPr>
        <w:jc w:val="center"/>
      </w:pPr>
      <w:r>
        <w:drawing>
          <wp:inline xmlns:a="http://schemas.openxmlformats.org/drawingml/2006/main" xmlns:pic="http://schemas.openxmlformats.org/drawingml/2006/picture">
            <wp:extent cx="4572000" cy="2868503"/>
            <wp:docPr id="5" name="Picture 5"/>
            <wp:cNvGraphicFramePr>
              <a:graphicFrameLocks noChangeAspect="1"/>
            </wp:cNvGraphicFramePr>
            <a:graphic>
              <a:graphicData uri="http://schemas.openxmlformats.org/drawingml/2006/picture">
                <pic:pic>
                  <pic:nvPicPr>
                    <pic:cNvPr id="0" name="g2_situacion.png"/>
                    <pic:cNvPicPr/>
                  </pic:nvPicPr>
                  <pic:blipFill>
                    <a:blip r:embed="rId14"/>
                    <a:stretch>
                      <a:fillRect/>
                    </a:stretch>
                  </pic:blipFill>
                  <pic:spPr>
                    <a:xfrm>
                      <a:off x="0" y="0"/>
                      <a:ext cx="4572000" cy="2868503"/>
                    </a:xfrm>
                    <a:prstGeom prst="rect"/>
                  </pic:spPr>
                </pic:pic>
              </a:graphicData>
            </a:graphic>
          </wp:inline>
        </w:drawing>
      </w:r>
    </w:p>
    <w:p>
      <w:pPr>
        <w:spacing w:after="200"/>
        <w:jc w:val="center"/>
      </w:pPr>
      <w:r>
        <w:rPr>
          <w:i/>
          <w:color w:val="595959"/>
          <w:sz w:val="18"/>
        </w:rPr>
        <w:t xml:space="preserve">Figura </w:t>
      </w:r>
      <w:fldSimple w:instr=" SEQ Figura \* ARABIC ">
        <w:r>
          <w:t>1</w:t>
        </w:r>
      </w:fldSimple>
      <w:r>
        <w:rPr>
          <w:i/>
          <w:color w:val="595959"/>
          <w:sz w:val="18"/>
        </w:rPr>
        <w:t>. Situación de los estudiantes frente al emprendimiento (n=106).</w:t>
      </w:r>
    </w:p>
    <w:p>
      <w:pPr>
        <w:spacing w:after="120" w:before="0"/>
        <w:jc w:val="both"/>
      </w:pPr>
      <w:r>
        <w:rPr>
          <w:b w:val="0"/>
          <w:i w:val="0"/>
        </w:rPr>
        <w:t>En cuanto a las actitudes hacia el emprendimiento, las afirmaciones valorativas reflejan una disposición favorable: la idea del emprendimiento como una opción real de desarrollo profesional alcanzó un promedio de 4,26/5, uno de los valores más altos de la encuesta (Figura 6). Existe, por tanto, una base actitudinal positiva sobre la cual construir la ruta.</w:t>
      </w:r>
    </w:p>
    <w:p>
      <w:pPr>
        <w:jc w:val="center"/>
      </w:pPr>
      <w:r>
        <w:drawing>
          <wp:inline xmlns:a="http://schemas.openxmlformats.org/drawingml/2006/main" xmlns:pic="http://schemas.openxmlformats.org/drawingml/2006/picture">
            <wp:extent cx="4754880" cy="2352025"/>
            <wp:docPr id="6" name="Picture 6"/>
            <wp:cNvGraphicFramePr>
              <a:graphicFrameLocks noChangeAspect="1"/>
            </wp:cNvGraphicFramePr>
            <a:graphic>
              <a:graphicData uri="http://schemas.openxmlformats.org/drawingml/2006/picture">
                <pic:pic>
                  <pic:nvPicPr>
                    <pic:cNvPr id="0" name="g3_afirmaciones.png"/>
                    <pic:cNvPicPr/>
                  </pic:nvPicPr>
                  <pic:blipFill>
                    <a:blip r:embed="rId15"/>
                    <a:stretch>
                      <a:fillRect/>
                    </a:stretch>
                  </pic:blipFill>
                  <pic:spPr>
                    <a:xfrm>
                      <a:off x="0" y="0"/>
                      <a:ext cx="4754880" cy="2352025"/>
                    </a:xfrm>
                    <a:prstGeom prst="rect"/>
                  </pic:spPr>
                </pic:pic>
              </a:graphicData>
            </a:graphic>
          </wp:inline>
        </w:drawing>
      </w:r>
    </w:p>
    <w:p>
      <w:pPr>
        <w:spacing w:after="200"/>
        <w:jc w:val="center"/>
      </w:pPr>
      <w:r>
        <w:rPr>
          <w:i/>
          <w:color w:val="595959"/>
          <w:sz w:val="18"/>
        </w:rPr>
        <w:t xml:space="preserve">Figura </w:t>
      </w:r>
      <w:fldSimple w:instr=" SEQ Figura \* ARABIC ">
        <w:r>
          <w:t>1</w:t>
        </w:r>
      </w:fldSimple>
      <w:r>
        <w:rPr>
          <w:i/>
          <w:color w:val="595959"/>
          <w:sz w:val="18"/>
        </w:rPr>
        <w:t>. Nivel de acuerdo con afirmaciones sobre el emprendimiento (estudiantes, n=106).</w:t>
      </w:r>
    </w:p>
    <w:p>
      <w:pPr>
        <w:spacing w:after="120" w:before="0"/>
        <w:jc w:val="both"/>
      </w:pPr>
      <w:r>
        <w:rPr>
          <w:b w:val="0"/>
          <w:i w:val="0"/>
        </w:rPr>
        <w:t>No obstante, ese interés no se traduce en un acercamiento al Centro. La principal razón para no aproximarse al CIE es el desconocimiento de los servicios que ofrece, seguida de no saber cómo acceder a ellos (Figura 7). La barrera, por tanto, no es de motivación sino de información y visibilidad, lo que refuerza el diagnóstico del problema.</w:t>
      </w:r>
    </w:p>
    <w:p>
      <w:pPr>
        <w:jc w:val="center"/>
      </w:pPr>
      <w:r>
        <w:drawing>
          <wp:inline xmlns:a="http://schemas.openxmlformats.org/drawingml/2006/main" xmlns:pic="http://schemas.openxmlformats.org/drawingml/2006/picture">
            <wp:extent cx="4937760" cy="2791531"/>
            <wp:docPr id="7" name="Picture 7"/>
            <wp:cNvGraphicFramePr>
              <a:graphicFrameLocks noChangeAspect="1"/>
            </wp:cNvGraphicFramePr>
            <a:graphic>
              <a:graphicData uri="http://schemas.openxmlformats.org/drawingml/2006/picture">
                <pic:pic>
                  <pic:nvPicPr>
                    <pic:cNvPr id="0" name="g4_razones.png"/>
                    <pic:cNvPicPr/>
                  </pic:nvPicPr>
                  <pic:blipFill>
                    <a:blip r:embed="rId16"/>
                    <a:stretch>
                      <a:fillRect/>
                    </a:stretch>
                  </pic:blipFill>
                  <pic:spPr>
                    <a:xfrm>
                      <a:off x="0" y="0"/>
                      <a:ext cx="4937760" cy="2791531"/>
                    </a:xfrm>
                    <a:prstGeom prst="rect"/>
                  </pic:spPr>
                </pic:pic>
              </a:graphicData>
            </a:graphic>
          </wp:inline>
        </w:drawing>
      </w:r>
    </w:p>
    <w:p>
      <w:pPr>
        <w:spacing w:after="200"/>
        <w:jc w:val="center"/>
      </w:pPr>
      <w:r>
        <w:rPr>
          <w:i/>
          <w:color w:val="595959"/>
          <w:sz w:val="18"/>
        </w:rPr>
        <w:t xml:space="preserve">Figura </w:t>
      </w:r>
      <w:fldSimple w:instr=" SEQ Figura \* ARABIC ">
        <w:r>
          <w:t>1</w:t>
        </w:r>
      </w:fldSimple>
      <w:r>
        <w:rPr>
          <w:i/>
          <w:color w:val="595959"/>
          <w:sz w:val="18"/>
        </w:rPr>
        <w:t>. Razones para no acercarse al CIE (estudiantes, n=106).</w:t>
      </w:r>
    </w:p>
    <w:p>
      <w:pPr>
        <w:spacing w:after="120" w:before="0"/>
        <w:jc w:val="both"/>
      </w:pPr>
      <w:r>
        <w:rPr>
          <w:b w:val="0"/>
          <w:i w:val="0"/>
        </w:rPr>
        <w:t>Respecto a la demanda de acompañamiento, los apoyos más solicitados por los estudiantes son la asesoría en modelo de negocio (62,3 %), la educación financiera (50 %) y el marketing (49,1 %) (Figura 8). Estas necesidades constituyen insumos directos para definir los contenidos de las fases de formación y preincubación de la ruta.</w:t>
      </w:r>
    </w:p>
    <w:p>
      <w:pPr>
        <w:jc w:val="center"/>
      </w:pPr>
      <w:r>
        <w:drawing>
          <wp:inline xmlns:a="http://schemas.openxmlformats.org/drawingml/2006/main" xmlns:pic="http://schemas.openxmlformats.org/drawingml/2006/picture">
            <wp:extent cx="4937760" cy="2805109"/>
            <wp:docPr id="8" name="Picture 8"/>
            <wp:cNvGraphicFramePr>
              <a:graphicFrameLocks noChangeAspect="1"/>
            </wp:cNvGraphicFramePr>
            <a:graphic>
              <a:graphicData uri="http://schemas.openxmlformats.org/drawingml/2006/picture">
                <pic:pic>
                  <pic:nvPicPr>
                    <pic:cNvPr id="0" name="g5_apoyo.png"/>
                    <pic:cNvPicPr/>
                  </pic:nvPicPr>
                  <pic:blipFill>
                    <a:blip r:embed="rId17"/>
                    <a:stretch>
                      <a:fillRect/>
                    </a:stretch>
                  </pic:blipFill>
                  <pic:spPr>
                    <a:xfrm>
                      <a:off x="0" y="0"/>
                      <a:ext cx="4937760" cy="2805109"/>
                    </a:xfrm>
                    <a:prstGeom prst="rect"/>
                  </pic:spPr>
                </pic:pic>
              </a:graphicData>
            </a:graphic>
          </wp:inline>
        </w:drawing>
      </w:r>
    </w:p>
    <w:p>
      <w:pPr>
        <w:spacing w:after="200"/>
        <w:jc w:val="center"/>
      </w:pPr>
      <w:r>
        <w:rPr>
          <w:i/>
          <w:color w:val="595959"/>
          <w:sz w:val="18"/>
        </w:rPr>
        <w:t xml:space="preserve">Figura </w:t>
      </w:r>
      <w:fldSimple w:instr=" SEQ Figura \* ARABIC ">
        <w:r>
          <w:t>1</w:t>
        </w:r>
      </w:fldSimple>
      <w:r>
        <w:rPr>
          <w:i/>
          <w:color w:val="595959"/>
          <w:sz w:val="18"/>
        </w:rPr>
        <w:t>. Tipo de apoyo deseado del CIE (estudiantes, n=106).</w:t>
      </w:r>
    </w:p>
    <w:p>
      <w:pPr>
        <w:spacing w:after="120" w:before="0"/>
        <w:jc w:val="both"/>
      </w:pPr>
      <w:r>
        <w:rPr>
          <w:b w:val="0"/>
          <w:i w:val="0"/>
        </w:rPr>
        <w:t>Finalmente, en cuanto a los canales de comunicación, los medios preferidos para recibir información son el correo institucional y WhatsApp (Figura 9). Este dato es clave para diseñar la estrategia de difusión, que deberá priorizar dichos canales para superar la baja visibilidad detectada.</w:t>
      </w:r>
    </w:p>
    <w:p>
      <w:pPr>
        <w:jc w:val="center"/>
      </w:pPr>
      <w:r>
        <w:drawing>
          <wp:inline xmlns:a="http://schemas.openxmlformats.org/drawingml/2006/main" xmlns:pic="http://schemas.openxmlformats.org/drawingml/2006/picture">
            <wp:extent cx="4572000" cy="2645303"/>
            <wp:docPr id="9" name="Picture 9"/>
            <wp:cNvGraphicFramePr>
              <a:graphicFrameLocks noChangeAspect="1"/>
            </wp:cNvGraphicFramePr>
            <a:graphic>
              <a:graphicData uri="http://schemas.openxmlformats.org/drawingml/2006/picture">
                <pic:pic>
                  <pic:nvPicPr>
                    <pic:cNvPr id="0" name="g6_medio.png"/>
                    <pic:cNvPicPr/>
                  </pic:nvPicPr>
                  <pic:blipFill>
                    <a:blip r:embed="rId18"/>
                    <a:stretch>
                      <a:fillRect/>
                    </a:stretch>
                  </pic:blipFill>
                  <pic:spPr>
                    <a:xfrm>
                      <a:off x="0" y="0"/>
                      <a:ext cx="4572000" cy="2645303"/>
                    </a:xfrm>
                    <a:prstGeom prst="rect"/>
                  </pic:spPr>
                </pic:pic>
              </a:graphicData>
            </a:graphic>
          </wp:inline>
        </w:drawing>
      </w:r>
    </w:p>
    <w:p>
      <w:pPr>
        <w:spacing w:after="200"/>
        <w:jc w:val="center"/>
      </w:pPr>
      <w:r>
        <w:rPr>
          <w:i/>
          <w:color w:val="595959"/>
          <w:sz w:val="18"/>
        </w:rPr>
        <w:t xml:space="preserve">Figura </w:t>
      </w:r>
      <w:fldSimple w:instr=" SEQ Figura \* ARABIC ">
        <w:r>
          <w:t>1</w:t>
        </w:r>
      </w:fldSimple>
      <w:r>
        <w:rPr>
          <w:i/>
          <w:color w:val="595959"/>
          <w:sz w:val="18"/>
        </w:rPr>
        <w:t>. Medio preferido para recibir información (estudiantes, n=106).</w:t>
      </w:r>
    </w:p>
    <w:p>
      <w:pPr>
        <w:spacing w:after="120" w:before="0"/>
        <w:jc w:val="both"/>
      </w:pPr>
      <w:r>
        <w:rPr>
          <w:b w:val="0"/>
          <w:i w:val="0"/>
        </w:rPr>
        <w:t>La consulta a docentes (n=10) reforzó el diagnóstico. Además de la débil articulación ya señalada (Figura 4), la afirmación mejor valorada por los docentes fue que la creación de una ruta institucional fortalecería el ecosistema emprendedor, con 4,2/5 —el promedio más alto de su encuesta— (Figura 10). De este modo, los docentes no solo reconocen el problema, sino que avalan directamente la solución propuesta. A ello se suma que un referente externo, la Corporación MAVI (Anexo 1), demuestra que una ruta por etapas en operación es viable y efectiva.</w:t>
      </w:r>
    </w:p>
    <w:p>
      <w:pPr>
        <w:jc w:val="center"/>
      </w:pPr>
      <w:r>
        <w:drawing>
          <wp:inline xmlns:a="http://schemas.openxmlformats.org/drawingml/2006/main" xmlns:pic="http://schemas.openxmlformats.org/drawingml/2006/picture">
            <wp:extent cx="4937760" cy="2520738"/>
            <wp:docPr id="10" name="Picture 10"/>
            <wp:cNvGraphicFramePr>
              <a:graphicFrameLocks noChangeAspect="1"/>
            </wp:cNvGraphicFramePr>
            <a:graphic>
              <a:graphicData uri="http://schemas.openxmlformats.org/drawingml/2006/picture">
                <pic:pic>
                  <pic:nvPicPr>
                    <pic:cNvPr id="0" name="docentes_afirmaciones.png"/>
                    <pic:cNvPicPr/>
                  </pic:nvPicPr>
                  <pic:blipFill>
                    <a:blip r:embed="rId19"/>
                    <a:stretch>
                      <a:fillRect/>
                    </a:stretch>
                  </pic:blipFill>
                  <pic:spPr>
                    <a:xfrm>
                      <a:off x="0" y="0"/>
                      <a:ext cx="4937760" cy="2520738"/>
                    </a:xfrm>
                    <a:prstGeom prst="rect"/>
                  </pic:spPr>
                </pic:pic>
              </a:graphicData>
            </a:graphic>
          </wp:inline>
        </w:drawing>
      </w:r>
    </w:p>
    <w:p>
      <w:pPr>
        <w:spacing w:after="200"/>
        <w:jc w:val="center"/>
      </w:pPr>
      <w:r>
        <w:rPr>
          <w:i/>
          <w:color w:val="595959"/>
          <w:sz w:val="18"/>
        </w:rPr>
        <w:t xml:space="preserve">Figura </w:t>
      </w:r>
      <w:fldSimple w:instr=" SEQ Figura \* ARABIC ">
        <w:r>
          <w:t>1</w:t>
        </w:r>
      </w:fldSimple>
      <w:r>
        <w:rPr>
          <w:i/>
          <w:color w:val="595959"/>
          <w:sz w:val="18"/>
        </w:rPr>
        <w:t>. Nivel de acuerdo de los docentes con las afirmaciones sobre el emprendimiento (n=10).</w:t>
      </w:r>
    </w:p>
    <w:p>
      <w:pPr>
        <w:pStyle w:val="Heading3"/>
      </w:pPr>
      <w:r>
        <w:t>4.1.2 Análisis DOFA</w:t>
      </w:r>
    </w:p>
    <w:p>
      <w:pPr>
        <w:spacing w:after="120" w:before="0"/>
        <w:jc w:val="both"/>
      </w:pPr>
      <w:r>
        <w:rPr>
          <w:b w:val="0"/>
          <w:i w:val="0"/>
        </w:rPr>
        <w:t>A partir de la evidencia recolectada se construyó la matriz DOFA (Tabla 3) y, sobre ella, las estrategias cruzadas de tipo FO, DO, FA y DA (Tabla 4), que orientan el diseño de la ruta. Con el fin de no extender el cuerpo del informe, en este apartado se presenta la síntesis; el análisis profundo de cada factor —con su respectiva evidencia y las estrategias cruzadas explicadas en detalle— se desarrolla en un documento independiente que se adjunta como Anexo 4 (Análisis DOFA).</w:t>
      </w:r>
    </w:p>
    <w:p>
      <w:pPr>
        <w:spacing w:before="120" w:after="40"/>
        <w:jc w:val="left"/>
      </w:pPr>
      <w:r>
        <w:rPr>
          <w:i/>
          <w:color w:val="595959"/>
          <w:sz w:val="18"/>
        </w:rPr>
        <w:t xml:space="preserve">Tabla </w:t>
      </w:r>
      <w:fldSimple w:instr=" SEQ Tabla \* ARABIC ">
        <w:r>
          <w:t>1</w:t>
        </w:r>
      </w:fldSimple>
      <w:r>
        <w:rPr>
          <w:i/>
          <w:color w:val="595959"/>
          <w:sz w:val="18"/>
        </w:rPr>
        <w:t>. Matriz DOFA del área de emprendimiento (CIE)</w:t>
      </w:r>
    </w:p>
    <w:tbl>
      <w:tblPr>
        <w:tblStyle w:val="TableGrid"/>
        <w:tblW w:type="auto" w:w="0"/>
        <w:tblLook w:firstColumn="1" w:firstRow="1" w:lastColumn="0" w:lastRow="0" w:noHBand="0" w:noVBand="1" w:val="04A0"/>
      </w:tblPr>
      <w:tblGrid>
        <w:gridCol w:w="4549"/>
        <w:gridCol w:w="4549"/>
      </w:tblGrid>
      <w:tr>
        <w:tc>
          <w:tcPr>
            <w:tcW w:type="dxa" w:w="4549"/>
            <w:shd w:val="clear" w:fill="1E3B7D"/>
          </w:tcPr>
          <w:p>
            <w:r>
              <w:rPr>
                <w:b/>
                <w:color w:val="FFFFFF"/>
                <w:sz w:val="20"/>
              </w:rPr>
              <w:t>Fortalezas (F)</w:t>
            </w:r>
          </w:p>
        </w:tc>
        <w:tc>
          <w:tcPr>
            <w:tcW w:type="dxa" w:w="4549"/>
            <w:shd w:val="clear" w:fill="1E3B7D"/>
          </w:tcPr>
          <w:p>
            <w:r>
              <w:rPr>
                <w:b/>
                <w:color w:val="FFFFFF"/>
                <w:sz w:val="20"/>
              </w:rPr>
              <w:t>Debilidades (D)</w:t>
            </w:r>
          </w:p>
        </w:tc>
      </w:tr>
      <w:tr>
        <w:tc>
          <w:tcPr>
            <w:tcW w:type="dxa" w:w="4549"/>
          </w:tcPr>
          <w:p>
            <w:r>
              <w:rPr>
                <w:sz w:val="20"/>
              </w:rPr>
              <w:t>F1. Talento humano y experiencia en acompañamiento.</w:t>
              <w:br/>
              <w:t>F2. Cercanía con los estudiantes.</w:t>
              <w:br/>
              <w:t>F3. Alto interés emprendedor de la comunidad (87,7 %).</w:t>
              <w:br/>
              <w:t>F4. Respaldo del PDI 2022–2031.</w:t>
            </w:r>
          </w:p>
        </w:tc>
        <w:tc>
          <w:tcPr>
            <w:tcW w:type="dxa" w:w="4549"/>
          </w:tcPr>
          <w:p>
            <w:r>
              <w:rPr>
                <w:sz w:val="20"/>
              </w:rPr>
              <w:t>D1. Baja visibilidad: 67 % conoce poco o nada el CIE.</w:t>
              <w:br/>
              <w:t>D2. Ausencia de una ruta estructurada.</w:t>
              <w:br/>
              <w:t>D3. Articulación débil con las facultades (60 %).</w:t>
              <w:br/>
              <w:t>D4. Escasa integración curricular (3,30/5).</w:t>
            </w:r>
          </w:p>
        </w:tc>
      </w:tr>
    </w:tbl>
    <w:p/>
    <w:tbl>
      <w:tblPr>
        <w:tblStyle w:val="TableGrid"/>
        <w:tblW w:type="auto" w:w="0"/>
        <w:tblLook w:firstColumn="1" w:firstRow="1" w:lastColumn="0" w:lastRow="0" w:noHBand="0" w:noVBand="1" w:val="04A0"/>
      </w:tblPr>
      <w:tblGrid>
        <w:gridCol w:w="4549"/>
        <w:gridCol w:w="4549"/>
      </w:tblGrid>
      <w:tr>
        <w:tc>
          <w:tcPr>
            <w:tcW w:type="dxa" w:w="4549"/>
            <w:shd w:val="clear" w:fill="1E3B7D"/>
          </w:tcPr>
          <w:p>
            <w:r>
              <w:rPr>
                <w:b/>
                <w:color w:val="FFFFFF"/>
                <w:sz w:val="20"/>
              </w:rPr>
              <w:t>Oportunidades (O)</w:t>
            </w:r>
          </w:p>
        </w:tc>
        <w:tc>
          <w:tcPr>
            <w:tcW w:type="dxa" w:w="4549"/>
            <w:shd w:val="clear" w:fill="1E3B7D"/>
          </w:tcPr>
          <w:p>
            <w:r>
              <w:rPr>
                <w:b/>
                <w:color w:val="FFFFFF"/>
                <w:sz w:val="20"/>
              </w:rPr>
              <w:t>Amenazas (A)</w:t>
            </w:r>
          </w:p>
        </w:tc>
      </w:tr>
      <w:tr>
        <w:tc>
          <w:tcPr>
            <w:tcW w:type="dxa" w:w="4549"/>
          </w:tcPr>
          <w:p>
            <w:r>
              <w:rPr>
                <w:sz w:val="20"/>
              </w:rPr>
              <w:t>O1. Mandato del PDI y política de emprendimiento.</w:t>
              <w:br/>
              <w:t>O2. Ecosistema regional (Cientech, Cámaras, MacondoLab, Ruta N).</w:t>
              <w:br/>
              <w:t>O3. Metodologías y referentes probados.</w:t>
              <w:br/>
              <w:t>O4. Ley 1014 de 2006 y Política Nacional de Emprendimiento.</w:t>
            </w:r>
          </w:p>
        </w:tc>
        <w:tc>
          <w:tcPr>
            <w:tcW w:type="dxa" w:w="4549"/>
          </w:tcPr>
          <w:p>
            <w:r>
              <w:rPr>
                <w:sz w:val="20"/>
              </w:rPr>
              <w:t>A1. Competencia de otras IES con rutas consolidadas.</w:t>
              <w:br/>
              <w:t>A2. Limitaciones de recursos y continuidad.</w:t>
              <w:br/>
              <w:t>A3. Barreras del entorno: financiación y tiempo del estudiante.</w:t>
              <w:br/>
              <w:t>A4. Riesgo de baja participación sostenida.</w:t>
            </w:r>
          </w:p>
        </w:tc>
      </w:tr>
    </w:tbl>
    <w:p/>
    <w:p>
      <w:pPr>
        <w:spacing w:before="120" w:after="40"/>
        <w:jc w:val="left"/>
      </w:pPr>
      <w:r>
        <w:rPr>
          <w:i/>
          <w:color w:val="595959"/>
          <w:sz w:val="18"/>
        </w:rPr>
        <w:t xml:space="preserve">Tabla </w:t>
      </w:r>
      <w:fldSimple w:instr=" SEQ Tabla \* ARABIC ">
        <w:r>
          <w:t>1</w:t>
        </w:r>
      </w:fldSimple>
      <w:r>
        <w:rPr>
          <w:i/>
          <w:color w:val="595959"/>
          <w:sz w:val="18"/>
        </w:rPr>
        <w:t>. Estrategias cruzadas (FO, DO, FA, DA)</w:t>
      </w:r>
    </w:p>
    <w:tbl>
      <w:tblPr>
        <w:tblStyle w:val="TableGrid"/>
        <w:tblW w:type="auto" w:w="0"/>
        <w:tblLook w:firstColumn="1" w:firstRow="1" w:lastColumn="0" w:lastRow="0" w:noHBand="0" w:noVBand="1" w:val="04A0"/>
      </w:tblPr>
      <w:tblGrid>
        <w:gridCol w:w="4549"/>
        <w:gridCol w:w="4549"/>
      </w:tblGrid>
      <w:tr>
        <w:tc>
          <w:tcPr>
            <w:tcW w:type="dxa" w:w="4549"/>
            <w:shd w:val="clear" w:fill="1E3B7D"/>
          </w:tcPr>
          <w:p>
            <w:r>
              <w:rPr>
                <w:b/>
                <w:color w:val="FFFFFF"/>
                <w:sz w:val="20"/>
              </w:rPr>
              <w:t>Cruce</w:t>
            </w:r>
          </w:p>
        </w:tc>
        <w:tc>
          <w:tcPr>
            <w:tcW w:type="dxa" w:w="4549"/>
            <w:shd w:val="clear" w:fill="1E3B7D"/>
          </w:tcPr>
          <w:p>
            <w:r>
              <w:rPr>
                <w:b/>
                <w:color w:val="FFFFFF"/>
                <w:sz w:val="20"/>
              </w:rPr>
              <w:t>Estrategia</w:t>
            </w:r>
          </w:p>
        </w:tc>
      </w:tr>
      <w:tr>
        <w:tc>
          <w:tcPr>
            <w:tcW w:type="dxa" w:w="4549"/>
          </w:tcPr>
          <w:p>
            <w:r>
              <w:rPr>
                <w:sz w:val="20"/>
              </w:rPr>
              <w:t>FO (ofensivas)</w:t>
            </w:r>
          </w:p>
        </w:tc>
        <w:tc>
          <w:tcPr>
            <w:tcW w:type="dxa" w:w="4549"/>
          </w:tcPr>
          <w:p>
            <w:r>
              <w:rPr>
                <w:sz w:val="20"/>
              </w:rPr>
              <w:t>Capitalizar el alto interés estudiantil (F3) y el respaldo del PDI (F4) para lanzar la ruta con aval institucional (O1), y aprovechar el talento del CIE (F1) para tejer alianzas con el ecosistema regional (O2).</w:t>
            </w:r>
          </w:p>
        </w:tc>
      </w:tr>
      <w:tr>
        <w:tc>
          <w:tcPr>
            <w:tcW w:type="dxa" w:w="4549"/>
          </w:tcPr>
          <w:p>
            <w:r>
              <w:rPr>
                <w:sz w:val="20"/>
              </w:rPr>
              <w:t>DO (reorientación)</w:t>
            </w:r>
          </w:p>
        </w:tc>
        <w:tc>
          <w:tcPr>
            <w:tcW w:type="dxa" w:w="4549"/>
          </w:tcPr>
          <w:p>
            <w:r>
              <w:rPr>
                <w:sz w:val="20"/>
              </w:rPr>
              <w:t>Superar la baja visibilidad (D1) con una estrategia de difusión amparada en el mandato del PDI (O1) y resolver la articulación débil (D3) adoptando metodologías probadas (O3) y la figura de docente enlace por facultad.</w:t>
            </w:r>
          </w:p>
        </w:tc>
      </w:tr>
      <w:tr>
        <w:tc>
          <w:tcPr>
            <w:tcW w:type="dxa" w:w="4549"/>
          </w:tcPr>
          <w:p>
            <w:r>
              <w:rPr>
                <w:sz w:val="20"/>
              </w:rPr>
              <w:t>FA (defensivas)</w:t>
            </w:r>
          </w:p>
        </w:tc>
        <w:tc>
          <w:tcPr>
            <w:tcW w:type="dxa" w:w="4549"/>
          </w:tcPr>
          <w:p>
            <w:r>
              <w:rPr>
                <w:sz w:val="20"/>
              </w:rPr>
              <w:t>Usar la cercanía con los estudiantes y su interés (F2, F3) para diferenciar la oferta frente a otras IES (A1), y emplear el respaldo del PDI (F4) para asegurar recursos frente a su limitación (A2).</w:t>
            </w:r>
          </w:p>
        </w:tc>
      </w:tr>
      <w:tr>
        <w:tc>
          <w:tcPr>
            <w:tcW w:type="dxa" w:w="4549"/>
          </w:tcPr>
          <w:p>
            <w:r>
              <w:rPr>
                <w:sz w:val="20"/>
              </w:rPr>
              <w:t>DA (supervivencia)</w:t>
            </w:r>
          </w:p>
        </w:tc>
        <w:tc>
          <w:tcPr>
            <w:tcW w:type="dxa" w:w="4549"/>
          </w:tcPr>
          <w:p>
            <w:r>
              <w:rPr>
                <w:sz w:val="20"/>
              </w:rPr>
              <w:t>Mitigar la ausencia de ruta y la escasez de recursos (D2, A2) priorizando fases de bajo costo (sensibilización y formación) y derivando la financiación a aliados externos (A3).</w:t>
            </w:r>
          </w:p>
        </w:tc>
      </w:tr>
    </w:tbl>
    <w:p/>
    <w:p>
      <w:pPr>
        <w:pStyle w:val="Heading1"/>
        <w:spacing w:before="280" w:after="120"/>
      </w:pPr>
      <w:r>
        <w:t>5. Soluciones y retos actuales</w:t>
      </w:r>
    </w:p>
    <w:p>
      <w:pPr>
        <w:pStyle w:val="Heading2"/>
      </w:pPr>
      <w:r>
        <w:t>5.1 Retos</w:t>
      </w:r>
    </w:p>
    <w:p>
      <w:pPr>
        <w:spacing w:after="120" w:before="0"/>
        <w:jc w:val="both"/>
      </w:pPr>
      <w:r>
        <w:rPr>
          <w:b w:val="0"/>
          <w:i w:val="0"/>
        </w:rPr>
        <w:t xml:space="preserve">La implementación de la ruta enfrenta retos identificados en las consultas y encuestas (Anexos 1 a 3): asegurar los </w:t>
      </w:r>
      <w:r>
        <w:rPr>
          <w:b/>
          <w:i w:val="0"/>
        </w:rPr>
        <w:t>recursos y la continuidad</w:t>
      </w:r>
      <w:r>
        <w:rPr>
          <w:b w:val="0"/>
          <w:i w:val="0"/>
        </w:rPr>
        <w:t xml:space="preserve"> de los procesos; sostener el </w:t>
      </w:r>
      <w:r>
        <w:rPr>
          <w:b/>
          <w:i w:val="0"/>
        </w:rPr>
        <w:t>compromiso del emprendedor</w:t>
      </w:r>
      <w:r>
        <w:rPr>
          <w:b w:val="0"/>
          <w:i w:val="0"/>
        </w:rPr>
        <w:t xml:space="preserve">, considerando que la falta de tiempo es una barrera frecuente; transformar la </w:t>
      </w:r>
      <w:r>
        <w:rPr>
          <w:b/>
          <w:i w:val="0"/>
        </w:rPr>
        <w:t>mentalidad</w:t>
      </w:r>
      <w:r>
        <w:rPr>
          <w:b w:val="0"/>
          <w:i w:val="0"/>
        </w:rPr>
        <w:t xml:space="preserve">, para que el emprendimiento se asuma como proyecto de vida y no solo como medio de subsistencia; </w:t>
      </w:r>
      <w:r>
        <w:rPr>
          <w:b/>
          <w:i w:val="0"/>
        </w:rPr>
        <w:t>fortalecer las alianzas</w:t>
      </w:r>
      <w:r>
        <w:rPr>
          <w:b w:val="0"/>
          <w:i w:val="0"/>
        </w:rPr>
        <w:t xml:space="preserve"> para el acceso a financiación y mercado; y mantener una </w:t>
      </w:r>
      <w:r>
        <w:rPr>
          <w:b/>
          <w:i w:val="0"/>
        </w:rPr>
        <w:t>visibilidad sostenida</w:t>
      </w:r>
      <w:r>
        <w:rPr>
          <w:b w:val="0"/>
          <w:i w:val="0"/>
        </w:rPr>
        <w:t xml:space="preserve"> que evite recaer en el desconocimiento actual. Estos desafíos son coherentes con lo reportado por la literatura sobre la fragilidad de las iniciativas y la importancia del ecosistema de apoyo (Gálvez-Albarracín et al., 2025; Merizalde Véliz et al., 2026).</w:t>
      </w:r>
    </w:p>
    <w:p>
      <w:pPr>
        <w:pStyle w:val="Heading2"/>
      </w:pPr>
      <w:r>
        <w:t>5.2 Diseño de la propuesta de ruta institucional de emprendimiento</w:t>
      </w:r>
    </w:p>
    <w:p>
      <w:pPr>
        <w:spacing w:after="120" w:before="0"/>
        <w:jc w:val="both"/>
      </w:pPr>
      <w:r>
        <w:rPr>
          <w:b w:val="0"/>
          <w:i w:val="0"/>
        </w:rPr>
        <w:t>La ruta se compone de seis fases secuenciales, organizadas por nivel de madurez, y de tres componentes transversales que acompañan todas las fases: T1. comunicación; T2. seguimiento e indicadores; y T3. articulación con las facultades. Su carácter no lineal permite que cada iniciativa ingrese en la fase correspondiente a su estado, siguiendo la lógica de referentes como MacondoLab (MacondoLab, s.f.) y la Universidad de los Andes (Universidad de los Andes, s.f.). La Figura 11 presenta el esquema general. Para su construcción se realizó un levantamiento de información con instituciones que promueven el emprendimiento y un análisis en detalle de cada fase, con sus responsables e indicadores, que se desarrolla en el documento técnico de la ruta (Anexo 5).</w:t>
      </w:r>
    </w:p>
    <w:p>
      <w:pPr>
        <w:jc w:val="center"/>
      </w:pPr>
      <w:r>
        <w:drawing>
          <wp:inline xmlns:a="http://schemas.openxmlformats.org/drawingml/2006/main" xmlns:pic="http://schemas.openxmlformats.org/drawingml/2006/picture">
            <wp:extent cx="5852160" cy="3271372"/>
            <wp:docPr id="11" name="Picture 11"/>
            <wp:cNvGraphicFramePr>
              <a:graphicFrameLocks noChangeAspect="1"/>
            </wp:cNvGraphicFramePr>
            <a:graphic>
              <a:graphicData uri="http://schemas.openxmlformats.org/drawingml/2006/picture">
                <pic:pic>
                  <pic:nvPicPr>
                    <pic:cNvPr id="0" name="ruta_emprendimiento.png"/>
                    <pic:cNvPicPr/>
                  </pic:nvPicPr>
                  <pic:blipFill>
                    <a:blip r:embed="rId20"/>
                    <a:stretch>
                      <a:fillRect/>
                    </a:stretch>
                  </pic:blipFill>
                  <pic:spPr>
                    <a:xfrm>
                      <a:off x="0" y="0"/>
                      <a:ext cx="5852160" cy="3271372"/>
                    </a:xfrm>
                    <a:prstGeom prst="rect"/>
                  </pic:spPr>
                </pic:pic>
              </a:graphicData>
            </a:graphic>
          </wp:inline>
        </w:drawing>
      </w:r>
    </w:p>
    <w:p>
      <w:pPr>
        <w:spacing w:after="200"/>
        <w:jc w:val="center"/>
      </w:pPr>
      <w:r>
        <w:rPr>
          <w:i/>
          <w:color w:val="595959"/>
          <w:sz w:val="18"/>
        </w:rPr>
        <w:t xml:space="preserve">Figura </w:t>
      </w:r>
      <w:fldSimple w:instr=" SEQ Figura \* ARABIC ">
        <w:r>
          <w:t>1</w:t>
        </w:r>
      </w:fldSimple>
      <w:r>
        <w:rPr>
          <w:i/>
          <w:color w:val="595959"/>
          <w:sz w:val="18"/>
        </w:rPr>
        <w:t>. Esquema general de la ruta institucional de emprendimiento.</w:t>
      </w:r>
    </w:p>
    <w:p>
      <w:pPr>
        <w:spacing w:after="120" w:before="0"/>
        <w:jc w:val="both"/>
      </w:pPr>
      <w:r>
        <w:rPr>
          <w:b w:val="0"/>
          <w:i w:val="0"/>
        </w:rPr>
        <w:t xml:space="preserve">Las fases son: (1) </w:t>
      </w:r>
      <w:r>
        <w:rPr>
          <w:b/>
          <w:i w:val="0"/>
        </w:rPr>
        <w:t>Sensibilización</w:t>
      </w:r>
      <w:r>
        <w:rPr>
          <w:b w:val="0"/>
          <w:i w:val="0"/>
        </w:rPr>
        <w:t xml:space="preserve">, para despertar la cultura emprendedora y dar a conocer el CIE; (2) </w:t>
      </w:r>
      <w:r>
        <w:rPr>
          <w:b/>
          <w:i w:val="0"/>
        </w:rPr>
        <w:t>Identificación e ideación</w:t>
      </w:r>
      <w:r>
        <w:rPr>
          <w:b w:val="0"/>
          <w:i w:val="0"/>
        </w:rPr>
        <w:t xml:space="preserve">, para captar y estructurar ideas; (3) </w:t>
      </w:r>
      <w:r>
        <w:rPr>
          <w:b/>
          <w:i w:val="0"/>
        </w:rPr>
        <w:t>Diagnóstico y clasificación</w:t>
      </w:r>
      <w:r>
        <w:rPr>
          <w:b w:val="0"/>
          <w:i w:val="0"/>
        </w:rPr>
        <w:t xml:space="preserve">, que determina el nivel de madurez y define la ruta personalizada; (4) </w:t>
      </w:r>
      <w:r>
        <w:rPr>
          <w:b/>
          <w:i w:val="0"/>
        </w:rPr>
        <w:t>Formación y preincubación</w:t>
      </w:r>
      <w:r>
        <w:rPr>
          <w:b w:val="0"/>
          <w:i w:val="0"/>
        </w:rPr>
        <w:t xml:space="preserve">, con modelo de negocio, educación financiera y validación mediante producto mínimo viable; (5) </w:t>
      </w:r>
      <w:r>
        <w:rPr>
          <w:b/>
          <w:i w:val="0"/>
        </w:rPr>
        <w:t>Incubación y fortalecimiento</w:t>
      </w:r>
      <w:r>
        <w:rPr>
          <w:b w:val="0"/>
          <w:i w:val="0"/>
        </w:rPr>
        <w:t xml:space="preserve">, con mentorías, branding, transformación digital y asesoría legal y tributaria; y (6) </w:t>
      </w:r>
      <w:r>
        <w:rPr>
          <w:b/>
          <w:i w:val="0"/>
        </w:rPr>
        <w:t>Aceleración, financiación y transferencia</w:t>
      </w:r>
      <w:r>
        <w:rPr>
          <w:b w:val="0"/>
          <w:i w:val="0"/>
        </w:rPr>
        <w:t>, que conecta con convocatorias, capital semilla, propiedad intelectual y aliados como Cientech y el Parque Tecnológico del Caribe. Este contenido se presenta además de forma visual, como instrumento facilitador para la socialización de la ruta, en la guía en formato de presentación que se adjunta como Anexo 6.</w:t>
      </w:r>
    </w:p>
    <w:p>
      <w:pPr>
        <w:spacing w:after="120" w:before="0"/>
        <w:jc w:val="both"/>
      </w:pPr>
      <w:r>
        <w:rPr>
          <w:b w:val="0"/>
          <w:i w:val="0"/>
        </w:rPr>
        <w:t>Ahora bien, para que la ruta impacte a toda la comunidad, su implementación se sustenta en un conjunto de estrategias de articulación con las facultades, desarrolladas en detalle en un documento independiente (Anexo 7). Dicha articulación se materializa a través de un docente enlace en cada facultad, la integración curricular progresiva del emprendimiento, la realización de actividades y eventos conjuntos por facultad, y una difusión segmentada por los canales preferidos por la comunidad (correo institucional y WhatsApp), atendiendo las preferencias evidenciadas en el diagnóstico. De este modo, la ruta y las estrategias de articulación operan de forma complementaria: la primera define el «qué» y el «cómo» del acompañamiento, y las segundas aseguran que ese acompañamiento llegue de manera transversal a todas las facultades.</w:t>
      </w:r>
    </w:p>
    <w:p>
      <w:pPr>
        <w:pStyle w:val="Heading1"/>
        <w:spacing w:before="280" w:after="120"/>
      </w:pPr>
      <w:r>
        <w:t>Glosario</w:t>
      </w:r>
    </w:p>
    <w:p>
      <w:pPr>
        <w:spacing w:after="80"/>
        <w:jc w:val="both"/>
      </w:pPr>
      <w:r>
        <w:rPr>
          <w:b/>
          <w:color w:val="1E3B7D"/>
        </w:rPr>
        <w:t xml:space="preserve">Aceleración: </w:t>
      </w:r>
      <w:r>
        <w:t>Etapa orientada a escalar un emprendimiento ya validado y conectarlo con mercado y financiación.</w:t>
      </w:r>
    </w:p>
    <w:p>
      <w:pPr>
        <w:spacing w:after="80"/>
        <w:jc w:val="both"/>
      </w:pPr>
      <w:r>
        <w:rPr>
          <w:b/>
          <w:color w:val="1E3B7D"/>
        </w:rPr>
        <w:t xml:space="preserve">Aceleradora: </w:t>
      </w:r>
      <w:r>
        <w:t>Organización que impulsa el crecimiento rápido de emprendimientos ya validados mediante mentoría, red de contactos e inversión.</w:t>
      </w:r>
    </w:p>
    <w:p>
      <w:pPr>
        <w:spacing w:after="80"/>
        <w:jc w:val="both"/>
      </w:pPr>
      <w:r>
        <w:rPr>
          <w:b/>
          <w:color w:val="1E3B7D"/>
        </w:rPr>
        <w:t xml:space="preserve">Benchmarking: </w:t>
      </w:r>
      <w:r>
        <w:t>Análisis comparativo de referentes para identificar buenas prácticas aplicables.</w:t>
      </w:r>
    </w:p>
    <w:p>
      <w:pPr>
        <w:spacing w:after="80"/>
        <w:jc w:val="both"/>
      </w:pPr>
      <w:r>
        <w:rPr>
          <w:b/>
          <w:color w:val="1E3B7D"/>
        </w:rPr>
        <w:t xml:space="preserve">Branding: </w:t>
      </w:r>
      <w:r>
        <w:t>Construcción y gestión de la identidad y la imagen de una marca.</w:t>
      </w:r>
    </w:p>
    <w:p>
      <w:pPr>
        <w:spacing w:after="80"/>
        <w:jc w:val="both"/>
      </w:pPr>
      <w:r>
        <w:rPr>
          <w:b/>
          <w:color w:val="1E3B7D"/>
        </w:rPr>
        <w:t xml:space="preserve">Business Model Canvas (BMC): </w:t>
      </w:r>
      <w:r>
        <w:t>Lienzo para diseñar y visualizar un modelo de negocio en sus componentes clave.</w:t>
      </w:r>
    </w:p>
    <w:p>
      <w:pPr>
        <w:spacing w:after="80"/>
        <w:jc w:val="both"/>
      </w:pPr>
      <w:r>
        <w:rPr>
          <w:b/>
          <w:color w:val="1E3B7D"/>
        </w:rPr>
        <w:t xml:space="preserve">Capital semilla: </w:t>
      </w:r>
      <w:r>
        <w:t>Primera financiación que recibe un emprendimiento para iniciar o validar su operación.</w:t>
      </w:r>
    </w:p>
    <w:p>
      <w:pPr>
        <w:spacing w:after="80"/>
        <w:jc w:val="both"/>
      </w:pPr>
      <w:r>
        <w:rPr>
          <w:b/>
          <w:color w:val="1E3B7D"/>
        </w:rPr>
        <w:t xml:space="preserve">CIE: </w:t>
      </w:r>
      <w:r>
        <w:t>Centro de Innovación y Emprendimiento de la Universidad del Atlántico.</w:t>
      </w:r>
    </w:p>
    <w:p>
      <w:pPr>
        <w:spacing w:after="80"/>
        <w:jc w:val="both"/>
      </w:pPr>
      <w:r>
        <w:rPr>
          <w:b/>
          <w:color w:val="1E3B7D"/>
        </w:rPr>
        <w:t xml:space="preserve">Coworking: </w:t>
      </w:r>
      <w:r>
        <w:t>Espacio de trabajo compartido que favorece la colaboración y el intercambio entre emprendedores.</w:t>
      </w:r>
    </w:p>
    <w:p>
      <w:pPr>
        <w:spacing w:after="80"/>
        <w:jc w:val="both"/>
      </w:pPr>
      <w:r>
        <w:rPr>
          <w:b/>
          <w:color w:val="1E3B7D"/>
        </w:rPr>
        <w:t xml:space="preserve">Design thinking: </w:t>
      </w:r>
      <w:r>
        <w:t>Metodología de innovación centrada en las personas: empatizar, definir, idear, prototipar y testear.</w:t>
      </w:r>
    </w:p>
    <w:p>
      <w:pPr>
        <w:spacing w:after="80"/>
        <w:jc w:val="both"/>
      </w:pPr>
      <w:r>
        <w:rPr>
          <w:b/>
          <w:color w:val="1E3B7D"/>
        </w:rPr>
        <w:t xml:space="preserve">DOFA: </w:t>
      </w:r>
      <w:r>
        <w:t>Herramienta de diagnóstico estratégico que analiza Debilidades, Oportunidades, Fortalezas y Amenazas.</w:t>
      </w:r>
    </w:p>
    <w:p>
      <w:pPr>
        <w:spacing w:after="80"/>
        <w:jc w:val="both"/>
      </w:pPr>
      <w:r>
        <w:rPr>
          <w:b/>
          <w:color w:val="1E3B7D"/>
        </w:rPr>
        <w:t xml:space="preserve">Docente enlace: </w:t>
      </w:r>
      <w:r>
        <w:t>Profesor designado en cada facultad como punto de contacto y articulación con el CIE.</w:t>
      </w:r>
    </w:p>
    <w:p>
      <w:pPr>
        <w:spacing w:after="80"/>
        <w:jc w:val="both"/>
      </w:pPr>
      <w:r>
        <w:rPr>
          <w:b/>
          <w:color w:val="1E3B7D"/>
        </w:rPr>
        <w:t xml:space="preserve">Ecosistema emprendedor: </w:t>
      </w:r>
      <w:r>
        <w:t>Conjunto de actores (academia, empresa, Estado, sociedad) que interactúan para apoyar el emprendimiento.</w:t>
      </w:r>
    </w:p>
    <w:p>
      <w:pPr>
        <w:spacing w:after="80"/>
        <w:jc w:val="both"/>
      </w:pPr>
      <w:r>
        <w:rPr>
          <w:b/>
          <w:color w:val="1E3B7D"/>
        </w:rPr>
        <w:t xml:space="preserve">Emprendimiento: </w:t>
      </w:r>
      <w:r>
        <w:t>Proceso de crear y desarrollar una iniciativa o empresa a partir de una idea, asumiendo riesgos.</w:t>
      </w:r>
    </w:p>
    <w:p>
      <w:pPr>
        <w:spacing w:after="80"/>
        <w:jc w:val="both"/>
      </w:pPr>
      <w:r>
        <w:rPr>
          <w:b/>
          <w:color w:val="1E3B7D"/>
        </w:rPr>
        <w:t xml:space="preserve">Ideación: </w:t>
      </w:r>
      <w:r>
        <w:t>Fase de generación y estructuración inicial de ideas de negocio.</w:t>
      </w:r>
    </w:p>
    <w:p>
      <w:pPr>
        <w:spacing w:after="80"/>
        <w:jc w:val="both"/>
      </w:pPr>
      <w:r>
        <w:rPr>
          <w:b/>
          <w:color w:val="1E3B7D"/>
        </w:rPr>
        <w:t xml:space="preserve">Incubación: </w:t>
      </w:r>
      <w:r>
        <w:t>Acompañamiento a un emprendimiento en su puesta en marcha y consolidación.</w:t>
      </w:r>
    </w:p>
    <w:p>
      <w:pPr>
        <w:spacing w:after="80"/>
        <w:jc w:val="both"/>
      </w:pPr>
      <w:r>
        <w:rPr>
          <w:b/>
          <w:color w:val="1E3B7D"/>
        </w:rPr>
        <w:t xml:space="preserve">Innovación: </w:t>
      </w:r>
      <w:r>
        <w:t>Introducción de un producto, servicio o proceso nuevo o significativamente mejorado que genera valor.</w:t>
      </w:r>
    </w:p>
    <w:p>
      <w:pPr>
        <w:spacing w:after="80"/>
        <w:jc w:val="both"/>
      </w:pPr>
      <w:r>
        <w:rPr>
          <w:b/>
          <w:color w:val="1E3B7D"/>
        </w:rPr>
        <w:t xml:space="preserve">Lean Startup: </w:t>
      </w:r>
      <w:r>
        <w:t>Metodología para crear empresas mediante ciclos rápidos de construir–medir–aprender con mínima inversión inicial.</w:t>
      </w:r>
    </w:p>
    <w:p>
      <w:pPr>
        <w:spacing w:after="80"/>
        <w:jc w:val="both"/>
      </w:pPr>
      <w:r>
        <w:rPr>
          <w:b/>
          <w:color w:val="1E3B7D"/>
        </w:rPr>
        <w:t xml:space="preserve">Mentoría: </w:t>
      </w:r>
      <w:r>
        <w:t>Acompañamiento de una persona con experiencia (mentor) a un emprendedor para orientar su proyecto.</w:t>
      </w:r>
    </w:p>
    <w:p>
      <w:pPr>
        <w:spacing w:after="80"/>
        <w:jc w:val="both"/>
      </w:pPr>
      <w:r>
        <w:rPr>
          <w:b/>
          <w:color w:val="1E3B7D"/>
        </w:rPr>
        <w:t xml:space="preserve">Modelo de negocio: </w:t>
      </w:r>
      <w:r>
        <w:t>Forma en que una organización crea, entrega y captura valor.</w:t>
      </w:r>
    </w:p>
    <w:p>
      <w:pPr>
        <w:spacing w:after="80"/>
        <w:jc w:val="both"/>
      </w:pPr>
      <w:r>
        <w:rPr>
          <w:b/>
          <w:color w:val="1E3B7D"/>
        </w:rPr>
        <w:t xml:space="preserve">MVP (Producto Mínimo Viable): </w:t>
      </w:r>
      <w:r>
        <w:t>Versión simple de un producto o servicio para validar la propuesta con usuarios reales.</w:t>
      </w:r>
    </w:p>
    <w:p>
      <w:pPr>
        <w:spacing w:after="80"/>
        <w:jc w:val="both"/>
      </w:pPr>
      <w:r>
        <w:rPr>
          <w:b/>
          <w:color w:val="1E3B7D"/>
        </w:rPr>
        <w:t xml:space="preserve">Networking: </w:t>
      </w:r>
      <w:r>
        <w:t>Creación y aprovechamiento de una red de contactos profesionales.</w:t>
      </w:r>
    </w:p>
    <w:p>
      <w:pPr>
        <w:spacing w:after="80"/>
        <w:jc w:val="both"/>
      </w:pPr>
      <w:r>
        <w:rPr>
          <w:b/>
          <w:color w:val="1E3B7D"/>
        </w:rPr>
        <w:t xml:space="preserve">OTRI: </w:t>
      </w:r>
      <w:r>
        <w:t>Oficina de Transferencia de Resultados de Investigación.</w:t>
      </w:r>
    </w:p>
    <w:p>
      <w:pPr>
        <w:spacing w:after="80"/>
        <w:jc w:val="both"/>
      </w:pPr>
      <w:r>
        <w:rPr>
          <w:b/>
          <w:color w:val="1E3B7D"/>
        </w:rPr>
        <w:t xml:space="preserve">PDI: </w:t>
      </w:r>
      <w:r>
        <w:t>Plan de Desarrollo Institucional.</w:t>
      </w:r>
    </w:p>
    <w:p>
      <w:pPr>
        <w:spacing w:after="80"/>
        <w:jc w:val="both"/>
      </w:pPr>
      <w:r>
        <w:rPr>
          <w:b/>
          <w:color w:val="1E3B7D"/>
        </w:rPr>
        <w:t xml:space="preserve">Preincubación: </w:t>
      </w:r>
      <w:r>
        <w:t>Etapa previa a la incubación en la que se estructura y valida la idea de negocio.</w:t>
      </w:r>
    </w:p>
    <w:p>
      <w:pPr>
        <w:spacing w:after="80"/>
        <w:jc w:val="both"/>
      </w:pPr>
      <w:r>
        <w:rPr>
          <w:b/>
          <w:color w:val="1E3B7D"/>
        </w:rPr>
        <w:t xml:space="preserve">Propiedad intelectual (PI): </w:t>
      </w:r>
      <w:r>
        <w:t>Conjunto de derechos sobre creaciones del intelecto, como patentes, marcas y derechos de autor.</w:t>
      </w:r>
    </w:p>
    <w:p>
      <w:pPr>
        <w:spacing w:after="80"/>
        <w:jc w:val="both"/>
      </w:pPr>
      <w:r>
        <w:rPr>
          <w:b/>
          <w:color w:val="1E3B7D"/>
        </w:rPr>
        <w:t xml:space="preserve">Prototipo: </w:t>
      </w:r>
      <w:r>
        <w:t>Versión preliminar de un producto que permite probar y validar su funcionamiento.</w:t>
      </w:r>
    </w:p>
    <w:p>
      <w:pPr>
        <w:spacing w:after="80"/>
        <w:jc w:val="both"/>
      </w:pPr>
      <w:r>
        <w:rPr>
          <w:b/>
          <w:color w:val="1E3B7D"/>
        </w:rPr>
        <w:t xml:space="preserve">PTC (Parque Tecnológico del Caribe): </w:t>
      </w:r>
      <w:r>
        <w:t>Infraestructura regional para el desarrollo de emprendimientos de base tecnológica e innovación.</w:t>
      </w:r>
    </w:p>
    <w:p>
      <w:pPr>
        <w:spacing w:after="80"/>
        <w:jc w:val="both"/>
      </w:pPr>
      <w:r>
        <w:rPr>
          <w:b/>
          <w:color w:val="1E3B7D"/>
        </w:rPr>
        <w:t xml:space="preserve">Semillero de investigación: </w:t>
      </w:r>
      <w:r>
        <w:t>Grupo de estudiantes y docentes que desarrollan investigación e iniciativas de innovación.</w:t>
      </w:r>
    </w:p>
    <w:p>
      <w:pPr>
        <w:spacing w:after="80"/>
        <w:jc w:val="both"/>
      </w:pPr>
      <w:r>
        <w:rPr>
          <w:b/>
          <w:color w:val="1E3B7D"/>
        </w:rPr>
        <w:t xml:space="preserve">Sensibilización: </w:t>
      </w:r>
      <w:r>
        <w:t>Acciones orientadas a despertar el interés y la cultura emprendedora en la comunidad.</w:t>
      </w:r>
    </w:p>
    <w:p>
      <w:pPr>
        <w:spacing w:after="80"/>
        <w:jc w:val="both"/>
      </w:pPr>
      <w:r>
        <w:rPr>
          <w:b/>
          <w:color w:val="1E3B7D"/>
        </w:rPr>
        <w:t xml:space="preserve">Spin-off: </w:t>
      </w:r>
      <w:r>
        <w:t>Empresa derivada de resultados de investigación científica o tecnológica.</w:t>
      </w:r>
    </w:p>
    <w:p>
      <w:pPr>
        <w:spacing w:after="80"/>
        <w:jc w:val="both"/>
      </w:pPr>
      <w:r>
        <w:rPr>
          <w:b/>
          <w:color w:val="1E3B7D"/>
        </w:rPr>
        <w:t xml:space="preserve">Startup: </w:t>
      </w:r>
      <w:r>
        <w:t>Empresa emergente, con frecuencia de base tecnológica, con alto potencial de crecimiento.</w:t>
      </w:r>
    </w:p>
    <w:p>
      <w:pPr>
        <w:spacing w:after="80"/>
        <w:jc w:val="both"/>
      </w:pPr>
      <w:r>
        <w:rPr>
          <w:b/>
          <w:color w:val="1E3B7D"/>
        </w:rPr>
        <w:t xml:space="preserve">Tercera misión: </w:t>
      </w:r>
      <w:r>
        <w:t>Función de la universidad de contribuir al desarrollo del entorno, más allá de la docencia y la investigación.</w:t>
      </w:r>
    </w:p>
    <w:p>
      <w:pPr>
        <w:spacing w:after="80"/>
        <w:jc w:val="both"/>
      </w:pPr>
      <w:r>
        <w:rPr>
          <w:b/>
          <w:color w:val="1E3B7D"/>
        </w:rPr>
        <w:t xml:space="preserve">Transferencia de conocimiento: </w:t>
      </w:r>
      <w:r>
        <w:t>Proceso de llevar el conocimiento generado en la universidad al sector productivo y social.</w:t>
      </w:r>
    </w:p>
    <w:p>
      <w:pPr>
        <w:spacing w:after="80"/>
        <w:jc w:val="both"/>
      </w:pPr>
      <w:r>
        <w:rPr>
          <w:b/>
          <w:color w:val="1E3B7D"/>
        </w:rPr>
        <w:t xml:space="preserve">Transformación digital: </w:t>
      </w:r>
      <w:r>
        <w:t>Incorporación de tecnologías digitales en los procesos y en el modelo de negocio de una organización.</w:t>
      </w:r>
    </w:p>
    <w:p>
      <w:pPr>
        <w:spacing w:after="80"/>
        <w:jc w:val="both"/>
      </w:pPr>
      <w:r>
        <w:rPr>
          <w:b/>
          <w:color w:val="1E3B7D"/>
        </w:rPr>
        <w:t xml:space="preserve">Validación: </w:t>
      </w:r>
      <w:r>
        <w:t>Proceso de comprobar con usuarios reales que una propuesta resuelve una necesidad.</w:t>
      </w:r>
    </w:p>
    <w:p>
      <w:pPr>
        <w:pStyle w:val="Heading1"/>
        <w:spacing w:before="280" w:after="120"/>
      </w:pPr>
      <w:r>
        <w:t>6. Bibliografía</w:t>
      </w:r>
    </w:p>
    <w:p>
      <w:pPr>
        <w:spacing w:after="120"/>
        <w:ind w:left="567" w:hanging="567"/>
        <w:jc w:val="both"/>
      </w:pPr>
      <w:r>
        <w:rPr>
          <w:sz w:val="20"/>
        </w:rPr>
        <w:t>Alcaldía de Medellín. (s.f.). Parque E. Recuperado de https://www.medellin.gov.co/es/eventos/parque-e/</w:t>
      </w:r>
    </w:p>
    <w:p>
      <w:pPr>
        <w:spacing w:after="120"/>
        <w:ind w:left="567" w:hanging="567"/>
        <w:jc w:val="both"/>
      </w:pPr>
      <w:r>
        <w:rPr>
          <w:sz w:val="20"/>
        </w:rPr>
        <w:t>Bermúdez Sánchez, Y. (2015). Modelo para el mejoramiento de la creación de empresas innovadoras y competitivas desde el ámbito universitario de Bogotá: un reto al desarrollo endógeno local regional [Tesis de doctorado, Universidad de Mondragón]. Repositorio Institucional.</w:t>
      </w:r>
    </w:p>
    <w:p>
      <w:pPr>
        <w:spacing w:after="120"/>
        <w:ind w:left="567" w:hanging="567"/>
        <w:jc w:val="both"/>
      </w:pPr>
      <w:r>
        <w:rPr>
          <w:sz w:val="20"/>
        </w:rPr>
        <w:t>Cientech. (s.f.). ¿Quiénes somos? Recuperado de https://www.cientech.org/quienes-somos/</w:t>
      </w:r>
    </w:p>
    <w:p>
      <w:pPr>
        <w:spacing w:after="120"/>
        <w:ind w:left="567" w:hanging="567"/>
        <w:jc w:val="both"/>
      </w:pPr>
      <w:r>
        <w:rPr>
          <w:sz w:val="20"/>
        </w:rPr>
        <w:t>Congreso de la República de Colombia. (26 de enero de 2006). Ley 1014 de 2006: de fomento a la cultura del emprendimiento. Diario Oficial No. 46.164.</w:t>
      </w:r>
    </w:p>
    <w:p>
      <w:pPr>
        <w:spacing w:after="120"/>
        <w:ind w:left="567" w:hanging="567"/>
        <w:jc w:val="both"/>
      </w:pPr>
      <w:r>
        <w:rPr>
          <w:sz w:val="20"/>
        </w:rPr>
        <w:t>Corporación Ruta N Medellín. (s.f.). Ruta N Medellín. Recuperado de https://rutanmedellin.org/</w:t>
      </w:r>
    </w:p>
    <w:p>
      <w:pPr>
        <w:spacing w:after="120"/>
        <w:ind w:left="567" w:hanging="567"/>
        <w:jc w:val="both"/>
      </w:pPr>
      <w:r>
        <w:rPr>
          <w:sz w:val="20"/>
        </w:rPr>
        <w:t>Corporación Universitaria Americana. (s.f.). Centro de Innovación y Emprendimiento. Recuperado de https://americana.edu.co/centro-de-innovacion-y-emprendimiento/</w:t>
      </w:r>
    </w:p>
    <w:p>
      <w:pPr>
        <w:spacing w:after="120"/>
        <w:ind w:left="567" w:hanging="567"/>
        <w:jc w:val="both"/>
      </w:pPr>
      <w:r>
        <w:rPr>
          <w:sz w:val="20"/>
        </w:rPr>
        <w:t>Gálvez-Albarracín, E. J., Granado-Mandinga, C. A., &amp; Peláez-León, J. D. (2025). El emprendimiento universitario en Colombia desde el apoyo familiar, persistencia emprendedora y desempeño. Retos. Revista de Ciencias de la Administración y Economía, 15(30), 275–292.</w:t>
      </w:r>
    </w:p>
    <w:p>
      <w:pPr>
        <w:spacing w:after="120"/>
        <w:ind w:left="567" w:hanging="567"/>
        <w:jc w:val="both"/>
      </w:pPr>
      <w:r>
        <w:rPr>
          <w:sz w:val="20"/>
        </w:rPr>
        <w:t>MacondoLab – Universidad Simón Bolívar. (s.f.). Metodología. Recuperado de https://macondolab.com/metodologia/</w:t>
      </w:r>
    </w:p>
    <w:p>
      <w:pPr>
        <w:spacing w:after="120"/>
        <w:ind w:left="567" w:hanging="567"/>
        <w:jc w:val="both"/>
      </w:pPr>
      <w:r>
        <w:rPr>
          <w:sz w:val="20"/>
        </w:rPr>
        <w:t>Méndez Lozano, R. (2015). Centro de emprendimiento e innovación: una estrategia de desarrollo institucional. Entornos, 28(2), 121–129.</w:t>
      </w:r>
    </w:p>
    <w:p>
      <w:pPr>
        <w:spacing w:after="120"/>
        <w:ind w:left="567" w:hanging="567"/>
        <w:jc w:val="both"/>
      </w:pPr>
      <w:r>
        <w:rPr>
          <w:sz w:val="20"/>
        </w:rPr>
        <w:t>Merizalde Véliz, D. C., Aguilar Herrera, J. A., Loayza Freire, E. D., Arteaga Alcívar, Y., &amp; Ramírez Carmona, L. A. (2026). Innovación y emprendimiento universitario en América Latina: qué funciona y qué fracasa en la transferencia a territorio. Alpha International Journal, 4(1), 85–103.</w:t>
      </w:r>
    </w:p>
    <w:p>
      <w:pPr>
        <w:spacing w:after="120"/>
        <w:ind w:left="567" w:hanging="567"/>
        <w:jc w:val="both"/>
      </w:pPr>
      <w:r>
        <w:rPr>
          <w:sz w:val="20"/>
        </w:rPr>
        <w:t>Ministerio de Comercio, Industria y Turismo. (2020). Política nacional de emprendimiento. Gobierno de Colombia.</w:t>
      </w:r>
    </w:p>
    <w:p>
      <w:pPr>
        <w:spacing w:after="120"/>
        <w:ind w:left="567" w:hanging="567"/>
        <w:jc w:val="both"/>
      </w:pPr>
      <w:r>
        <w:rPr>
          <w:sz w:val="20"/>
        </w:rPr>
        <w:t>Pitre-Redondo, R., Díaz Pertuz, A., &amp; Vidal, J. E. (2015). Modelo de gestión estratégica en unidades de emprendimiento empresarial de la Universidad de La Guajira. Desarrollo Gerencial, 7(1), 140–159.</w:t>
      </w:r>
    </w:p>
    <w:p>
      <w:pPr>
        <w:spacing w:after="120"/>
        <w:ind w:left="567" w:hanging="567"/>
        <w:jc w:val="both"/>
      </w:pPr>
      <w:r>
        <w:rPr>
          <w:sz w:val="20"/>
        </w:rPr>
        <w:t>Pöcher, B., Campbell, D. F. J., &amp; Carayannis, E. G. (2026). Innovation and entrepreneurship in organizational university “Third Space” arrangements: third space and third mission in mode 3 universities. Journal of Innovation and Entrepreneurship, 15(2).</w:t>
      </w:r>
    </w:p>
    <w:p>
      <w:pPr>
        <w:spacing w:after="120"/>
        <w:ind w:left="567" w:hanging="567"/>
        <w:jc w:val="both"/>
      </w:pPr>
      <w:r>
        <w:rPr>
          <w:sz w:val="20"/>
        </w:rPr>
        <w:t>Saavedra-García, M. L., Riveros Rosas, A., &amp; Velázquez Rojas, K. G. (2025). A proposal for measuring entrepreneurial intention among university students. Small Business International Review, 9(1), e719.</w:t>
      </w:r>
    </w:p>
    <w:p>
      <w:pPr>
        <w:spacing w:after="120"/>
        <w:ind w:left="567" w:hanging="567"/>
        <w:jc w:val="both"/>
      </w:pPr>
      <w:r>
        <w:rPr>
          <w:sz w:val="20"/>
        </w:rPr>
        <w:t>Universidad de la Costa. (s.f.). Departamento de Productividad e Innovación. Recuperado de https://www.cuc.edu.co/dpto-productividad-innovacion</w:t>
      </w:r>
    </w:p>
    <w:p>
      <w:pPr>
        <w:spacing w:after="120"/>
        <w:ind w:left="567" w:hanging="567"/>
        <w:jc w:val="both"/>
      </w:pPr>
      <w:r>
        <w:rPr>
          <w:sz w:val="20"/>
        </w:rPr>
        <w:t>Universidad de los Andes. (s.f.). Ecosistema de Innovación, Emprendimiento y Transferencia. Recuperado de https://ecosistema.uniandes.edu.co/</w:t>
      </w:r>
    </w:p>
    <w:p>
      <w:pPr>
        <w:spacing w:after="120"/>
        <w:ind w:left="567" w:hanging="567"/>
        <w:jc w:val="both"/>
      </w:pPr>
      <w:r>
        <w:rPr>
          <w:sz w:val="20"/>
        </w:rPr>
        <w:t>Universidad del Atlántico. (2022). Plan de Desarrollo Institucional 2022–2031: ¡Juntos construimos Universidad! Oficina de Planeación.</w:t>
      </w:r>
    </w:p>
    <w:p>
      <w:pPr>
        <w:spacing w:after="120"/>
        <w:ind w:left="567" w:hanging="567"/>
        <w:jc w:val="both"/>
      </w:pPr>
      <w:r>
        <w:rPr>
          <w:sz w:val="20"/>
        </w:rPr>
        <w:t>Universidad del Atlántico. (2026). Organigrama institucional. Recuperado de https://www.uniatlantico.edu.co/wp-content/uploads/2026/05/Organigrama-Universidad-del-Atlantico.pdf</w:t>
      </w:r>
    </w:p>
    <w:p>
      <w:pPr>
        <w:spacing w:after="120"/>
        <w:ind w:left="567" w:hanging="567"/>
        <w:jc w:val="both"/>
      </w:pPr>
      <w:r>
        <w:rPr>
          <w:sz w:val="20"/>
        </w:rPr>
        <w:t>Universidad del Norte. (s.f.). Centro de Emprendimiento. Recuperado de https://www.uninorte.edu.co/web/centro-de-emprendimiento</w:t>
      </w:r>
    </w:p>
    <w:p>
      <w:pPr>
        <w:spacing w:after="120"/>
        <w:ind w:left="567" w:hanging="567"/>
        <w:jc w:val="both"/>
      </w:pPr>
      <w:r>
        <w:rPr>
          <w:sz w:val="20"/>
        </w:rPr>
        <w:t>Universidad EAFIT. (s.f.). Itinerario EAFIT 2035. Recuperado de https://www.eafit.edu.co/institucional/valores/nuestras-declaraciones-institucionales/itinerario-eafit-plan-desarrollo-institucional</w:t>
      </w:r>
    </w:p>
    <w:p>
      <w:pPr>
        <w:spacing w:after="120"/>
        <w:ind w:left="567" w:hanging="567"/>
        <w:jc w:val="both"/>
      </w:pPr>
      <w:r>
        <w:rPr>
          <w:sz w:val="20"/>
        </w:rPr>
        <w:t>Zubillaga del Río, A. (2015). El emprendimiento como elemento de formación universitaria: en busca de nuevas propuestas. Creatividad y Sociedad, (23), 182–199.</w:t>
      </w:r>
    </w:p>
    <w:p>
      <w:pPr>
        <w:pStyle w:val="Heading1"/>
        <w:spacing w:before="280" w:after="120"/>
      </w:pPr>
      <w:r>
        <w:t>7. Anexos</w:t>
      </w:r>
    </w:p>
    <w:p>
      <w:pPr>
        <w:spacing w:after="80" w:before="0"/>
        <w:jc w:val="both"/>
      </w:pPr>
      <w:r>
        <w:rPr>
          <w:b w:val="0"/>
          <w:i w:val="0"/>
        </w:rPr>
        <w:t>La información que amplía y sustenta este informe se incorpora en los siguientes documentos complementarios:</w:t>
      </w:r>
    </w:p>
    <w:p>
      <w:pPr>
        <w:pStyle w:val="ListBullet"/>
        <w:spacing w:after="60"/>
        <w:ind w:left="454"/>
        <w:jc w:val="both"/>
      </w:pPr>
      <w:r>
        <w:rPr>
          <w:b w:val="0"/>
          <w:sz w:val="22"/>
        </w:rPr>
        <w:t>Anexo 1. Entrevistas / guías de consulta (CIE y Corporación MAVI).</w:t>
      </w:r>
    </w:p>
    <w:p>
      <w:pPr>
        <w:pStyle w:val="ListBullet"/>
        <w:spacing w:after="60"/>
        <w:ind w:left="454"/>
        <w:jc w:val="both"/>
      </w:pPr>
      <w:r>
        <w:rPr>
          <w:b w:val="0"/>
          <w:sz w:val="22"/>
        </w:rPr>
        <w:t>Anexo 2. Encuesta a estudiantes y egresados y resultados.</w:t>
      </w:r>
    </w:p>
    <w:p>
      <w:pPr>
        <w:pStyle w:val="ListBullet"/>
        <w:spacing w:after="60"/>
        <w:ind w:left="454"/>
        <w:jc w:val="both"/>
      </w:pPr>
      <w:r>
        <w:rPr>
          <w:b w:val="0"/>
          <w:sz w:val="22"/>
        </w:rPr>
        <w:t>Anexo 3. Encuesta a docentes y resultados.</w:t>
      </w:r>
    </w:p>
    <w:p>
      <w:pPr>
        <w:pStyle w:val="ListBullet"/>
        <w:spacing w:after="60"/>
        <w:ind w:left="454"/>
        <w:jc w:val="both"/>
      </w:pPr>
      <w:r>
        <w:rPr>
          <w:b w:val="0"/>
          <w:sz w:val="22"/>
        </w:rPr>
        <w:t>Anexo 4. Análisis DOFA (documento en Word).</w:t>
      </w:r>
    </w:p>
    <w:p>
      <w:pPr>
        <w:pStyle w:val="ListBullet"/>
        <w:spacing w:after="60"/>
        <w:ind w:left="454"/>
        <w:jc w:val="both"/>
      </w:pPr>
      <w:r>
        <w:rPr>
          <w:b w:val="0"/>
          <w:sz w:val="22"/>
        </w:rPr>
        <w:t>Anexo 5. Documento técnico de la ruta institucional de emprendimiento (Word).</w:t>
      </w:r>
    </w:p>
    <w:p>
      <w:pPr>
        <w:pStyle w:val="ListBullet"/>
        <w:spacing w:after="60"/>
        <w:ind w:left="454"/>
        <w:jc w:val="both"/>
      </w:pPr>
      <w:r>
        <w:rPr>
          <w:b w:val="0"/>
          <w:sz w:val="22"/>
        </w:rPr>
        <w:t>Anexo 6. Guía visual de la ruta institucional de emprendimiento (PowerPoint).</w:t>
      </w:r>
    </w:p>
    <w:p>
      <w:pPr>
        <w:pStyle w:val="ListBullet"/>
        <w:spacing w:after="60"/>
        <w:ind w:left="454"/>
        <w:jc w:val="both"/>
      </w:pPr>
      <w:r>
        <w:rPr>
          <w:b w:val="0"/>
          <w:sz w:val="22"/>
        </w:rPr>
        <w:t>Anexo 7. Estrategias de articulación con las facultades (documento en Word).</w:t>
      </w:r>
    </w:p>
    <w:sectPr w:rsidR="00FC693F" w:rsidRPr="0006063C" w:rsidSect="00034616">
      <w:footerReference w:type="default" r:id="rId9"/>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8"/>
      </w:rPr>
      <w:t xml:space="preserve">Página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E3B7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E3B7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E3B7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