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0"/>
        <w:jc w:val="center"/>
      </w:pPr>
      <w:r>
        <w:rPr>
          <w:b/>
          <w:i w:val="0"/>
          <w:color w:val="1E3B7D"/>
          <w:sz w:val="32"/>
        </w:rPr>
        <w:t>UNIVERSIDAD DEL ATLÁNTICO</w:t>
      </w:r>
    </w:p>
    <w:p>
      <w:pPr>
        <w:spacing w:after="120"/>
        <w:jc w:val="center"/>
      </w:pPr>
      <w:r>
        <w:rPr>
          <w:b w:val="0"/>
          <w:i w:val="0"/>
          <w:color w:val="595959"/>
          <w:sz w:val="24"/>
        </w:rPr>
        <w:t>Facultad de Ciencias Económicas — Administración de Empresas</w:t>
      </w:r>
    </w:p>
    <w:p/>
    <w:p/>
    <w:p/>
    <w:p>
      <w:pPr>
        <w:spacing w:after="0"/>
        <w:jc w:val="center"/>
      </w:pPr>
      <w:r>
        <w:rPr>
          <w:b/>
          <w:i w:val="0"/>
          <w:color w:val="1E3B7D"/>
          <w:sz w:val="48"/>
        </w:rPr>
        <w:t>RUTA INSTITUCIONAL DE EMPRENDIMIENTO</w:t>
      </w:r>
    </w:p>
    <w:p>
      <w:pPr>
        <w:spacing w:after="120"/>
        <w:jc w:val="center"/>
      </w:pPr>
      <w:r>
        <w:rPr>
          <w:b w:val="0"/>
          <w:i w:val="0"/>
          <w:color w:val="E47331"/>
          <w:sz w:val="28"/>
        </w:rPr>
        <w:t>Centro de Innovación y Emprendimiento (CIE)</w:t>
      </w:r>
    </w:p>
    <w:p/>
    <w:p/>
    <w:p>
      <w:pPr>
        <w:spacing w:after="120"/>
        <w:jc w:val="center"/>
      </w:pPr>
      <w:r>
        <w:rPr>
          <w:b w:val="0"/>
          <w:i/>
          <w:color w:val="595959"/>
          <w:sz w:val="22"/>
        </w:rPr>
        <w:t>Documento técnico de diseño — Práctica Profesional (Opción de Grado)</w:t>
      </w:r>
    </w:p>
    <w:p/>
    <w:p/>
    <w:p/>
    <w:p/>
    <w:p/>
    <w:p/>
    <w:p>
      <w:pPr>
        <w:spacing w:after="0"/>
        <w:jc w:val="center"/>
      </w:pPr>
      <w:r>
        <w:rPr>
          <w:b w:val="0"/>
          <w:i w:val="0"/>
          <w:sz w:val="24"/>
        </w:rPr>
        <w:t>Autor: Ronaldo Javier Martínez Mur</w:t>
      </w:r>
    </w:p>
    <w:p>
      <w:pPr>
        <w:spacing w:after="0"/>
        <w:jc w:val="center"/>
      </w:pPr>
      <w:r>
        <w:rPr>
          <w:b w:val="0"/>
          <w:i w:val="0"/>
          <w:sz w:val="24"/>
        </w:rPr>
        <w:t>Tutora: Graciela E. Villamil Villadiego</w:t>
      </w:r>
    </w:p>
    <w:p>
      <w:pPr>
        <w:spacing w:after="0"/>
        <w:jc w:val="center"/>
      </w:pPr>
      <w:r>
        <w:rPr>
          <w:b w:val="0"/>
          <w:i w:val="0"/>
          <w:sz w:val="24"/>
        </w:rPr>
        <w:t>Funcionario responsable: Jorge Eliecer Duarte Forero</w:t>
      </w:r>
    </w:p>
    <w:p/>
    <w:p/>
    <w:p/>
    <w:p/>
    <w:p>
      <w:pPr>
        <w:spacing w:after="120"/>
        <w:jc w:val="center"/>
      </w:pPr>
      <w:r>
        <w:rPr>
          <w:b/>
          <w:i w:val="0"/>
          <w:color w:val="1E3B7D"/>
          <w:sz w:val="24"/>
        </w:rPr>
        <w:t>Barranquilla, 2026</w:t>
      </w:r>
    </w:p>
    <w:p>
      <w:r>
        <w:br w:type="page"/>
      </w:r>
    </w:p>
    <w:p>
      <w:pPr>
        <w:pStyle w:val="Heading1"/>
        <w:spacing w:before="240"/>
      </w:pPr>
      <w:r>
        <w:t>Tabla de contenido</w:t>
      </w:r>
    </w:p>
    <w:p>
      <w:fldSimple w:instr="TOC \o &quot;1-3&quot; \h \z \u">
        <w:r>
          <w:t>Actualizar la tabla de contenido en Word: clic derecho &gt; Actualizar campos.</w:t>
        </w:r>
      </w:fldSimple>
    </w:p>
    <w:p>
      <w:r>
        <w:br w:type="page"/>
      </w:r>
    </w:p>
    <w:p>
      <w:pPr>
        <w:pStyle w:val="Heading1"/>
        <w:spacing w:before="240"/>
      </w:pPr>
      <w:r>
        <w:t>1. Presentación</w:t>
      </w:r>
    </w:p>
    <w:p>
      <w:pPr>
        <w:spacing w:after="120"/>
        <w:jc w:val="both"/>
      </w:pPr>
      <w:r>
        <w:rPr>
          <w:b w:val="0"/>
          <w:i w:val="0"/>
        </w:rPr>
        <w:t>La Ruta Institucional de Emprendimiento es un instrumento de gestión que organiza, en fases claras, secuenciales y articuladas, el acompañamiento que el Centro de Innovación y Emprendimiento (CIE) de la Universidad del Atlántico ofrece a su comunidad —estudiantes, egresados y docentes— desde el momento en que una persona se interesa por emprender hasta que su iniciativa madura, se sostiene y se conecta con el ecosistema regional de innovación y con fuentes de financiación.</w:t>
      </w:r>
    </w:p>
    <w:p>
      <w:pPr>
        <w:spacing w:after="120"/>
        <w:jc w:val="both"/>
      </w:pPr>
      <w:r>
        <w:rPr>
          <w:b w:val="0"/>
          <w:i w:val="0"/>
        </w:rPr>
        <w:t>El CIE corresponde a la unidad que el Plan de Desarrollo Institucional (PDI) 2022-2031 denomina, como meta, «Centro de Emprendimiento UA Emprende». En el presente documento se emplea de manera uniforme la denominación operativa Centro de Innovación y Emprendimiento (CIE), entendiendo «UA Emprende» como la iniciativa institucional asociada.</w:t>
      </w:r>
    </w:p>
    <w:p>
      <w:pPr>
        <w:spacing w:after="120"/>
        <w:jc w:val="both"/>
      </w:pPr>
      <w:r>
        <w:rPr>
          <w:b w:val="0"/>
          <w:i w:val="0"/>
        </w:rPr>
        <w:t>La ruta responde a una necesidad concreta identificada mediante un diagnóstico con múltiples fuentes: existe un alto interés emprendedor en la comunidad universitaria, pero un bajo conocimiento del CIE y una ausencia de una secuencia estructurada que estandarice etapas, roles, servicios, tiempos y criterios de atención. Su finalidad es cerrar esa brecha y convertir el interés existente en proyectos con acompañamiento efectivo y sostenible.</w:t>
      </w:r>
    </w:p>
    <w:p>
      <w:pPr>
        <w:pStyle w:val="Heading1"/>
        <w:spacing w:before="240"/>
      </w:pPr>
      <w:r>
        <w:t>2. Justificación</w:t>
      </w:r>
    </w:p>
    <w:p>
      <w:pPr>
        <w:spacing w:after="120"/>
        <w:jc w:val="both"/>
      </w:pPr>
      <w:r>
        <w:rPr>
          <w:b w:val="0"/>
          <w:i w:val="0"/>
        </w:rPr>
        <w:t>El diseño de esta ruta se sustenta en evidencia recolectada a través de tres fuentes independientes que convergen en el mismo diagnóstico (contraste de fuentes):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Encuesta a estudiantes y egresados (n = 106):</w:t>
      </w:r>
      <w:r>
        <w:rPr>
          <w:b w:val="0"/>
        </w:rPr>
        <w:t xml:space="preserve"> el 67 % declara conocer poco o nada el CIE, mientras que el 87,7 % manifiesta algún grado de interés o actividad emprendedora. La principal razón para no acercarse al CIE es el desconocimiento de sus servicios (54,7 %), seguida de no saber cómo acceder (29,2 %).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Encuesta a docentes (n = 10):</w:t>
      </w:r>
      <w:r>
        <w:rPr>
          <w:b w:val="0"/>
        </w:rPr>
        <w:t xml:space="preserve"> la afirmación mejor valorada fue que «la creación de una ruta institucional fortalecería el ecosistema emprendedor» (4,2/5); las peor valoradas fueron la articulación entre facultades y el CIE (3,2/5) y la promoción de la cultura emprendedora (3,2/5). La dificultad señalada con mayor frecuencia fue la falta de articulación (60 %).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Consultas a actores del ecosistema:</w:t>
      </w:r>
      <w:r>
        <w:rPr>
          <w:b w:val="0"/>
        </w:rPr>
        <w:t xml:space="preserve"> un funcionario del CIE reconoció que no existe una ruta estructurada, sino «acciones y mecanismos» dispersos; mientras que un referente externo (Corporación MAVI – Comunidad Pa'Lante) demostró que una ruta por etapas, en operación, es viable y efectiva.</w:t>
      </w:r>
    </w:p>
    <w:p>
      <w:pPr>
        <w:spacing w:after="120"/>
        <w:jc w:val="both"/>
      </w:pPr>
      <w:r>
        <w:rPr>
          <w:b w:val="0"/>
          <w:i w:val="0"/>
        </w:rPr>
        <w:t>En consecuencia, el problema no es la falta de motivación —que es alta— sino la baja visibilidad del CIE, la ausencia de una ruta clara y la débil articulación con las facultades. Una ruta institucional estructurada, difundida y articulada es la respuesta directa a estos hallazgos, y además materializa un mandato explícito del PDI 2022-2031.</w:t>
      </w:r>
    </w:p>
    <w:p>
      <w:pPr>
        <w:pStyle w:val="Heading1"/>
        <w:spacing w:before="240"/>
      </w:pPr>
      <w:r>
        <w:t>3. Objetivos de la ruta</w:t>
      </w:r>
    </w:p>
    <w:p>
      <w:pPr>
        <w:pStyle w:val="Heading2"/>
      </w:pPr>
      <w:r>
        <w:t>3.1 Objetivo general</w:t>
      </w:r>
    </w:p>
    <w:p>
      <w:pPr>
        <w:spacing w:after="120"/>
        <w:jc w:val="both"/>
      </w:pPr>
      <w:r>
        <w:rPr>
          <w:b w:val="0"/>
          <w:i w:val="0"/>
        </w:rPr>
        <w:t>Diseñar una ruta institucional de emprendimiento que articule el Centro de Innovación y Emprendimiento con las facultades de la Universidad del Atlántico, estandarizando el acompañamiento por fases para incentivar y fortalecer el espíritu emprendedor de la comunidad universitaria.</w:t>
      </w:r>
    </w:p>
    <w:p>
      <w:pPr>
        <w:pStyle w:val="Heading2"/>
      </w:pPr>
      <w:r>
        <w:t>3.2 Objetivos específicos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Estandarizar las etapas, los roles, los servicios y los tiempos del acompañamiento al emprendedor dentro del CIE.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Mejorar la visibilidad y el acceso a la oferta del CIE mediante una estrategia de difusión transversal.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Fortalecer la articulación permanente entre el CIE, las facultades, los semilleros y el ecosistema regional de innovación.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Establecer indicadores de seguimiento que permitan medir el impacto y la sostenibilidad de los emprendimientos acompañados.</w:t>
      </w:r>
    </w:p>
    <w:p>
      <w:pPr>
        <w:pStyle w:val="Heading1"/>
        <w:spacing w:before="240"/>
      </w:pPr>
      <w:r>
        <w:t>4. Fundamento normativo e institucional</w:t>
      </w:r>
    </w:p>
    <w:p>
      <w:pPr>
        <w:spacing w:after="120"/>
        <w:jc w:val="both"/>
      </w:pPr>
      <w:r>
        <w:rPr>
          <w:b w:val="0"/>
          <w:i w:val="0"/>
        </w:rPr>
        <w:t>La ruta se apoya en un marco normativo nacional e institucional que respalda su pertinencia y obligatoriedad.</w:t>
      </w:r>
    </w:p>
    <w:p>
      <w:pPr>
        <w:pStyle w:val="Heading2"/>
      </w:pPr>
      <w:r>
        <w:t>4.1 Marco nacional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Ley 1014 de 2006</w:t>
      </w:r>
      <w:r>
        <w:rPr>
          <w:b w:val="0"/>
        </w:rPr>
        <w:t xml:space="preserve"> «De fomento a la cultura del emprendimiento»: promueve el espíritu emprendedor en todos los estamentos educativos del país y ordena crear un marco interinstitucional que fomente la cultura empresarial.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Política Nacional de Emprendimiento (MinCIT, 2020):</w:t>
      </w:r>
      <w:r>
        <w:rPr>
          <w:b w:val="0"/>
        </w:rPr>
        <w:t xml:space="preserve"> orienta el fortalecimiento del ecosistema emprendedor nacional, la financiación y la articulación entre actores.</w:t>
      </w:r>
    </w:p>
    <w:p>
      <w:pPr>
        <w:pStyle w:val="Heading2"/>
      </w:pPr>
      <w:r>
        <w:t>4.2 Marco institucional: PDI 2022-2031 de la Universidad del Atlántico</w:t>
      </w:r>
    </w:p>
    <w:p>
      <w:pPr>
        <w:spacing w:after="120"/>
        <w:jc w:val="both"/>
      </w:pPr>
      <w:r>
        <w:rPr>
          <w:b w:val="0"/>
          <w:i w:val="0"/>
        </w:rPr>
        <w:t>La ruta operacionaliza la Línea Estratégica 3 «Impacto regional, nacional e internacional desde la Extensión y Proyección Social». Los anclajes específicos son: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Estrategia 7:</w:t>
      </w:r>
      <w:r>
        <w:rPr>
          <w:b w:val="0"/>
        </w:rPr>
        <w:t xml:space="preserve"> «promover la innovación y desarrollo empresarial con responsabilidad social mediante actividades de sensibilización, acompañamiento y transferencia de conocimiento». Estos tres componentes constituyen la columna vertebral de las fases.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Estrategia 2:</w:t>
      </w:r>
      <w:r>
        <w:rPr>
          <w:b w:val="0"/>
        </w:rPr>
        <w:t xml:space="preserve"> «desarrollar y fomentar la cultura de innovación y emprendimiento mediante programas de formación y asesoría».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Estrategia 4:</w:t>
      </w:r>
      <w:r>
        <w:rPr>
          <w:b w:val="0"/>
        </w:rPr>
        <w:t xml:space="preserve"> articular la Extensión con las demás funciones sustantivas de la Universidad.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Meta institucional:</w:t>
      </w:r>
      <w:r>
        <w:rPr>
          <w:b w:val="0"/>
        </w:rPr>
        <w:t xml:space="preserve"> formular e implementar la «política de innovación, emprendimiento y transferencia tecnológica»; gestionar 30 proyectos de innovación y aportar 7 productos de transferencia tecnológica.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Meta institucional:</w:t>
      </w:r>
      <w:r>
        <w:rPr>
          <w:b w:val="0"/>
        </w:rPr>
        <w:t xml:space="preserve"> crear el Centro de Emprendimiento «UA Emprende» y garantizar la sostenibilidad de al menos el 3 % de los proyectos de emprendimiento acompañados.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Meta institucional:</w:t>
      </w:r>
      <w:r>
        <w:rPr>
          <w:b w:val="0"/>
        </w:rPr>
        <w:t xml:space="preserve"> desarrollar 2 spin-off desde los laboratorios de investigación y operacionalizar el Parque Tecnológico del Caribe (PTC), integrando el ecosistema de ciencia, tecnología e innovación de la región.</w:t>
      </w:r>
    </w:p>
    <w:p>
      <w:pPr>
        <w:spacing w:after="120"/>
        <w:jc w:val="both"/>
      </w:pPr>
      <w:r>
        <w:rPr>
          <w:b w:val="0"/>
          <w:i w:val="0"/>
        </w:rPr>
        <w:t>De esta manera, la ruta no es una iniciativa aislada: es el brazo operativo de la política de innovación y emprendimiento que el propio PDI ordena formular e implementar.</w:t>
      </w:r>
    </w:p>
    <w:p>
      <w:pPr>
        <w:pStyle w:val="Heading1"/>
        <w:spacing w:before="240"/>
      </w:pPr>
      <w:r>
        <w:t>5. Marco de referencia: modelos analizados (benchmarking)</w:t>
      </w:r>
    </w:p>
    <w:p>
      <w:pPr>
        <w:spacing w:after="120"/>
        <w:jc w:val="both"/>
      </w:pPr>
      <w:r>
        <w:rPr>
          <w:b w:val="0"/>
          <w:i w:val="0"/>
        </w:rPr>
        <w:t>El diseño de la ruta se nutrió del análisis de referentes nacionales y regionales, tanto de sus planes de desarrollo como de sus rutas operativas: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MacondoLab (Universidad Simón Bolívar):</w:t>
      </w:r>
      <w:r>
        <w:rPr>
          <w:b w:val="0"/>
        </w:rPr>
        <w:t xml:space="preserve"> ruta de cinco fases basada en la analogía de la metamorfosis (Diagnosticar, Descubrir, Hacer, Despegar, Crecer), con laboratorio de fabricación y prototipado.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Corporación Universitaria Americana:</w:t>
      </w:r>
      <w:r>
        <w:rPr>
          <w:b w:val="0"/>
        </w:rPr>
        <w:t xml:space="preserve"> fases de sensibilización, preincubación, incubación, fortalecimiento y aceleración, con espacios de coworking.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Universidad de los Andes:</w:t>
      </w:r>
      <w:r>
        <w:rPr>
          <w:b w:val="0"/>
        </w:rPr>
        <w:t xml:space="preserve"> ecosistema de innovación, emprendimiento y transferencia; uso de metodologías internacionales como Lean Startup y Disciplined Entrepreneurship.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Ruta N (Medellín):</w:t>
      </w:r>
      <w:r>
        <w:rPr>
          <w:b w:val="0"/>
        </w:rPr>
        <w:t xml:space="preserve"> articulador del ecosistema; formación, incubación, aceleración y conexión con inversionistas; innovación abierta.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Corporación MAVI – Comunidad Pa'Lante:</w:t>
      </w:r>
      <w:r>
        <w:rPr>
          <w:b w:val="0"/>
        </w:rPr>
        <w:t xml:space="preserve"> ruta de siete etapas en operación (valoración, modelo de negocio, branding, transformación digital, visibilidad, capital semilla/aceleración e innovación), no lineal.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Cientech (OTRI reconocida por MinCiencias):</w:t>
      </w:r>
      <w:r>
        <w:rPr>
          <w:b w:val="0"/>
        </w:rPr>
        <w:t xml:space="preserve"> modelo de transferencia tecnológica, propiedad intelectual y validación tecnológica; referente para la fase de transferencia.</w:t>
      </w:r>
    </w:p>
    <w:p>
      <w:pPr>
        <w:spacing w:after="120"/>
        <w:jc w:val="both"/>
      </w:pPr>
      <w:r>
        <w:rPr>
          <w:b w:val="0"/>
          <w:i w:val="0"/>
        </w:rPr>
        <w:t>El patrón común de los referentes maduros —sensibilizar, diagnosticar la madurez, formar y validar, incubar y fortalecer, acelerar y comercializar, financiar y transferir, con seguimiento transversal— fundamenta la estructura de la presente ruta.</w:t>
      </w:r>
    </w:p>
    <w:p>
      <w:pPr>
        <w:pStyle w:val="Heading1"/>
        <w:spacing w:before="240"/>
      </w:pPr>
      <w:r>
        <w:t>6. Principios rectores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No lineal / por nivel de madurez:</w:t>
      </w:r>
      <w:r>
        <w:rPr>
          <w:b w:val="0"/>
        </w:rPr>
        <w:t xml:space="preserve"> cada iniciativa ingresa en la fase que corresponde a su estado de desarrollo, definido en el diagnóstico.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Flexible y personalizada:</w:t>
      </w:r>
      <w:r>
        <w:rPr>
          <w:b w:val="0"/>
        </w:rPr>
        <w:t xml:space="preserve"> el acompañamiento se adapta a las necesidades particulares de cada proyecto.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Transversal a las facultades:</w:t>
      </w:r>
      <w:r>
        <w:rPr>
          <w:b w:val="0"/>
        </w:rPr>
        <w:t xml:space="preserve"> el emprendimiento no es exclusivo de un programa; la ruta es institucional.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Articulada con el ecosistema:</w:t>
      </w:r>
      <w:r>
        <w:rPr>
          <w:b w:val="0"/>
        </w:rPr>
        <w:t xml:space="preserve"> el CIE deriva a aliados internos (semilleros, CICIT, PTC) y externos (Cientech, Cámaras de Comercio, MacondoLab, Ruta N, inversionistas).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Basada en la demanda real:</w:t>
      </w:r>
      <w:r>
        <w:rPr>
          <w:b w:val="0"/>
        </w:rPr>
        <w:t xml:space="preserve"> los servicios responden a lo que la comunidad manifestó necesitar.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Medible:</w:t>
      </w:r>
      <w:r>
        <w:rPr>
          <w:b w:val="0"/>
        </w:rPr>
        <w:t xml:space="preserve"> cada fase deja evidencia e indicadores para evaluar impacto y sostenibilidad.</w:t>
      </w:r>
    </w:p>
    <w:p>
      <w:pPr>
        <w:pStyle w:val="Heading1"/>
        <w:spacing w:before="240"/>
      </w:pPr>
      <w:r>
        <w:t>7. Actores y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fill="1E3B7D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4549"/>
            <w:shd w:val="clear" w:fill="1E3B7D"/>
          </w:tcPr>
          <w:p>
            <w:r>
              <w:rPr>
                <w:b/>
                <w:color w:val="FFFFFF"/>
              </w:rPr>
              <w:t>Rol en la ruta</w:t>
            </w:r>
          </w:p>
        </w:tc>
      </w:tr>
      <w:tr>
        <w:tc>
          <w:tcPr>
            <w:tcW w:type="dxa" w:w="4549"/>
          </w:tcPr>
          <w:p>
            <w:r>
              <w:rPr>
                <w:b/>
              </w:rPr>
              <w:t>CIE (coordinación)</w:t>
            </w:r>
          </w:p>
        </w:tc>
        <w:tc>
          <w:tcPr>
            <w:tcW w:type="dxa" w:w="4549"/>
          </w:tcPr>
          <w:p>
            <w:r>
              <w:t>Gestiona la ruta, clasifica los proyectos, asigna el acompañamiento, articula a los actores y mide los indicadores.</w:t>
            </w:r>
          </w:p>
        </w:tc>
      </w:tr>
      <w:tr>
        <w:tc>
          <w:tcPr>
            <w:tcW w:type="dxa" w:w="4549"/>
          </w:tcPr>
          <w:p>
            <w:r>
              <w:rPr>
                <w:b/>
              </w:rPr>
              <w:t>Docente enlace por facultad</w:t>
            </w:r>
          </w:p>
        </w:tc>
        <w:tc>
          <w:tcPr>
            <w:tcW w:type="dxa" w:w="4549"/>
          </w:tcPr>
          <w:p>
            <w:r>
              <w:t>Puente permanente entre el CIE y cada facultad; identifica y remite proyectos, e integra el emprendimiento a las asignaturas.</w:t>
            </w:r>
          </w:p>
        </w:tc>
      </w:tr>
      <w:tr>
        <w:tc>
          <w:tcPr>
            <w:tcW w:type="dxa" w:w="4549"/>
          </w:tcPr>
          <w:p>
            <w:r>
              <w:rPr>
                <w:b/>
              </w:rPr>
              <w:t>Red de mentores multidisciplinarios</w:t>
            </w:r>
          </w:p>
        </w:tc>
        <w:tc>
          <w:tcPr>
            <w:tcW w:type="dxa" w:w="4549"/>
          </w:tcPr>
          <w:p>
            <w:r>
              <w:t>Docentes de distintas áreas, empresarios y egresados que brindan asesoría especializada según la etapa del proyecto.</w:t>
            </w:r>
          </w:p>
        </w:tc>
      </w:tr>
      <w:tr>
        <w:tc>
          <w:tcPr>
            <w:tcW w:type="dxa" w:w="4549"/>
          </w:tcPr>
          <w:p>
            <w:r>
              <w:rPr>
                <w:b/>
              </w:rPr>
              <w:t>Semilleros y grupos de investigación</w:t>
            </w:r>
          </w:p>
        </w:tc>
        <w:tc>
          <w:tcPr>
            <w:tcW w:type="dxa" w:w="4549"/>
          </w:tcPr>
          <w:p>
            <w:r>
              <w:t>Fuente de proyectos de base científico-tecnológica y de spin-offs.</w:t>
            </w:r>
          </w:p>
        </w:tc>
      </w:tr>
      <w:tr>
        <w:tc>
          <w:tcPr>
            <w:tcW w:type="dxa" w:w="4549"/>
          </w:tcPr>
          <w:p>
            <w:r>
              <w:rPr>
                <w:b/>
              </w:rPr>
              <w:t>Aliados externos</w:t>
            </w:r>
          </w:p>
        </w:tc>
        <w:tc>
          <w:tcPr>
            <w:tcW w:type="dxa" w:w="4549"/>
          </w:tcPr>
          <w:p>
            <w:r>
              <w:t>Cientech (OTRI), Cámaras de Comercio, MacondoLab, Ruta N, inversionistas y el Parque Tecnológico del Caribe.</w:t>
            </w:r>
          </w:p>
        </w:tc>
      </w:tr>
      <w:tr>
        <w:tc>
          <w:tcPr>
            <w:tcW w:type="dxa" w:w="4549"/>
          </w:tcPr>
          <w:p>
            <w:r>
              <w:rPr>
                <w:b/>
              </w:rPr>
              <w:t>Usuarios</w:t>
            </w:r>
          </w:p>
        </w:tc>
        <w:tc>
          <w:tcPr>
            <w:tcW w:type="dxa" w:w="4549"/>
          </w:tcPr>
          <w:p>
            <w:r>
              <w:t>Estudiantes, egresados y docentes emprendedores de todas las facultades.</w:t>
            </w:r>
          </w:p>
        </w:tc>
      </w:tr>
    </w:tbl>
    <w:p/>
    <w:p>
      <w:pPr>
        <w:pStyle w:val="Heading1"/>
        <w:spacing w:before="240"/>
      </w:pPr>
      <w:r>
        <w:t>8. Estructura general de la ruta</w:t>
      </w:r>
    </w:p>
    <w:p>
      <w:pPr>
        <w:spacing w:after="120"/>
        <w:jc w:val="both"/>
      </w:pPr>
      <w:r>
        <w:rPr>
          <w:b w:val="0"/>
          <w:i w:val="0"/>
        </w:rPr>
        <w:t>La ruta se compone de seis fases secuenciales, organizadas por nivel de madurez del proyecto, y de tres componentes transversales que acompañan todas las fases: T1. comunicación; T2. seguimiento e indicadores; y T3. articulación con las facultades. Su carácter no lineal permite que cada iniciativa ingrese en la fase correspondiente a su estado, tras el diagnóstico de la Fase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20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ta_emprendimi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1. Esquema general de la Ruta Institucional de Emprendimiento del CIE.</w:t>
      </w:r>
    </w:p>
    <w:p>
      <w:pPr>
        <w:pStyle w:val="Heading1"/>
        <w:spacing w:before="240"/>
      </w:pPr>
      <w:r>
        <w:t>9. Componentes transversales</w:t>
      </w:r>
    </w:p>
    <w:p>
      <w:pPr>
        <w:pStyle w:val="Heading2"/>
      </w:pPr>
      <w:r>
        <w:t>9.1 T1. Comunicación</w:t>
      </w:r>
    </w:p>
    <w:p>
      <w:pPr>
        <w:spacing w:after="120"/>
        <w:jc w:val="both"/>
      </w:pPr>
      <w:r>
        <w:rPr>
          <w:b w:val="0"/>
          <w:i w:val="0"/>
        </w:rPr>
        <w:t>Componente permanente orientado a resolver la principal barrera detectada: el desconocimiento del CIE. Prioriza los canales de mayor preferencia de la comunidad —correo institucional (49 %) y WhatsApp (33 %), que en conjunto suman el 82 %— y contempla difusión segmentada por facultad, presencia en redes sociales y actividades de visibilización en espacios de alta concurrencia estudiantil.</w:t>
      </w:r>
    </w:p>
    <w:p>
      <w:pPr>
        <w:pStyle w:val="Heading2"/>
      </w:pPr>
      <w:r>
        <w:t>9.2 T2. Seguimiento e indicadores</w:t>
      </w:r>
    </w:p>
    <w:p>
      <w:pPr>
        <w:spacing w:after="120"/>
        <w:jc w:val="both"/>
      </w:pPr>
      <w:r>
        <w:rPr>
          <w:b w:val="0"/>
          <w:i w:val="0"/>
        </w:rPr>
        <w:t>Componente que registra el avance de cada proyecto a lo largo de la ruta y mide el impacto mediante indicadores de gestión y resultado. Garantiza la continuidad de los procesos —una de las debilidades identificadas— y alimenta la meta de sostenibilidad del PDI (≥ 3 %).</w:t>
      </w:r>
    </w:p>
    <w:p>
      <w:pPr>
        <w:pStyle w:val="Heading2"/>
      </w:pPr>
      <w:r>
        <w:t>9.3 T3. Articulación con las facultades</w:t>
      </w:r>
    </w:p>
    <w:p>
      <w:pPr>
        <w:spacing w:after="120"/>
        <w:jc w:val="both"/>
      </w:pPr>
      <w:r>
        <w:rPr>
          <w:b w:val="0"/>
          <w:i w:val="0"/>
        </w:rPr>
        <w:t>Componente que coordina la relación permanente entre el CIE y las facultades a través de los docentes enlace. Asegura que la oferta y el acompañamiento de la ruta lleguen de forma transversal a toda la comunidad universitaria y que los proyectos surgidos en cada facultad se canalicen hacia la ruta.</w:t>
      </w:r>
    </w:p>
    <w:p>
      <w:pPr>
        <w:pStyle w:val="Heading1"/>
        <w:spacing w:before="240"/>
      </w:pPr>
      <w:r>
        <w:t>10. Descripción detallada de las fases</w:t>
      </w:r>
    </w:p>
    <w:p>
      <w:pPr>
        <w:pStyle w:val="Heading2"/>
      </w:pPr>
      <w:r>
        <w:t>Fase 1. Sensibilización</w:t>
      </w:r>
    </w:p>
    <w:p>
      <w:pPr>
        <w:spacing w:after="0"/>
        <w:jc w:val="both"/>
      </w:pPr>
      <w:r>
        <w:rPr>
          <w:b/>
          <w:i w:val="0"/>
        </w:rPr>
        <w:t xml:space="preserve">Objetivo. </w:t>
      </w:r>
      <w:r>
        <w:t>Despertar y fortalecer la cultura emprendedora en toda la comunidad universitaria, transformando actitudes y visibilizando la oferta del CIE.</w:t>
      </w:r>
    </w:p>
    <w:p>
      <w:pPr>
        <w:spacing w:after="120"/>
        <w:jc w:val="both"/>
      </w:pPr>
      <w:r>
        <w:rPr>
          <w:b w:val="0"/>
          <w:i w:val="0"/>
        </w:rPr>
        <w:t>Constituye la puerta de entrada a la ruta. Busca que estudiantes, egresados y docentes reconozcan el emprendimiento como una opción real de desarrollo y conozcan los servicios del CIE. Es de carácter masivo y transversal a las facultades.</w:t>
      </w:r>
    </w:p>
    <w:p>
      <w:pPr>
        <w:pStyle w:val="Heading3"/>
      </w:pPr>
      <w:r>
        <w:t>Actividades y servicios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Charlas y talleres de sensibilización en las aulas y en espacios comunes.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Ferias de emprendimiento y muestras de proyectos de la comunidad.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Cine-foros, conversatorios y testimonios de emprendedores y egresados.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Campañas de difusión del CIE por los canales institucionales.</w:t>
      </w:r>
    </w:p>
    <w:p>
      <w:pPr>
        <w:jc w:val="both"/>
      </w:pPr>
      <w:r>
        <w:rPr>
          <w:b/>
        </w:rPr>
        <w:t xml:space="preserve">Metodologías y herramientas: </w:t>
      </w:r>
      <w:r>
        <w:t>Metodologías activas y participativas; storytelling de casos de éxito.</w:t>
      </w:r>
    </w:p>
    <w:p>
      <w:pPr>
        <w:jc w:val="both"/>
      </w:pPr>
      <w:r>
        <w:rPr>
          <w:b/>
        </w:rPr>
        <w:t xml:space="preserve">Responsables: </w:t>
      </w:r>
      <w:r>
        <w:t>CIE y docentes enlace de cada facultad.</w:t>
      </w:r>
    </w:p>
    <w:p>
      <w:pPr>
        <w:jc w:val="both"/>
      </w:pPr>
      <w:r>
        <w:rPr>
          <w:b/>
        </w:rPr>
        <w:t xml:space="preserve">Entregable: </w:t>
      </w:r>
      <w:r>
        <w:t>Comunidad sensibilizada; base de datos de interesados captados.</w:t>
      </w:r>
    </w:p>
    <w:p>
      <w:pPr>
        <w:jc w:val="both"/>
      </w:pPr>
      <w:r>
        <w:rPr>
          <w:b/>
        </w:rPr>
        <w:t xml:space="preserve">Tiempo estimado: </w:t>
      </w:r>
      <w:r>
        <w:t>Transversal / continuo.</w:t>
      </w:r>
    </w:p>
    <w:p>
      <w:pPr>
        <w:jc w:val="both"/>
      </w:pPr>
      <w:r>
        <w:rPr>
          <w:b/>
          <w:color w:val="E47331"/>
        </w:rPr>
        <w:t xml:space="preserve">Anclaje (PDI y evidencia): </w:t>
      </w:r>
      <w:r>
        <w:t>PDI, Estrategia 7 (sensibilización). Encuesta a estudiantes: 45 % solicita talleres de creatividad e innovación.</w:t>
      </w:r>
    </w:p>
    <w:p>
      <w:pPr>
        <w:pStyle w:val="Heading2"/>
      </w:pPr>
      <w:r>
        <w:t>Fase 2. Identificación e ideación</w:t>
      </w:r>
    </w:p>
    <w:p>
      <w:pPr>
        <w:spacing w:after="0"/>
        <w:jc w:val="both"/>
      </w:pPr>
      <w:r>
        <w:rPr>
          <w:b/>
          <w:i w:val="0"/>
        </w:rPr>
        <w:t xml:space="preserve">Objetivo. </w:t>
      </w:r>
      <w:r>
        <w:t>Captar las ideas e iniciativas de la comunidad y ayudarlas a tomar forma inicial.</w:t>
      </w:r>
    </w:p>
    <w:p>
      <w:pPr>
        <w:spacing w:after="120"/>
        <w:jc w:val="both"/>
      </w:pPr>
      <w:r>
        <w:rPr>
          <w:b w:val="0"/>
          <w:i w:val="0"/>
        </w:rPr>
        <w:t>Una vez despertado el interés, esta fase recibe las ideas y acompaña su estructuración preliminar. Se articula estrechamente con los semilleros de investigación como fuente de proyectos de base científica.</w:t>
      </w:r>
    </w:p>
    <w:p>
      <w:pPr>
        <w:pStyle w:val="Heading3"/>
      </w:pPr>
      <w:r>
        <w:t>Actividades y servicios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Convocatorias internas periódicas de recepción de ideas.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Sesiones de ideación asistida y generación de oportunidades.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Vinculación de las iniciativas con semilleros y grupos de investigación.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Registro de la idea mediante una ficha inicial estandarizada.</w:t>
      </w:r>
    </w:p>
    <w:p>
      <w:pPr>
        <w:jc w:val="both"/>
      </w:pPr>
      <w:r>
        <w:rPr>
          <w:b/>
        </w:rPr>
        <w:t xml:space="preserve">Metodologías y herramientas: </w:t>
      </w:r>
      <w:r>
        <w:t>Design thinking (etapas de empatía e ideación); lluvia de ideas estructurada.</w:t>
      </w:r>
    </w:p>
    <w:p>
      <w:pPr>
        <w:jc w:val="both"/>
      </w:pPr>
      <w:r>
        <w:rPr>
          <w:b/>
        </w:rPr>
        <w:t xml:space="preserve">Responsables: </w:t>
      </w:r>
      <w:r>
        <w:t>CIE, docente enlace y semilleros.</w:t>
      </w:r>
    </w:p>
    <w:p>
      <w:pPr>
        <w:jc w:val="both"/>
      </w:pPr>
      <w:r>
        <w:rPr>
          <w:b/>
        </w:rPr>
        <w:t xml:space="preserve">Entregable: </w:t>
      </w:r>
      <w:r>
        <w:t>Idea o proyecto inscrito, con ficha inicial diligenciada.</w:t>
      </w:r>
    </w:p>
    <w:p>
      <w:pPr>
        <w:jc w:val="both"/>
      </w:pPr>
      <w:r>
        <w:rPr>
          <w:b/>
        </w:rPr>
        <w:t xml:space="preserve">Tiempo estimado: </w:t>
      </w:r>
      <w:r>
        <w:t>Semanas 1 a 2 del acompañamiento individual.</w:t>
      </w:r>
    </w:p>
    <w:p>
      <w:pPr>
        <w:jc w:val="both"/>
      </w:pPr>
      <w:r>
        <w:rPr>
          <w:b/>
          <w:color w:val="E47331"/>
        </w:rPr>
        <w:t xml:space="preserve">Anclaje (PDI y evidencia): </w:t>
      </w:r>
      <w:r>
        <w:t>PDI, Estrategia 2. Complementa la sensibilización con captación efectiva.</w:t>
      </w:r>
    </w:p>
    <w:p>
      <w:pPr>
        <w:pStyle w:val="Heading2"/>
      </w:pPr>
      <w:r>
        <w:t>Fase 3. Diagnóstico y clasificación</w:t>
      </w:r>
    </w:p>
    <w:p>
      <w:pPr>
        <w:spacing w:after="0"/>
        <w:jc w:val="both"/>
      </w:pPr>
      <w:r>
        <w:rPr>
          <w:b/>
          <w:i w:val="0"/>
        </w:rPr>
        <w:t xml:space="preserve">Objetivo. </w:t>
      </w:r>
      <w:r>
        <w:t>Determinar el nivel de madurez del proyecto y definir su ruta de acompañamiento personalizada.</w:t>
      </w:r>
    </w:p>
    <w:p>
      <w:pPr>
        <w:spacing w:after="120"/>
        <w:jc w:val="both"/>
      </w:pPr>
      <w:r>
        <w:rPr>
          <w:b w:val="0"/>
          <w:i w:val="0"/>
        </w:rPr>
        <w:t>Es la fase que habilita el carácter no lineal de la ruta: mediante una herramienta de clasificación por etapas, el equipo técnico del CIE identifica el punto de partida de cada iniciativa y define qué fases y servicios le aportan mayor valor. Evita aplicar un esquema único a proyectos de distinto nivel.</w:t>
      </w:r>
    </w:p>
    <w:p>
      <w:pPr>
        <w:pStyle w:val="Heading3"/>
      </w:pPr>
      <w:r>
        <w:t>Actividades y servicios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Aplicación de una herramienta de clasificación / entrevista de valoración.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Identificación de capacidades del equipo, necesidades y nivel de madurez.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Definición del plan de acompañamiento personalizado.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Asignación de mentor(es) según el área y la etapa.</w:t>
      </w:r>
    </w:p>
    <w:p>
      <w:pPr>
        <w:jc w:val="both"/>
      </w:pPr>
      <w:r>
        <w:rPr>
          <w:b/>
        </w:rPr>
        <w:t xml:space="preserve">Metodologías y herramientas: </w:t>
      </w:r>
      <w:r>
        <w:t>Herramienta de diagnóstico por niveles de madurez (inspirada en MacondoLab y MAVI).</w:t>
      </w:r>
    </w:p>
    <w:p>
      <w:pPr>
        <w:jc w:val="both"/>
      </w:pPr>
      <w:r>
        <w:rPr>
          <w:b/>
        </w:rPr>
        <w:t xml:space="preserve">Responsables: </w:t>
      </w:r>
      <w:r>
        <w:t>Equipo técnico del CIE.</w:t>
      </w:r>
    </w:p>
    <w:p>
      <w:pPr>
        <w:jc w:val="both"/>
      </w:pPr>
      <w:r>
        <w:rPr>
          <w:b/>
        </w:rPr>
        <w:t xml:space="preserve">Entregable: </w:t>
      </w:r>
      <w:r>
        <w:t>Diagnóstico del proyecto y ruta personalizada asignada.</w:t>
      </w:r>
    </w:p>
    <w:p>
      <w:pPr>
        <w:jc w:val="both"/>
      </w:pPr>
      <w:r>
        <w:rPr>
          <w:b/>
        </w:rPr>
        <w:t xml:space="preserve">Tiempo estimado: </w:t>
      </w:r>
      <w:r>
        <w:t>Semana 2 a 3.</w:t>
      </w:r>
    </w:p>
    <w:p>
      <w:pPr>
        <w:jc w:val="both"/>
      </w:pPr>
      <w:r>
        <w:rPr>
          <w:b/>
          <w:color w:val="E47331"/>
        </w:rPr>
        <w:t xml:space="preserve">Anclaje (PDI y evidencia): </w:t>
      </w:r>
      <w:r>
        <w:t>Aporte de la tutora (herramienta de clasificación) y de los referentes; convergencia con la consulta interna.</w:t>
      </w:r>
    </w:p>
    <w:p>
      <w:pPr>
        <w:pStyle w:val="Heading2"/>
      </w:pPr>
      <w:r>
        <w:t>Fase 4. Formación y preincubación</w:t>
      </w:r>
    </w:p>
    <w:p>
      <w:pPr>
        <w:spacing w:after="0"/>
        <w:jc w:val="both"/>
      </w:pPr>
      <w:r>
        <w:rPr>
          <w:b/>
          <w:i w:val="0"/>
        </w:rPr>
        <w:t xml:space="preserve">Objetivo. </w:t>
      </w:r>
      <w:r>
        <w:t>Fortalecer las capacidades emprendedoras y validar la propuesta de valor del proyecto.</w:t>
      </w:r>
    </w:p>
    <w:p>
      <w:pPr>
        <w:spacing w:after="120"/>
        <w:jc w:val="both"/>
      </w:pPr>
      <w:r>
        <w:rPr>
          <w:b w:val="0"/>
          <w:i w:val="0"/>
        </w:rPr>
        <w:t>Dota al emprendedor de las competencias necesarias y somete la idea a validación temprana con el mercado. Responde directamente a la demanda expresada por los estudiantes en el diagnóstico.</w:t>
      </w:r>
    </w:p>
    <w:p>
      <w:pPr>
        <w:pStyle w:val="Heading3"/>
      </w:pPr>
      <w:r>
        <w:t>Actividades y servicios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Formación en modelo de negocio con la metodología Business Model Canvas (BMC).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Educación financiera para emprendedores.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Formación en marketing digital y ventas.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Validación con clientes y construcción del Producto Mínimo Viable (MVP).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Talleres de creatividad e innovación.</w:t>
      </w:r>
    </w:p>
    <w:p>
      <w:pPr>
        <w:jc w:val="both"/>
      </w:pPr>
      <w:r>
        <w:rPr>
          <w:b/>
        </w:rPr>
        <w:t xml:space="preserve">Metodologías y herramientas: </w:t>
      </w:r>
      <w:r>
        <w:t>Business Model Canvas, Lean Startup (validación por experimentación), design thinking, MVP.</w:t>
      </w:r>
    </w:p>
    <w:p>
      <w:pPr>
        <w:jc w:val="both"/>
      </w:pPr>
      <w:r>
        <w:rPr>
          <w:b/>
        </w:rPr>
        <w:t xml:space="preserve">Responsables: </w:t>
      </w:r>
      <w:r>
        <w:t>CIE, red de mentores y docentes enlace (integración curricular).</w:t>
      </w:r>
    </w:p>
    <w:p>
      <w:pPr>
        <w:jc w:val="both"/>
      </w:pPr>
      <w:r>
        <w:rPr>
          <w:b/>
        </w:rPr>
        <w:t xml:space="preserve">Entregable: </w:t>
      </w:r>
      <w:r>
        <w:t>Modelo de negocio validado y MVP construido.</w:t>
      </w:r>
    </w:p>
    <w:p>
      <w:pPr>
        <w:jc w:val="both"/>
      </w:pPr>
      <w:r>
        <w:rPr>
          <w:b/>
        </w:rPr>
        <w:t xml:space="preserve">Tiempo estimado: </w:t>
      </w:r>
      <w:r>
        <w:t>Semanas 3 a 8.</w:t>
      </w:r>
    </w:p>
    <w:p>
      <w:pPr>
        <w:jc w:val="both"/>
      </w:pPr>
      <w:r>
        <w:rPr>
          <w:b/>
          <w:color w:val="E47331"/>
        </w:rPr>
        <w:t xml:space="preserve">Anclaje (PDI y evidencia): </w:t>
      </w:r>
      <w:r>
        <w:t>PDI, Estrategia 2 (formación y asesoría). Encuesta: asesoría de modelo de negocio 62 %, educación financiera 50 %, marketing 49 %.</w:t>
      </w:r>
    </w:p>
    <w:p>
      <w:pPr>
        <w:pStyle w:val="Heading2"/>
      </w:pPr>
      <w:r>
        <w:t>Fase 5. Incubación y fortalecimiento</w:t>
      </w:r>
    </w:p>
    <w:p>
      <w:pPr>
        <w:spacing w:after="0"/>
        <w:jc w:val="both"/>
      </w:pPr>
      <w:r>
        <w:rPr>
          <w:b/>
          <w:i w:val="0"/>
        </w:rPr>
        <w:t xml:space="preserve">Objetivo. </w:t>
      </w:r>
      <w:r>
        <w:t>Poner en marcha el emprendimiento y robustecer sus capacidades para operar de manera sostenible.</w:t>
      </w:r>
    </w:p>
    <w:p>
      <w:pPr>
        <w:spacing w:after="120"/>
        <w:jc w:val="both"/>
      </w:pPr>
      <w:r>
        <w:rPr>
          <w:b w:val="0"/>
          <w:i w:val="0"/>
        </w:rPr>
        <w:t>Acompaña la consolidación del proyecto ya validado, fortaleciendo su identidad, su presencia digital y su cumplimiento legal, mediante mentorías especializadas.</w:t>
      </w:r>
    </w:p>
    <w:p>
      <w:pPr>
        <w:pStyle w:val="Heading3"/>
      </w:pPr>
      <w:r>
        <w:t>Actividades y servicios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Mentorías especializadas con empresarios y egresados.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Construcción de identidad de marca (branding).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Transformación digital y presencia en canales digitales.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Asesoría legal y tributaria.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Fortalecimiento comercial y de la operación.</w:t>
      </w:r>
    </w:p>
    <w:p>
      <w:pPr>
        <w:jc w:val="both"/>
      </w:pPr>
      <w:r>
        <w:rPr>
          <w:b/>
        </w:rPr>
        <w:t xml:space="preserve">Metodologías y herramientas: </w:t>
      </w:r>
      <w:r>
        <w:t>Mentoría estructurada; herramientas de branding y marketing digital.</w:t>
      </w:r>
    </w:p>
    <w:p>
      <w:pPr>
        <w:jc w:val="both"/>
      </w:pPr>
      <w:r>
        <w:rPr>
          <w:b/>
        </w:rPr>
        <w:t xml:space="preserve">Responsables: </w:t>
      </w:r>
      <w:r>
        <w:t>Red de mentores multidisciplinarios y aliados.</w:t>
      </w:r>
    </w:p>
    <w:p>
      <w:pPr>
        <w:jc w:val="both"/>
      </w:pPr>
      <w:r>
        <w:rPr>
          <w:b/>
        </w:rPr>
        <w:t xml:space="preserve">Entregable: </w:t>
      </w:r>
      <w:r>
        <w:t>Emprendimiento en operación con acompañamiento documentado.</w:t>
      </w:r>
    </w:p>
    <w:p>
      <w:pPr>
        <w:jc w:val="both"/>
      </w:pPr>
      <w:r>
        <w:rPr>
          <w:b/>
        </w:rPr>
        <w:t xml:space="preserve">Tiempo estimado: </w:t>
      </w:r>
      <w:r>
        <w:t>Semanas 8 a 14.</w:t>
      </w:r>
    </w:p>
    <w:p>
      <w:pPr>
        <w:jc w:val="both"/>
      </w:pPr>
      <w:r>
        <w:rPr>
          <w:b/>
          <w:color w:val="E47331"/>
        </w:rPr>
        <w:t xml:space="preserve">Anclaje (PDI y evidencia): </w:t>
      </w:r>
      <w:r>
        <w:t>Ruta MAVI (branding, transformación digital). Encuesta: asesoría legal/tributaria 32 %, mentorías 29 %.</w:t>
      </w:r>
    </w:p>
    <w:p>
      <w:pPr>
        <w:pStyle w:val="Heading2"/>
      </w:pPr>
      <w:r>
        <w:t>Fase 6. Aceleración, financiación y transferencia</w:t>
      </w:r>
    </w:p>
    <w:p>
      <w:pPr>
        <w:spacing w:after="0"/>
        <w:jc w:val="both"/>
      </w:pPr>
      <w:r>
        <w:rPr>
          <w:b/>
          <w:i w:val="0"/>
        </w:rPr>
        <w:t xml:space="preserve">Objetivo. </w:t>
      </w:r>
      <w:r>
        <w:t>Proyectar la iniciativa hacia el mercado, la financiación y la transferencia de conocimiento.</w:t>
      </w:r>
    </w:p>
    <w:p>
      <w:pPr>
        <w:spacing w:after="120"/>
        <w:jc w:val="both"/>
      </w:pPr>
      <w:r>
        <w:rPr>
          <w:b w:val="0"/>
          <w:i w:val="0"/>
        </w:rPr>
        <w:t>Fase de escalamiento y conexión con el ecosistema. Vincula al emprendedor con oportunidades de financiación y, cuando aplica, gestiona la protección de la propiedad intelectual y la creación de spin-offs de base científico-tecnológica.</w:t>
      </w:r>
    </w:p>
    <w:p>
      <w:pPr>
        <w:pStyle w:val="Heading3"/>
      </w:pPr>
      <w:r>
        <w:t>Actividades y servicios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Ferias, ruedas de negocio y espacios de networking.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Acceso a convocatorias y a capital semilla.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Gestión de propiedad intelectual y patentes.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Desarrollo de spin-offs desde laboratorios de investigación.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  <w:t>Derivación a Cientech (OTRI), Parque Tecnológico del Caribe, CICIT, Cámaras de Comercio e inversionistas.</w:t>
      </w:r>
    </w:p>
    <w:p>
      <w:pPr>
        <w:jc w:val="both"/>
      </w:pPr>
      <w:r>
        <w:rPr>
          <w:b/>
        </w:rPr>
        <w:t xml:space="preserve">Metodologías y herramientas: </w:t>
      </w:r>
      <w:r>
        <w:t>Modelos de transferencia tecnológica (OTRI); preparación para convocatorias.</w:t>
      </w:r>
    </w:p>
    <w:p>
      <w:pPr>
        <w:jc w:val="both"/>
      </w:pPr>
      <w:r>
        <w:rPr>
          <w:b/>
        </w:rPr>
        <w:t xml:space="preserve">Responsables: </w:t>
      </w:r>
      <w:r>
        <w:t>CIE, aliados externos y grupos de investigación.</w:t>
      </w:r>
    </w:p>
    <w:p>
      <w:pPr>
        <w:jc w:val="both"/>
      </w:pPr>
      <w:r>
        <w:rPr>
          <w:b/>
        </w:rPr>
        <w:t xml:space="preserve">Entregable: </w:t>
      </w:r>
      <w:r>
        <w:t>Proyecto conectado a financiación y mercado; propiedad intelectual protegida; spin-off cuando aplique.</w:t>
      </w:r>
    </w:p>
    <w:p>
      <w:pPr>
        <w:jc w:val="both"/>
      </w:pPr>
      <w:r>
        <w:rPr>
          <w:b/>
        </w:rPr>
        <w:t xml:space="preserve">Tiempo estimado: </w:t>
      </w:r>
      <w:r>
        <w:t>Semana 14 en adelante / continuo.</w:t>
      </w:r>
    </w:p>
    <w:p>
      <w:pPr>
        <w:jc w:val="both"/>
      </w:pPr>
      <w:r>
        <w:rPr>
          <w:b/>
          <w:color w:val="E47331"/>
        </w:rPr>
        <w:t xml:space="preserve">Anclaje (PDI y evidencia): </w:t>
      </w:r>
      <w:r>
        <w:t>PDI: 2 spin-off, PTC, transferencia tecnológica. Encuesta: acceso a convocatorias y financiación 32 %.</w:t>
      </w:r>
    </w:p>
    <w:p>
      <w:pPr>
        <w:pStyle w:val="Heading1"/>
        <w:spacing w:before="240"/>
      </w:pPr>
      <w:r>
        <w:t>11. Estrategia de articulación con las facultades</w:t>
      </w:r>
    </w:p>
    <w:p>
      <w:pPr>
        <w:spacing w:after="120"/>
        <w:jc w:val="both"/>
      </w:pPr>
      <w:r>
        <w:rPr>
          <w:b w:val="0"/>
          <w:i w:val="0"/>
        </w:rPr>
        <w:t>La articulación es el factor diferencial de la ruta y la principal debilidad detectada. Se propone un modelo con cuatro mecanismos: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Docente enlace por facultad:</w:t>
      </w:r>
      <w:r>
        <w:rPr>
          <w:b w:val="0"/>
        </w:rPr>
        <w:t xml:space="preserve"> un docente designado como punto de contacto permanente con el CIE, con reuniones periódicas de coordinación.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Integración curricular:</w:t>
      </w:r>
      <w:r>
        <w:rPr>
          <w:b w:val="0"/>
        </w:rPr>
        <w:t xml:space="preserve"> incorporación de electivas, módulos y actividades de emprendimiento en las asignaturas, de modo que la formación emprendedora sea transversal.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Actividades y eventos conjuntos por facultad:</w:t>
      </w:r>
      <w:r>
        <w:rPr>
          <w:b w:val="0"/>
        </w:rPr>
        <w:t xml:space="preserve"> ferias, muestras y encuentros organizados con cada facultad para acercar el emprendimiento a los estudiantes en su contexto disciplinar.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Difusión segmentada:</w:t>
      </w:r>
      <w:r>
        <w:rPr>
          <w:b w:val="0"/>
        </w:rPr>
        <w:t xml:space="preserve"> comunicación adaptada a cada facultad mediante correo institucional y WhatsApp, y remisión de proyectos hacia la ruta cuando sea pertinente.</w:t>
      </w:r>
    </w:p>
    <w:p>
      <w:pPr>
        <w:pStyle w:val="Heading1"/>
        <w:spacing w:before="240"/>
      </w:pPr>
      <w:r>
        <w:t>12. Sistema de indicadores y seguimiento</w:t>
      </w:r>
    </w:p>
    <w:p>
      <w:pPr>
        <w:spacing w:after="120"/>
        <w:jc w:val="both"/>
      </w:pPr>
      <w:r>
        <w:rPr>
          <w:b w:val="0"/>
          <w:i w:val="0"/>
        </w:rPr>
        <w:t>El seguimiento se realiza de forma transversal y alimenta las metas del PDI. Se proponen los siguientes indicadores: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fill="1E3B7D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549"/>
            <w:shd w:val="clear" w:fill="1E3B7D"/>
          </w:tcPr>
          <w:p>
            <w:r>
              <w:rPr>
                <w:b/>
                <w:color w:val="FFFFFF"/>
              </w:rPr>
              <w:t>Relación con el PDI / propósito</w:t>
            </w:r>
          </w:p>
        </w:tc>
      </w:tr>
      <w:tr>
        <w:tc>
          <w:tcPr>
            <w:tcW w:type="dxa" w:w="4549"/>
          </w:tcPr>
          <w:p>
            <w:r>
              <w:t>Personas sensibilizadas por año</w:t>
            </w:r>
          </w:p>
        </w:tc>
        <w:tc>
          <w:tcPr>
            <w:tcW w:type="dxa" w:w="4549"/>
          </w:tcPr>
          <w:p>
            <w:r>
              <w:t>Cultura emprendedora (Estrategias 2 y 7 del PDI)</w:t>
            </w:r>
          </w:p>
        </w:tc>
      </w:tr>
      <w:tr>
        <w:tc>
          <w:tcPr>
            <w:tcW w:type="dxa" w:w="4549"/>
          </w:tcPr>
          <w:p>
            <w:r>
              <w:t>Proyectos diagnosticados y clasificados</w:t>
            </w:r>
          </w:p>
        </w:tc>
        <w:tc>
          <w:tcPr>
            <w:tcW w:type="dxa" w:w="4549"/>
          </w:tcPr>
          <w:p>
            <w:r>
              <w:t>Estandarización del acompañamiento</w:t>
            </w:r>
          </w:p>
        </w:tc>
      </w:tr>
      <w:tr>
        <w:tc>
          <w:tcPr>
            <w:tcW w:type="dxa" w:w="4549"/>
          </w:tcPr>
          <w:p>
            <w:r>
              <w:t>Emprendimientos acompañados por fase</w:t>
            </w:r>
          </w:p>
        </w:tc>
        <w:tc>
          <w:tcPr>
            <w:tcW w:type="dxa" w:w="4549"/>
          </w:tcPr>
          <w:p>
            <w:r>
              <w:t>Cobertura del programa UA Emprende</w:t>
            </w:r>
          </w:p>
        </w:tc>
      </w:tr>
      <w:tr>
        <w:tc>
          <w:tcPr>
            <w:tcW w:type="dxa" w:w="4549"/>
          </w:tcPr>
          <w:p>
            <w:r>
              <w:t>% de proyectos vigentes a 3 años (≥ 3 %)</w:t>
            </w:r>
          </w:p>
        </w:tc>
        <w:tc>
          <w:tcPr>
            <w:tcW w:type="dxa" w:w="4549"/>
          </w:tcPr>
          <w:p>
            <w:r>
              <w:t>Meta de sostenibilidad del PDI</w:t>
            </w:r>
          </w:p>
        </w:tc>
      </w:tr>
      <w:tr>
        <w:tc>
          <w:tcPr>
            <w:tcW w:type="dxa" w:w="4549"/>
          </w:tcPr>
          <w:p>
            <w:r>
              <w:t>Títulos de propiedad intelectual y spin-offs</w:t>
            </w:r>
          </w:p>
        </w:tc>
        <w:tc>
          <w:tcPr>
            <w:tcW w:type="dxa" w:w="4549"/>
          </w:tcPr>
          <w:p>
            <w:r>
              <w:t>Metas de transferencia (2 spin-off)</w:t>
            </w:r>
          </w:p>
        </w:tc>
      </w:tr>
      <w:tr>
        <w:tc>
          <w:tcPr>
            <w:tcW w:type="dxa" w:w="4549"/>
          </w:tcPr>
          <w:p>
            <w:r>
              <w:t>Alianzas y derivaciones al ecosistema</w:t>
            </w:r>
          </w:p>
        </w:tc>
        <w:tc>
          <w:tcPr>
            <w:tcW w:type="dxa" w:w="4549"/>
          </w:tcPr>
          <w:p>
            <w:r>
              <w:t>Articulación con el sector productivo</w:t>
            </w:r>
          </w:p>
        </w:tc>
      </w:tr>
      <w:tr>
        <w:tc>
          <w:tcPr>
            <w:tcW w:type="dxa" w:w="4549"/>
          </w:tcPr>
          <w:p>
            <w:r>
              <w:t>Facultades con docente enlace activo</w:t>
            </w:r>
          </w:p>
        </w:tc>
        <w:tc>
          <w:tcPr>
            <w:tcW w:type="dxa" w:w="4549"/>
          </w:tcPr>
          <w:p>
            <w:r>
              <w:t>Articulación (dificultad prioritaria detectada)</w:t>
            </w:r>
          </w:p>
        </w:tc>
      </w:tr>
    </w:tbl>
    <w:p/>
    <w:p>
      <w:pPr>
        <w:pStyle w:val="Heading1"/>
        <w:spacing w:before="240"/>
      </w:pPr>
      <w:r>
        <w:t>13. Retos y consideraciones para la implementación</w:t>
      </w:r>
    </w:p>
    <w:p>
      <w:pPr>
        <w:spacing w:after="120"/>
        <w:jc w:val="both"/>
      </w:pPr>
      <w:r>
        <w:rPr>
          <w:b w:val="0"/>
          <w:i w:val="0"/>
        </w:rPr>
        <w:t>La implementación de la ruta debe considerar los siguientes retos, identificados en las consultas y encuestas: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Recursos y continuidad:</w:t>
      </w:r>
      <w:r>
        <w:rPr>
          <w:b w:val="0"/>
        </w:rPr>
        <w:t xml:space="preserve"> asegurar recursos y la continuidad de los procesos para evitar la interrupción del acompañamiento.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Compromiso del emprendedor:</w:t>
      </w:r>
      <w:r>
        <w:rPr>
          <w:b w:val="0"/>
        </w:rPr>
        <w:t xml:space="preserve"> la consolidación requiere tiempo y constancia; la falta de tiempo fue una barrera frecuente entre los estudiantes.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Mentalidad y cultura:</w:t>
      </w:r>
      <w:r>
        <w:rPr>
          <w:b w:val="0"/>
        </w:rPr>
        <w:t xml:space="preserve"> transformar la percepción del emprendimiento como medio de subsistencia hacia un proyecto de vida sostenible.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Fortalecimiento de alianzas:</w:t>
      </w:r>
      <w:r>
        <w:rPr>
          <w:b w:val="0"/>
        </w:rPr>
        <w:t xml:space="preserve"> ampliar las alianzas estratégicas para el acceso a financiación, aceleración y mercado.</w:t>
      </w:r>
    </w:p>
    <w:p>
      <w:pPr>
        <w:pStyle w:val="ListBullet"/>
        <w:spacing w:after="60"/>
        <w:ind w:left="454"/>
        <w:jc w:val="both"/>
      </w:pPr>
      <w:r>
        <w:rPr>
          <w:b w:val="0"/>
        </w:rPr>
      </w:r>
      <w:r>
        <w:rPr>
          <w:b/>
        </w:rPr>
        <w:t>Visibilidad sostenida:</w:t>
      </w:r>
      <w:r>
        <w:rPr>
          <w:b w:val="0"/>
        </w:rPr>
        <w:t xml:space="preserve"> mantener la difusión en el tiempo para no recaer en el desconocimiento actual.</w:t>
      </w:r>
    </w:p>
    <w:p>
      <w:pPr>
        <w:pStyle w:val="Heading1"/>
        <w:spacing w:before="240"/>
      </w:pPr>
      <w:r>
        <w:t>14. Referencias</w:t>
      </w:r>
    </w:p>
    <w:p>
      <w:pPr>
        <w:spacing w:after="120"/>
        <w:ind w:left="567" w:hanging="567"/>
        <w:jc w:val="both"/>
      </w:pPr>
      <w:r>
        <w:rPr>
          <w:sz w:val="20"/>
        </w:rPr>
        <w:t>Congreso de la República de Colombia. (2006). Ley 1014 de 2006: De fomento a la cultura del emprendimiento. Diario Oficial No. 46.164.</w:t>
      </w:r>
    </w:p>
    <w:p>
      <w:pPr>
        <w:spacing w:after="120"/>
        <w:ind w:left="567" w:hanging="567"/>
        <w:jc w:val="both"/>
      </w:pPr>
      <w:r>
        <w:rPr>
          <w:sz w:val="20"/>
        </w:rPr>
        <w:t>Ministerio de Comercio, Industria y Turismo. (2020). Política nacional de emprendimiento. Gobierno de Colombia.</w:t>
      </w:r>
    </w:p>
    <w:p>
      <w:pPr>
        <w:spacing w:after="120"/>
        <w:ind w:left="567" w:hanging="567"/>
        <w:jc w:val="both"/>
      </w:pPr>
      <w:r>
        <w:rPr>
          <w:sz w:val="20"/>
        </w:rPr>
        <w:t>Universidad del Atlántico. (2022). Plan de Desarrollo Institucional 2022-2031: ¡Juntos construimos Universidad! Oficina de Planeación.</w:t>
      </w:r>
    </w:p>
    <w:p>
      <w:pPr>
        <w:spacing w:after="120"/>
        <w:ind w:left="567" w:hanging="567"/>
        <w:jc w:val="both"/>
      </w:pPr>
      <w:r>
        <w:rPr>
          <w:sz w:val="20"/>
        </w:rPr>
        <w:t>MacondoLab – Universidad Simón Bolívar. (s.f.). Metodología y ruta del emprendedor. https://macondolab.com</w:t>
      </w:r>
    </w:p>
    <w:p>
      <w:pPr>
        <w:spacing w:after="120"/>
        <w:ind w:left="567" w:hanging="567"/>
        <w:jc w:val="both"/>
      </w:pPr>
      <w:r>
        <w:rPr>
          <w:sz w:val="20"/>
        </w:rPr>
        <w:t>Corporación Universitaria Americana. (s.f.). Centro de Innovación y Emprendimiento. https://americana.edu.co</w:t>
      </w:r>
    </w:p>
    <w:p>
      <w:pPr>
        <w:spacing w:after="120"/>
        <w:ind w:left="567" w:hanging="567"/>
        <w:jc w:val="both"/>
      </w:pPr>
      <w:r>
        <w:rPr>
          <w:sz w:val="20"/>
        </w:rPr>
        <w:t>Universidad de los Andes. (s.f.). Ecosistema de Innovación, Emprendimiento y Transferencia. https://ecosistema.uniandes.edu.co</w:t>
      </w:r>
    </w:p>
    <w:p>
      <w:pPr>
        <w:spacing w:after="120"/>
        <w:ind w:left="567" w:hanging="567"/>
        <w:jc w:val="both"/>
      </w:pPr>
      <w:r>
        <w:rPr>
          <w:sz w:val="20"/>
        </w:rPr>
        <w:t>Corporación Ruta N Medellín. (s.f.). https://rutanmedellin.org</w:t>
      </w:r>
    </w:p>
    <w:p>
      <w:pPr>
        <w:spacing w:after="120"/>
        <w:ind w:left="567" w:hanging="567"/>
        <w:jc w:val="both"/>
      </w:pPr>
      <w:r>
        <w:rPr>
          <w:sz w:val="20"/>
        </w:rPr>
        <w:t>Cientech. (s.f.). Oficina de Transferencia de Resultados de Investigación (OTRI). https://www.cientech.org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Ruta Institucional de Emprendimiento — CIE · 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6"/>
      </w:rPr>
      <w:t>Universidad del Atlántico · Centro de Innovación y Emprendimiento (CIE)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B7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B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E3B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