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16E5" w14:textId="77777777" w:rsidR="00C07B8A" w:rsidRDefault="00000000">
      <w:pPr>
        <w:pStyle w:val="Heading1"/>
      </w:pPr>
      <w:bookmarkStart w:id="0" w:name="Xe031e9d17c78593632bd7d5540482de9a79f5ff"/>
      <w:r>
        <w:t>Guia Completo sobre a Macro IEABRCX em HLASM</w:t>
      </w:r>
    </w:p>
    <w:p w14:paraId="7CD62BB9" w14:textId="77777777" w:rsidR="00C07B8A" w:rsidRDefault="00000000">
      <w:pPr>
        <w:pStyle w:val="Heading2"/>
      </w:pPr>
      <w:bookmarkStart w:id="1" w:name="introdução"/>
      <w:r>
        <w:t>Introdução</w:t>
      </w:r>
    </w:p>
    <w:p w14:paraId="3F5864EC" w14:textId="77777777" w:rsidR="00C07B8A" w:rsidRDefault="00000000">
      <w:pPr>
        <w:pStyle w:val="FirstParagraph"/>
      </w:pPr>
      <w:r>
        <w:t>A macro IEABRCX é uma ferramenta poderosa no High-Level Assembler (HLASM) para z/OS que facilita a criação de tabelas de ramificação e o gerenciamento de chamadas de sub-rotinas. Este guia abrangente explica como e quando usar a IEABRCX, técnicas de programação excelentes e exemplos práticos.</w:t>
      </w:r>
    </w:p>
    <w:p w14:paraId="3D24905F" w14:textId="77777777" w:rsidR="00C07B8A" w:rsidRDefault="00000000">
      <w:pPr>
        <w:pStyle w:val="Heading2"/>
      </w:pPr>
      <w:bookmarkStart w:id="2" w:name="o-que-é-a-macro-ieabrcx"/>
      <w:bookmarkEnd w:id="1"/>
      <w:r>
        <w:t>O que é a Macro IEABRCX?</w:t>
      </w:r>
    </w:p>
    <w:p w14:paraId="3EC34FCC" w14:textId="77777777" w:rsidR="00C07B8A" w:rsidRDefault="00000000">
      <w:pPr>
        <w:pStyle w:val="FirstParagraph"/>
      </w:pPr>
      <w:r>
        <w:t>A IEABRCX é uma macro fornecida pelo IBM Language Environment (LE) para z/OS que ajuda a: 1. Criar tabelas de ramificação eficientes 2. Gerenciar chamadas de sub-rotinas de forma segura 3. Preservar o estado do chamador 4. Implementar despacho de funções baseado em índice</w:t>
      </w:r>
    </w:p>
    <w:p w14:paraId="65D9234B" w14:textId="77777777" w:rsidR="00C07B8A" w:rsidRDefault="00000000">
      <w:pPr>
        <w:pStyle w:val="Heading2"/>
      </w:pPr>
      <w:bookmarkStart w:id="3" w:name="componentes-principais"/>
      <w:bookmarkEnd w:id="2"/>
      <w:r>
        <w:t>Componentes Principais</w:t>
      </w:r>
    </w:p>
    <w:p w14:paraId="562BDA72" w14:textId="77777777" w:rsidR="00C07B8A" w:rsidRDefault="00000000">
      <w:pPr>
        <w:pStyle w:val="Heading3"/>
      </w:pPr>
      <w:bookmarkStart w:id="4" w:name="ieabrcx-define"/>
      <w:r>
        <w:t>1. IEABRCX DEFINE</w:t>
      </w:r>
    </w:p>
    <w:p w14:paraId="6B683E53" w14:textId="77777777" w:rsidR="00C07B8A" w:rsidRDefault="00000000">
      <w:pPr>
        <w:pStyle w:val="SourceCode"/>
      </w:pPr>
      <w:r>
        <w:rPr>
          <w:rStyle w:val="NormalTok"/>
        </w:rPr>
        <w:t>IEABRCX DEFINE</w:t>
      </w:r>
    </w:p>
    <w:p w14:paraId="192BDA1C" w14:textId="77777777" w:rsidR="00C07B8A" w:rsidRDefault="00000000">
      <w:pPr>
        <w:pStyle w:val="Compact"/>
        <w:numPr>
          <w:ilvl w:val="0"/>
          <w:numId w:val="2"/>
        </w:numPr>
      </w:pPr>
      <w:r>
        <w:t>Define o início de uma tabela de ramificação</w:t>
      </w:r>
    </w:p>
    <w:p w14:paraId="425B23A3" w14:textId="77777777" w:rsidR="00C07B8A" w:rsidRDefault="00000000">
      <w:pPr>
        <w:pStyle w:val="Compact"/>
        <w:numPr>
          <w:ilvl w:val="0"/>
          <w:numId w:val="2"/>
        </w:numPr>
      </w:pPr>
      <w:r>
        <w:t>Aloca espaço para a área de salvamento</w:t>
      </w:r>
    </w:p>
    <w:p w14:paraId="3D72F849" w14:textId="77777777" w:rsidR="00C07B8A" w:rsidRDefault="00000000">
      <w:pPr>
        <w:pStyle w:val="Compact"/>
        <w:numPr>
          <w:ilvl w:val="0"/>
          <w:numId w:val="2"/>
        </w:numPr>
      </w:pPr>
      <w:r>
        <w:t>Prepara a estrutura para o mecanismo de despacho</w:t>
      </w:r>
    </w:p>
    <w:p w14:paraId="7EABDAB6" w14:textId="77777777" w:rsidR="00C07B8A" w:rsidRDefault="00000000">
      <w:pPr>
        <w:pStyle w:val="Heading3"/>
      </w:pPr>
      <w:bookmarkStart w:id="5" w:name="ieabrcx-branch"/>
      <w:bookmarkEnd w:id="4"/>
      <w:r>
        <w:t>2. IEABRCX BRANCH</w:t>
      </w:r>
    </w:p>
    <w:p w14:paraId="21F2824A" w14:textId="77777777" w:rsidR="00C07B8A" w:rsidRDefault="00000000">
      <w:pPr>
        <w:pStyle w:val="SourceCode"/>
      </w:pPr>
      <w:r>
        <w:rPr>
          <w:rStyle w:val="NormalTok"/>
        </w:rPr>
        <w:t>IEABRCX BRANCH</w:t>
      </w:r>
      <w:r>
        <w:rPr>
          <w:rStyle w:val="OperatorTok"/>
        </w:rPr>
        <w:t>,(</w:t>
      </w:r>
      <w:r>
        <w:rPr>
          <w:rStyle w:val="NormalTok"/>
        </w:rPr>
        <w:t>reg</w:t>
      </w:r>
      <w:r>
        <w:rPr>
          <w:rStyle w:val="OperatorTok"/>
        </w:rPr>
        <w:t>),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>savearea</w:t>
      </w:r>
    </w:p>
    <w:p w14:paraId="6F7D0242" w14:textId="77777777" w:rsidR="00C07B8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reg</w:t>
      </w:r>
      <w:r>
        <w:t>: Registrador contendo o índice (normalmente R14 ou R15)</w:t>
      </w:r>
    </w:p>
    <w:p w14:paraId="29CC92B7" w14:textId="77777777" w:rsidR="00C07B8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base</w:t>
      </w:r>
      <w:r>
        <w:t>: Nome base das sub-rotinas (ex: SUBROUTINE)</w:t>
      </w:r>
    </w:p>
    <w:p w14:paraId="28255052" w14:textId="77777777" w:rsidR="00C07B8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savearea</w:t>
      </w:r>
      <w:r>
        <w:t>: Área para salvar registradores</w:t>
      </w:r>
    </w:p>
    <w:p w14:paraId="3A872B76" w14:textId="77777777" w:rsidR="00C07B8A" w:rsidRDefault="00000000">
      <w:pPr>
        <w:pStyle w:val="Heading3"/>
      </w:pPr>
      <w:bookmarkStart w:id="6" w:name="área-de-salvamento"/>
      <w:bookmarkEnd w:id="5"/>
      <w:r>
        <w:t>3. Área de Salvamento</w:t>
      </w:r>
    </w:p>
    <w:p w14:paraId="6E9B2741" w14:textId="77777777" w:rsidR="00C07B8A" w:rsidRDefault="00000000">
      <w:pPr>
        <w:pStyle w:val="SourceCode"/>
      </w:pPr>
      <w:r>
        <w:rPr>
          <w:rStyle w:val="NormalTok"/>
        </w:rPr>
        <w:t xml:space="preserve">SAVEAREA </w:t>
      </w:r>
      <w:r>
        <w:rPr>
          <w:rStyle w:val="KeywordTok"/>
        </w:rPr>
        <w:t>DS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aseNTok"/>
        </w:rPr>
        <w:t>D</w:t>
      </w:r>
    </w:p>
    <w:p w14:paraId="513DDD33" w14:textId="77777777" w:rsidR="00C07B8A" w:rsidRDefault="00000000">
      <w:pPr>
        <w:pStyle w:val="Compact"/>
        <w:numPr>
          <w:ilvl w:val="0"/>
          <w:numId w:val="4"/>
        </w:numPr>
      </w:pPr>
      <w:r>
        <w:t>Área de 72 bytes para salvar registradores</w:t>
      </w:r>
    </w:p>
    <w:p w14:paraId="4D5BDFA5" w14:textId="77777777" w:rsidR="00C07B8A" w:rsidRDefault="00000000">
      <w:pPr>
        <w:pStyle w:val="Compact"/>
        <w:numPr>
          <w:ilvl w:val="0"/>
          <w:numId w:val="4"/>
        </w:numPr>
      </w:pPr>
      <w:r>
        <w:t>Usada para preservar o contexto do chamador</w:t>
      </w:r>
    </w:p>
    <w:p w14:paraId="589F88EB" w14:textId="77777777" w:rsidR="00C07B8A" w:rsidRDefault="00000000">
      <w:pPr>
        <w:pStyle w:val="Compact"/>
        <w:numPr>
          <w:ilvl w:val="0"/>
          <w:numId w:val="4"/>
        </w:numPr>
      </w:pPr>
      <w:r>
        <w:t>Garante a reentrada segura</w:t>
      </w:r>
    </w:p>
    <w:p w14:paraId="7B548040" w14:textId="77777777" w:rsidR="00C07B8A" w:rsidRDefault="00000000">
      <w:pPr>
        <w:pStyle w:val="Heading2"/>
      </w:pPr>
      <w:bookmarkStart w:id="7" w:name="quando-usar-a-ieabrcx"/>
      <w:bookmarkEnd w:id="3"/>
      <w:bookmarkEnd w:id="6"/>
      <w:r>
        <w:t>Quando Usar a IEABRCX</w:t>
      </w:r>
    </w:p>
    <w:p w14:paraId="73C91221" w14:textId="77777777" w:rsidR="00C07B8A" w:rsidRDefault="00000000">
      <w:pPr>
        <w:pStyle w:val="Heading3"/>
      </w:pPr>
      <w:bookmarkStart w:id="8" w:name="casos-de-uso-ideais"/>
      <w:r>
        <w:t>Casos de Uso Ideais</w:t>
      </w:r>
    </w:p>
    <w:p w14:paraId="03C97800" w14:textId="77777777" w:rsidR="00C07B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Despacho de Múltiplas Funções</w:t>
      </w:r>
      <w:r>
        <w:t>:</w:t>
      </w:r>
    </w:p>
    <w:p w14:paraId="630D3CCA" w14:textId="77777777" w:rsidR="00C07B8A" w:rsidRDefault="00000000">
      <w:pPr>
        <w:pStyle w:val="Compact"/>
        <w:numPr>
          <w:ilvl w:val="1"/>
          <w:numId w:val="6"/>
        </w:numPr>
      </w:pPr>
      <w:r>
        <w:lastRenderedPageBreak/>
        <w:t>Quando você tem várias operações similares</w:t>
      </w:r>
    </w:p>
    <w:p w14:paraId="0DE1F258" w14:textId="77777777" w:rsidR="00C07B8A" w:rsidRDefault="00000000">
      <w:pPr>
        <w:pStyle w:val="Compact"/>
        <w:numPr>
          <w:ilvl w:val="1"/>
          <w:numId w:val="6"/>
        </w:numPr>
      </w:pPr>
      <w:r>
        <w:t>Cada operação requer sua própria sub-rotina</w:t>
      </w:r>
    </w:p>
    <w:p w14:paraId="301ACF18" w14:textId="77777777" w:rsidR="00C07B8A" w:rsidRDefault="00000000">
      <w:pPr>
        <w:pStyle w:val="Compact"/>
        <w:numPr>
          <w:ilvl w:val="1"/>
          <w:numId w:val="6"/>
        </w:numPr>
      </w:pPr>
      <w:r>
        <w:t>A seleção é baseada em um valor de índice</w:t>
      </w:r>
    </w:p>
    <w:p w14:paraId="0F879D3E" w14:textId="77777777" w:rsidR="00C07B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Substituição de Múltiplas Comparações</w:t>
      </w:r>
      <w:r>
        <w:t>:</w:t>
      </w:r>
    </w:p>
    <w:p w14:paraId="60A81EF9" w14:textId="77777777" w:rsidR="00C07B8A" w:rsidRDefault="00000000">
      <w:pPr>
        <w:pStyle w:val="Compact"/>
        <w:numPr>
          <w:ilvl w:val="1"/>
          <w:numId w:val="7"/>
        </w:numPr>
      </w:pPr>
      <w:r>
        <w:t xml:space="preserve">Evita uma série de instruções </w:t>
      </w:r>
      <w:r>
        <w:rPr>
          <w:rStyle w:val="VerbatimChar"/>
        </w:rPr>
        <w:t>C</w:t>
      </w:r>
      <w:r>
        <w:t xml:space="preserve"> (Compare) e </w:t>
      </w:r>
      <w:r>
        <w:rPr>
          <w:rStyle w:val="VerbatimChar"/>
        </w:rPr>
        <w:t>B</w:t>
      </w:r>
      <w:r>
        <w:t xml:space="preserve"> (Branch)</w:t>
      </w:r>
    </w:p>
    <w:p w14:paraId="2CB9334A" w14:textId="77777777" w:rsidR="00C07B8A" w:rsidRDefault="00000000">
      <w:pPr>
        <w:pStyle w:val="Compact"/>
        <w:numPr>
          <w:ilvl w:val="1"/>
          <w:numId w:val="7"/>
        </w:numPr>
      </w:pPr>
      <w:r>
        <w:t>Mais eficiente para 3 ou mais opções</w:t>
      </w:r>
    </w:p>
    <w:p w14:paraId="57F168E3" w14:textId="77777777" w:rsidR="00C07B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Implementação de Interfaces Padrão</w:t>
      </w:r>
      <w:r>
        <w:t>:</w:t>
      </w:r>
    </w:p>
    <w:p w14:paraId="63519F7C" w14:textId="77777777" w:rsidR="00C07B8A" w:rsidRDefault="00000000">
      <w:pPr>
        <w:pStyle w:val="Compact"/>
        <w:numPr>
          <w:ilvl w:val="1"/>
          <w:numId w:val="8"/>
        </w:numPr>
      </w:pPr>
      <w:r>
        <w:t>Quando você precisa de uma interface consistente</w:t>
      </w:r>
    </w:p>
    <w:p w14:paraId="4D603BC7" w14:textId="77777777" w:rsidR="00C07B8A" w:rsidRDefault="00000000">
      <w:pPr>
        <w:pStyle w:val="Compact"/>
        <w:numPr>
          <w:ilvl w:val="1"/>
          <w:numId w:val="8"/>
        </w:numPr>
      </w:pPr>
      <w:r>
        <w:t>Para chamadas de sistema ou bibliotecas</w:t>
      </w:r>
    </w:p>
    <w:p w14:paraId="7FE21210" w14:textId="77777777" w:rsidR="00C07B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Gerenciamento de Chamadas Aninhadas</w:t>
      </w:r>
      <w:r>
        <w:t>:</w:t>
      </w:r>
    </w:p>
    <w:p w14:paraId="1EDBE8AD" w14:textId="77777777" w:rsidR="00C07B8A" w:rsidRDefault="00000000">
      <w:pPr>
        <w:pStyle w:val="Compact"/>
        <w:numPr>
          <w:ilvl w:val="1"/>
          <w:numId w:val="9"/>
        </w:numPr>
      </w:pPr>
      <w:r>
        <w:t>Preserva corretamente os endereços de retorno</w:t>
      </w:r>
    </w:p>
    <w:p w14:paraId="7579E7DF" w14:textId="77777777" w:rsidR="00C07B8A" w:rsidRDefault="00000000">
      <w:pPr>
        <w:pStyle w:val="Compact"/>
        <w:numPr>
          <w:ilvl w:val="1"/>
          <w:numId w:val="9"/>
        </w:numPr>
      </w:pPr>
      <w:r>
        <w:t>Mantém a integridade da pilha de chamadas</w:t>
      </w:r>
    </w:p>
    <w:p w14:paraId="60C14A99" w14:textId="77777777" w:rsidR="00C07B8A" w:rsidRDefault="00000000">
      <w:pPr>
        <w:pStyle w:val="Heading2"/>
      </w:pPr>
      <w:bookmarkStart w:id="9" w:name="técnicas-de-programação-excelentes"/>
      <w:bookmarkEnd w:id="7"/>
      <w:bookmarkEnd w:id="8"/>
      <w:r>
        <w:t>Técnicas de Programação Excelentes</w:t>
      </w:r>
    </w:p>
    <w:p w14:paraId="7257C1B2" w14:textId="77777777" w:rsidR="00C07B8A" w:rsidRDefault="00000000">
      <w:pPr>
        <w:pStyle w:val="Heading3"/>
      </w:pPr>
      <w:bookmarkStart w:id="10" w:name="estrutura-padrão-de-sub-rotinas"/>
      <w:r>
        <w:t>1. Estrutura Padrão de Sub-rotinas</w:t>
      </w:r>
    </w:p>
    <w:p w14:paraId="2BAEBC02" w14:textId="77777777" w:rsidR="00C07B8A" w:rsidRDefault="00000000">
      <w:pPr>
        <w:pStyle w:val="SourceCode"/>
      </w:pPr>
      <w:r>
        <w:rPr>
          <w:rStyle w:val="NormalTok"/>
        </w:rPr>
        <w:t xml:space="preserve">SUBROUTINE0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 Salva registradores</w:t>
      </w:r>
      <w:r>
        <w:br/>
      </w:r>
      <w:r>
        <w:rPr>
          <w:rStyle w:val="NormalTok"/>
        </w:rPr>
        <w:t xml:space="preserve">            ...                   * Código da sub</w:t>
      </w:r>
      <w:r>
        <w:rPr>
          <w:rStyle w:val="OperatorTok"/>
        </w:rPr>
        <w:t>-</w:t>
      </w:r>
      <w:r>
        <w:rPr>
          <w:rStyle w:val="NormalTok"/>
        </w:rPr>
        <w:t>rotina</w:t>
      </w:r>
      <w:r>
        <w:br/>
      </w:r>
      <w:r>
        <w:rPr>
          <w:rStyle w:val="NormalTok"/>
        </w:rPr>
        <w:t xml:space="preserve">   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 Restaura registradores</w:t>
      </w:r>
      <w:r>
        <w:br/>
      </w:r>
      <w:r>
        <w:rPr>
          <w:rStyle w:val="NormalTok"/>
        </w:rPr>
        <w:t xml:space="preserve">            BR    </w:t>
      </w:r>
      <w:r>
        <w:rPr>
          <w:rStyle w:val="DecValTok"/>
        </w:rPr>
        <w:t>14</w:t>
      </w:r>
      <w:r>
        <w:rPr>
          <w:rStyle w:val="NormalTok"/>
        </w:rPr>
        <w:t xml:space="preserve">              </w:t>
      </w:r>
      <w:r>
        <w:rPr>
          <w:rStyle w:val="OperatorTok"/>
        </w:rPr>
        <w:t>*</w:t>
      </w:r>
      <w:r>
        <w:rPr>
          <w:rStyle w:val="NormalTok"/>
        </w:rPr>
        <w:t xml:space="preserve"> Retorna</w:t>
      </w:r>
    </w:p>
    <w:p w14:paraId="696F5365" w14:textId="77777777" w:rsidR="00C07B8A" w:rsidRDefault="00000000">
      <w:pPr>
        <w:pStyle w:val="Heading3"/>
      </w:pPr>
      <w:bookmarkStart w:id="11" w:name="validação-de-índice"/>
      <w:bookmarkEnd w:id="10"/>
      <w:r>
        <w:t>2. Validação de Índice</w:t>
      </w:r>
    </w:p>
    <w:p w14:paraId="6EDF2C25" w14:textId="77777777" w:rsidR="00C07B8A" w:rsidRDefault="00000000">
      <w:pPr>
        <w:pStyle w:val="FirstParagraph"/>
      </w:pPr>
      <w:r>
        <w:t>Sempre valide o valor do índice antes de usar:</w:t>
      </w:r>
    </w:p>
    <w:p w14:paraId="02AD7B36" w14:textId="77777777" w:rsidR="00C07B8A" w:rsidRDefault="00000000">
      <w:pPr>
        <w:pStyle w:val="SourceCode"/>
      </w:pPr>
      <w:r>
        <w:rPr>
          <w:rStyle w:val="NormalTok"/>
        </w:rPr>
        <w:t xml:space="preserve">         NIHH </w:t>
      </w:r>
      <w:r>
        <w:rPr>
          <w:rStyle w:val="KeywordTok"/>
        </w:rPr>
        <w:t>R14</w:t>
      </w:r>
      <w:r>
        <w:rPr>
          <w:rStyle w:val="OperatorTok"/>
        </w:rPr>
        <w:t>,</w:t>
      </w:r>
      <w:r>
        <w:rPr>
          <w:rStyle w:val="FloatTok"/>
        </w:rPr>
        <w:t>000</w:t>
      </w:r>
      <w:r>
        <w:rPr>
          <w:rStyle w:val="BaseNTok"/>
        </w:rPr>
        <w:t>F</w:t>
      </w:r>
      <w:r>
        <w:rPr>
          <w:rStyle w:val="NormalTok"/>
        </w:rPr>
        <w:t xml:space="preserve">           </w:t>
      </w:r>
      <w:r>
        <w:rPr>
          <w:rStyle w:val="OperatorTok"/>
        </w:rPr>
        <w:t>*</w:t>
      </w:r>
      <w:r>
        <w:rPr>
          <w:rStyle w:val="NormalTok"/>
        </w:rPr>
        <w:t xml:space="preserve"> Limita a 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   BCTR </w:t>
      </w:r>
      <w:r>
        <w:rPr>
          <w:rStyle w:val="KeywordTok"/>
        </w:rPr>
        <w:t>R14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              </w:t>
      </w:r>
      <w:r>
        <w:rPr>
          <w:rStyle w:val="OperatorTok"/>
        </w:rPr>
        <w:t>*</w:t>
      </w:r>
      <w:r>
        <w:rPr>
          <w:rStyle w:val="NormalTok"/>
        </w:rPr>
        <w:t xml:space="preserve"> Ajusta para 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>CLI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OperatorTok"/>
        </w:rPr>
        <w:t>(</w:t>
      </w:r>
      <w:r>
        <w:rPr>
          <w:rStyle w:val="KeywordTok"/>
        </w:rPr>
        <w:t>R14</w:t>
      </w:r>
      <w:r>
        <w:rPr>
          <w:rStyle w:val="OperatorTok"/>
        </w:rPr>
        <w:t>),</w:t>
      </w:r>
      <w:r>
        <w:rPr>
          <w:rStyle w:val="DecValTok"/>
        </w:rPr>
        <w:t>16</w:t>
      </w:r>
      <w:r>
        <w:rPr>
          <w:rStyle w:val="NormalTok"/>
        </w:rPr>
        <w:t xml:space="preserve">          </w:t>
      </w:r>
      <w:r>
        <w:rPr>
          <w:rStyle w:val="OperatorTok"/>
        </w:rPr>
        <w:t>*</w:t>
      </w:r>
      <w:r>
        <w:rPr>
          <w:rStyle w:val="NormalTok"/>
        </w:rPr>
        <w:t xml:space="preserve"> Verifica 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   BNH  VALID_INDEX        </w:t>
      </w:r>
      <w:r>
        <w:rPr>
          <w:rStyle w:val="OperatorTok"/>
        </w:rPr>
        <w:t>*</w:t>
      </w:r>
      <w:r>
        <w:rPr>
          <w:rStyle w:val="NormalTok"/>
        </w:rPr>
        <w:t xml:space="preserve"> Índice válido</w:t>
      </w:r>
      <w:r>
        <w:br/>
      </w:r>
      <w:r>
        <w:rPr>
          <w:rStyle w:val="NormalTok"/>
        </w:rPr>
        <w:t xml:space="preserve">         ...                     * Tratamento de erro</w:t>
      </w:r>
    </w:p>
    <w:p w14:paraId="545C6C28" w14:textId="77777777" w:rsidR="00C07B8A" w:rsidRDefault="00000000">
      <w:pPr>
        <w:pStyle w:val="Heading3"/>
      </w:pPr>
      <w:bookmarkStart w:id="12" w:name="documentação-clara"/>
      <w:bookmarkEnd w:id="11"/>
      <w:r>
        <w:t>3. Documentação Clara</w:t>
      </w:r>
    </w:p>
    <w:p w14:paraId="78AE1472" w14:textId="77777777" w:rsidR="00C07B8A" w:rsidRDefault="00000000">
      <w:pPr>
        <w:pStyle w:val="SourceCode"/>
      </w:pPr>
      <w:r>
        <w:rPr>
          <w:rStyle w:val="NormalTok"/>
        </w:rPr>
        <w:t>*===============================================================*</w:t>
      </w:r>
      <w:r>
        <w:br/>
      </w:r>
      <w:r>
        <w:rPr>
          <w:rStyle w:val="NormalTok"/>
        </w:rPr>
        <w:t xml:space="preserve">* SUBROUTINE0 </w:t>
      </w:r>
      <w:r>
        <w:rPr>
          <w:rStyle w:val="OperatorTok"/>
        </w:rPr>
        <w:t>-</w:t>
      </w:r>
      <w:r>
        <w:rPr>
          <w:rStyle w:val="NormalTok"/>
        </w:rPr>
        <w:t xml:space="preserve"> Processa tipo de transação </w:t>
      </w:r>
      <w:r>
        <w:rPr>
          <w:rStyle w:val="DecValTok"/>
        </w:rPr>
        <w:t>0</w:t>
      </w:r>
      <w:r>
        <w:rPr>
          <w:rStyle w:val="NormalTok"/>
        </w:rPr>
        <w:t xml:space="preserve">                    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>* Entrada</w:t>
      </w:r>
      <w:r>
        <w:rPr>
          <w:rStyle w:val="OperatorTok"/>
        </w:rPr>
        <w:t>:</w:t>
      </w:r>
      <w:r>
        <w:rPr>
          <w:rStyle w:val="NormalTok"/>
        </w:rPr>
        <w:t xml:space="preserve"> R1 </w:t>
      </w:r>
      <w:r>
        <w:rPr>
          <w:rStyle w:val="OperatorTok"/>
        </w:rPr>
        <w:t>-</w:t>
      </w:r>
      <w:r>
        <w:rPr>
          <w:rStyle w:val="NormalTok"/>
        </w:rPr>
        <w:t xml:space="preserve"> Endereço dos dados de entrada                  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 xml:space="preserve">*          R15 </w:t>
      </w:r>
      <w:r>
        <w:rPr>
          <w:rStyle w:val="OperatorTok"/>
        </w:rPr>
        <w:t>-</w:t>
      </w:r>
      <w:r>
        <w:rPr>
          <w:rStyle w:val="NormalTok"/>
        </w:rPr>
        <w:t xml:space="preserve"> Comprimento dos dados                         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>* Saída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KeywordTok"/>
        </w:rPr>
        <w:t>R15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Código de retorno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=</w:t>
      </w:r>
      <w:r>
        <w:rPr>
          <w:rStyle w:val="NormalTok"/>
        </w:rPr>
        <w:t>sucesso</w:t>
      </w:r>
      <w:r>
        <w:rPr>
          <w:rStyle w:val="OperatorTok"/>
        </w:rPr>
        <w:t>)</w:t>
      </w:r>
      <w:r>
        <w:rPr>
          <w:rStyle w:val="NormalTok"/>
        </w:rPr>
        <w:t xml:space="preserve">                  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>*===============================================================*</w:t>
      </w:r>
      <w:r>
        <w:br/>
      </w:r>
      <w:r>
        <w:rPr>
          <w:rStyle w:val="NormalTok"/>
        </w:rPr>
        <w:t xml:space="preserve">SUBROUTINE0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...                     * Processamento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</w:p>
    <w:p w14:paraId="4953490F" w14:textId="77777777" w:rsidR="00C07B8A" w:rsidRDefault="00000000">
      <w:pPr>
        <w:pStyle w:val="Heading3"/>
      </w:pPr>
      <w:bookmarkStart w:id="13" w:name="gerenciamento-de-erros"/>
      <w:bookmarkEnd w:id="12"/>
      <w:r>
        <w:t>4. Gerenciamento de Erros</w:t>
      </w:r>
    </w:p>
    <w:p w14:paraId="1B2690CE" w14:textId="77777777" w:rsidR="00C07B8A" w:rsidRDefault="00000000">
      <w:pPr>
        <w:pStyle w:val="FirstParagraph"/>
      </w:pPr>
      <w:r>
        <w:t>Implemente tratamento de erro consistente:</w:t>
      </w:r>
    </w:p>
    <w:p w14:paraId="318DE5D6" w14:textId="77777777" w:rsidR="00C07B8A" w:rsidRDefault="00000000">
      <w:pPr>
        <w:pStyle w:val="SourceCode"/>
      </w:pPr>
      <w:r>
        <w:rPr>
          <w:rStyle w:val="NormalTok"/>
        </w:rPr>
        <w:lastRenderedPageBreak/>
        <w:t xml:space="preserve">         IEABRCX BRANCH</w:t>
      </w:r>
      <w:r>
        <w:rPr>
          <w:rStyle w:val="OperatorTok"/>
        </w:rPr>
        <w:t>,(</w:t>
      </w:r>
      <w:r>
        <w:rPr>
          <w:rStyle w:val="DecValTok"/>
        </w:rPr>
        <w:t>14</w:t>
      </w:r>
      <w:r>
        <w:rPr>
          <w:rStyle w:val="OperatorTok"/>
        </w:rPr>
        <w:t>),</w:t>
      </w:r>
      <w:r>
        <w:rPr>
          <w:rStyle w:val="NormalTok"/>
        </w:rPr>
        <w:t>SUBROUTINE</w:t>
      </w:r>
      <w:r>
        <w:rPr>
          <w:rStyle w:val="OperatorTok"/>
        </w:rPr>
        <w:t>,</w:t>
      </w:r>
      <w:r>
        <w:rPr>
          <w:rStyle w:val="NormalTok"/>
        </w:rPr>
        <w:t>SAVEAREA</w:t>
      </w:r>
      <w:r>
        <w:br/>
      </w:r>
      <w:r>
        <w:rPr>
          <w:rStyle w:val="NormalTok"/>
        </w:rPr>
        <w:t xml:space="preserve">         B     ERROR_EXIT        </w:t>
      </w:r>
      <w:r>
        <w:rPr>
          <w:rStyle w:val="OperatorTok"/>
        </w:rPr>
        <w:t>*</w:t>
      </w:r>
      <w:r>
        <w:rPr>
          <w:rStyle w:val="NormalTok"/>
        </w:rPr>
        <w:t xml:space="preserve"> Se índice inválido</w:t>
      </w:r>
    </w:p>
    <w:p w14:paraId="2BB702A8" w14:textId="77777777" w:rsidR="00C07B8A" w:rsidRDefault="00000000">
      <w:pPr>
        <w:pStyle w:val="Heading2"/>
      </w:pPr>
      <w:bookmarkStart w:id="14" w:name="exemplos-práticos"/>
      <w:bookmarkEnd w:id="9"/>
      <w:bookmarkEnd w:id="13"/>
      <w:r>
        <w:t>Exemplos Práticos</w:t>
      </w:r>
    </w:p>
    <w:p w14:paraId="26EDBE8D" w14:textId="77777777" w:rsidR="00C07B8A" w:rsidRDefault="00000000">
      <w:pPr>
        <w:pStyle w:val="Heading3"/>
      </w:pPr>
      <w:bookmarkStart w:id="15" w:name="exemplo-1-processador-de-transações"/>
      <w:r>
        <w:t>Exemplo 1: Processador de Transações</w:t>
      </w:r>
    </w:p>
    <w:p w14:paraId="09B3E0B2" w14:textId="77777777" w:rsidR="00C07B8A" w:rsidRDefault="00000000">
      <w:pPr>
        <w:pStyle w:val="SourceCode"/>
      </w:pPr>
      <w:r>
        <w:rPr>
          <w:rStyle w:val="NormalTok"/>
        </w:rPr>
        <w:t>* Definição da tabela de ramificação</w:t>
      </w:r>
      <w:r>
        <w:br/>
      </w:r>
      <w:r>
        <w:rPr>
          <w:rStyle w:val="NormalTok"/>
        </w:rPr>
        <w:t xml:space="preserve">         IEABRCX DEFINE</w:t>
      </w:r>
      <w:r>
        <w:br/>
      </w:r>
      <w:r>
        <w:rPr>
          <w:rStyle w:val="NormalTok"/>
        </w:rPr>
        <w:t xml:space="preserve">SAVEAREA  </w:t>
      </w:r>
      <w:r>
        <w:rPr>
          <w:rStyle w:val="KeywordTok"/>
        </w:rPr>
        <w:t>DS</w:t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BaseNTok"/>
        </w:rPr>
        <w:t>D</w:t>
      </w:r>
      <w:r>
        <w:br/>
      </w:r>
      <w:r>
        <w:br/>
      </w:r>
      <w:r>
        <w:rPr>
          <w:rStyle w:val="NormalTok"/>
        </w:rPr>
        <w:t>* Rotina principal</w:t>
      </w:r>
      <w:r>
        <w:br/>
      </w:r>
      <w:r>
        <w:rPr>
          <w:rStyle w:val="NormalTok"/>
        </w:rPr>
        <w:t xml:space="preserve">TRANSACT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Salva registradores</w:t>
      </w:r>
      <w:r>
        <w:br/>
      </w:r>
      <w:r>
        <w:rPr>
          <w:rStyle w:val="NormalTok"/>
        </w:rPr>
        <w:t xml:space="preserve">         L     </w:t>
      </w:r>
      <w:r>
        <w:rPr>
          <w:rStyle w:val="KeywordTok"/>
        </w:rPr>
        <w:t>R14</w:t>
      </w:r>
      <w:r>
        <w:rPr>
          <w:rStyle w:val="OperatorTok"/>
        </w:rPr>
        <w:t>,</w:t>
      </w:r>
      <w:r>
        <w:rPr>
          <w:rStyle w:val="NormalTok"/>
        </w:rPr>
        <w:t>TRAN</w:t>
      </w:r>
      <w:r>
        <w:rPr>
          <w:rStyle w:val="OperatorTok"/>
        </w:rPr>
        <w:t>-</w:t>
      </w:r>
      <w:r>
        <w:rPr>
          <w:rStyle w:val="NormalTok"/>
        </w:rPr>
        <w:t xml:space="preserve">TYPE     </w:t>
      </w:r>
      <w:r>
        <w:rPr>
          <w:rStyle w:val="OperatorTok"/>
        </w:rPr>
        <w:t>*</w:t>
      </w:r>
      <w:r>
        <w:rPr>
          <w:rStyle w:val="NormalTok"/>
        </w:rPr>
        <w:t xml:space="preserve"> Carrega tipo de transação</w:t>
      </w:r>
      <w:r>
        <w:br/>
      </w:r>
      <w:r>
        <w:rPr>
          <w:rStyle w:val="NormalTok"/>
        </w:rPr>
        <w:t xml:space="preserve">         IEABRCX BRANCH</w:t>
      </w:r>
      <w:r>
        <w:rPr>
          <w:rStyle w:val="OperatorTok"/>
        </w:rPr>
        <w:t>,(</w:t>
      </w:r>
      <w:r>
        <w:rPr>
          <w:rStyle w:val="DecValTok"/>
        </w:rPr>
        <w:t>14</w:t>
      </w:r>
      <w:r>
        <w:rPr>
          <w:rStyle w:val="OperatorTok"/>
        </w:rPr>
        <w:t>),</w:t>
      </w:r>
      <w:r>
        <w:rPr>
          <w:rStyle w:val="NormalTok"/>
        </w:rPr>
        <w:t>PROCESS</w:t>
      </w:r>
      <w:r>
        <w:rPr>
          <w:rStyle w:val="OperatorTok"/>
        </w:rPr>
        <w:t>,</w:t>
      </w:r>
      <w:r>
        <w:rPr>
          <w:rStyle w:val="NormalTok"/>
        </w:rPr>
        <w:t>SAVEAREA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Restaura se erro</w:t>
      </w:r>
      <w:r>
        <w:br/>
      </w:r>
      <w:r>
        <w:rPr>
          <w:rStyle w:val="NormalTok"/>
        </w:rPr>
        <w:t xml:space="preserve">         B     TRAN</w:t>
      </w:r>
      <w:r>
        <w:rPr>
          <w:rStyle w:val="OperatorTok"/>
        </w:rPr>
        <w:t>-</w:t>
      </w:r>
      <w:r>
        <w:rPr>
          <w:rStyle w:val="NormalTok"/>
        </w:rPr>
        <w:t xml:space="preserve">EXIT         </w:t>
      </w:r>
      <w:r>
        <w:rPr>
          <w:rStyle w:val="OperatorTok"/>
        </w:rPr>
        <w:t>*</w:t>
      </w:r>
      <w:r>
        <w:rPr>
          <w:rStyle w:val="NormalTok"/>
        </w:rPr>
        <w:t xml:space="preserve"> Índice inválido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BuiltInTok"/>
        </w:rPr>
        <w:t>Sub</w:t>
      </w:r>
      <w:r>
        <w:rPr>
          <w:rStyle w:val="OperatorTok"/>
        </w:rPr>
        <w:t>-</w:t>
      </w:r>
      <w:r>
        <w:rPr>
          <w:rStyle w:val="NormalTok"/>
        </w:rPr>
        <w:t>rotinas de processamento</w:t>
      </w:r>
      <w:r>
        <w:br/>
      </w:r>
      <w:r>
        <w:rPr>
          <w:rStyle w:val="NormalTok"/>
        </w:rPr>
        <w:t xml:space="preserve">PROCESS0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Depósito</w:t>
      </w:r>
      <w:r>
        <w:br/>
      </w:r>
      <w:r>
        <w:rPr>
          <w:rStyle w:val="NormalTok"/>
        </w:rPr>
        <w:t xml:space="preserve">         ...                     * Lógica para depósito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  <w:r>
        <w:br/>
      </w:r>
      <w:r>
        <w:br/>
      </w:r>
      <w:r>
        <w:rPr>
          <w:rStyle w:val="NormalTok"/>
        </w:rPr>
        <w:t xml:space="preserve">PROCESS1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Saque</w:t>
      </w:r>
      <w:r>
        <w:br/>
      </w:r>
      <w:r>
        <w:rPr>
          <w:rStyle w:val="NormalTok"/>
        </w:rPr>
        <w:t xml:space="preserve">         ...                     * Lógica para saque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  <w:r>
        <w:br/>
      </w:r>
      <w:r>
        <w:br/>
      </w:r>
      <w:r>
        <w:rPr>
          <w:rStyle w:val="NormalTok"/>
        </w:rPr>
        <w:t xml:space="preserve">PROCESS2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Transferência</w:t>
      </w:r>
      <w:r>
        <w:br/>
      </w:r>
      <w:r>
        <w:rPr>
          <w:rStyle w:val="NormalTok"/>
        </w:rPr>
        <w:t xml:space="preserve">         ...                     * Lógica para transferência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  <w:r>
        <w:br/>
      </w:r>
      <w:r>
        <w:br/>
      </w:r>
      <w:r>
        <w:rPr>
          <w:rStyle w:val="NormalTok"/>
        </w:rPr>
        <w:t>TRAN</w:t>
      </w:r>
      <w:r>
        <w:rPr>
          <w:rStyle w:val="OperatorTok"/>
        </w:rPr>
        <w:t>-</w:t>
      </w:r>
      <w:r>
        <w:rPr>
          <w:rStyle w:val="NormalTok"/>
        </w:rPr>
        <w:t xml:space="preserve">EXIT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Restaura e retorna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</w:p>
    <w:p w14:paraId="54BFCC5A" w14:textId="77777777" w:rsidR="00C07B8A" w:rsidRDefault="00000000">
      <w:pPr>
        <w:pStyle w:val="Heading3"/>
      </w:pPr>
      <w:bookmarkStart w:id="16" w:name="exemplo-2-processador-de-comandos"/>
      <w:bookmarkEnd w:id="15"/>
      <w:r>
        <w:t>Exemplo 2: Processador de Comandos</w:t>
      </w:r>
    </w:p>
    <w:p w14:paraId="5D0F81AB" w14:textId="77777777" w:rsidR="00C07B8A" w:rsidRDefault="00000000">
      <w:pPr>
        <w:pStyle w:val="SourceCode"/>
      </w:pPr>
      <w:r>
        <w:rPr>
          <w:rStyle w:val="NormalTok"/>
        </w:rPr>
        <w:t>* Tabela de comandos suportados</w:t>
      </w:r>
      <w:r>
        <w:br/>
      </w:r>
      <w:r>
        <w:rPr>
          <w:rStyle w:val="NormalTok"/>
        </w:rPr>
        <w:t xml:space="preserve">         IEABRCX DEFINE</w:t>
      </w:r>
      <w:r>
        <w:br/>
      </w:r>
      <w:r>
        <w:rPr>
          <w:rStyle w:val="NormalTok"/>
        </w:rPr>
        <w:t xml:space="preserve">CMDSAVE  </w:t>
      </w:r>
      <w:r>
        <w:rPr>
          <w:rStyle w:val="KeywordTok"/>
        </w:rPr>
        <w:t>DS</w:t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BaseNTok"/>
        </w:rPr>
        <w:t>D</w:t>
      </w:r>
      <w:r>
        <w:br/>
      </w:r>
      <w:r>
        <w:br/>
      </w:r>
      <w:r>
        <w:rPr>
          <w:rStyle w:val="NormalTok"/>
        </w:rPr>
        <w:t>* Processador principal</w:t>
      </w:r>
      <w:r>
        <w:br/>
      </w:r>
      <w:r>
        <w:rPr>
          <w:rStyle w:val="NormalTok"/>
        </w:rPr>
        <w:t xml:space="preserve">COMMAND 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L     </w:t>
      </w:r>
      <w:r>
        <w:rPr>
          <w:rStyle w:val="KeywordTok"/>
        </w:rPr>
        <w:t>R14</w:t>
      </w:r>
      <w:r>
        <w:rPr>
          <w:rStyle w:val="OperatorTok"/>
        </w:rPr>
        <w:t>,</w:t>
      </w:r>
      <w:r>
        <w:rPr>
          <w:rStyle w:val="NormalTok"/>
        </w:rPr>
        <w:t>CMD</w:t>
      </w:r>
      <w:r>
        <w:rPr>
          <w:rStyle w:val="OperatorTok"/>
        </w:rPr>
        <w:t>-</w:t>
      </w:r>
      <w:r>
        <w:rPr>
          <w:rStyle w:val="NormalTok"/>
        </w:rPr>
        <w:t xml:space="preserve">CODE      </w:t>
      </w:r>
      <w:r>
        <w:rPr>
          <w:rStyle w:val="OperatorTok"/>
        </w:rPr>
        <w:t>*</w:t>
      </w:r>
      <w:r>
        <w:rPr>
          <w:rStyle w:val="NormalTok"/>
        </w:rPr>
        <w:t xml:space="preserve"> Carrega código do comando</w:t>
      </w:r>
      <w:r>
        <w:br/>
      </w:r>
      <w:r>
        <w:rPr>
          <w:rStyle w:val="NormalTok"/>
        </w:rPr>
        <w:t xml:space="preserve">         NIHH  </w:t>
      </w:r>
      <w:r>
        <w:rPr>
          <w:rStyle w:val="KeywordTok"/>
        </w:rPr>
        <w:t>R14</w:t>
      </w:r>
      <w:r>
        <w:rPr>
          <w:rStyle w:val="OperatorTok"/>
        </w:rPr>
        <w:t>,</w:t>
      </w:r>
      <w:r>
        <w:rPr>
          <w:rStyle w:val="FloatTok"/>
        </w:rPr>
        <w:t>000</w:t>
      </w:r>
      <w:r>
        <w:rPr>
          <w:rStyle w:val="BaseNTok"/>
        </w:rPr>
        <w:t>F</w:t>
      </w:r>
      <w:r>
        <w:rPr>
          <w:rStyle w:val="NormalTok"/>
        </w:rPr>
        <w:t xml:space="preserve">          </w:t>
      </w:r>
      <w:r>
        <w:rPr>
          <w:rStyle w:val="OperatorTok"/>
        </w:rPr>
        <w:t>*</w:t>
      </w:r>
      <w:r>
        <w:rPr>
          <w:rStyle w:val="NormalTok"/>
        </w:rPr>
        <w:t xml:space="preserve"> Máscara para 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   IEABRCX BRANCH</w:t>
      </w:r>
      <w:r>
        <w:rPr>
          <w:rStyle w:val="OperatorTok"/>
        </w:rPr>
        <w:t>,(</w:t>
      </w:r>
      <w:r>
        <w:rPr>
          <w:rStyle w:val="DecValTok"/>
        </w:rPr>
        <w:t>14</w:t>
      </w:r>
      <w:r>
        <w:rPr>
          <w:rStyle w:val="OperatorTok"/>
        </w:rPr>
        <w:t>),</w:t>
      </w:r>
      <w:r>
        <w:rPr>
          <w:rStyle w:val="NormalTok"/>
        </w:rPr>
        <w:t>EXECUTE</w:t>
      </w:r>
      <w:r>
        <w:rPr>
          <w:rStyle w:val="OperatorTok"/>
        </w:rPr>
        <w:t>,</w:t>
      </w:r>
      <w:r>
        <w:rPr>
          <w:rStyle w:val="NormalTok"/>
        </w:rPr>
        <w:t>CMDSAVE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Restaura se erro</w:t>
      </w:r>
      <w:r>
        <w:br/>
      </w:r>
      <w:r>
        <w:rPr>
          <w:rStyle w:val="NormalTok"/>
        </w:rPr>
        <w:t xml:space="preserve">         B     CMD</w:t>
      </w:r>
      <w:r>
        <w:rPr>
          <w:rStyle w:val="OperatorTok"/>
        </w:rPr>
        <w:t>-</w:t>
      </w:r>
      <w:r>
        <w:rPr>
          <w:rStyle w:val="NormalTok"/>
        </w:rPr>
        <w:t xml:space="preserve">ERROR         </w:t>
      </w:r>
      <w:r>
        <w:rPr>
          <w:rStyle w:val="OperatorTok"/>
        </w:rPr>
        <w:t>*</w:t>
      </w:r>
      <w:r>
        <w:rPr>
          <w:rStyle w:val="NormalTok"/>
        </w:rPr>
        <w:t xml:space="preserve"> Comando inválido</w:t>
      </w:r>
      <w:r>
        <w:br/>
      </w:r>
      <w:r>
        <w:lastRenderedPageBreak/>
        <w:br/>
      </w:r>
      <w:r>
        <w:rPr>
          <w:rStyle w:val="NormalTok"/>
        </w:rPr>
        <w:t>* Implementações de comando</w:t>
      </w:r>
      <w:r>
        <w:br/>
      </w:r>
      <w:r>
        <w:rPr>
          <w:rStyle w:val="NormalTok"/>
        </w:rPr>
        <w:t xml:space="preserve">EXECUTE0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Comando LIST</w:t>
      </w:r>
      <w:r>
        <w:br/>
      </w:r>
      <w:r>
        <w:rPr>
          <w:rStyle w:val="NormalTok"/>
        </w:rPr>
        <w:t xml:space="preserve">         ...                     * Lista arquivos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  <w:r>
        <w:br/>
      </w:r>
      <w:r>
        <w:br/>
      </w:r>
      <w:r>
        <w:rPr>
          <w:rStyle w:val="NormalTok"/>
        </w:rPr>
        <w:t xml:space="preserve">EXECUTE1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Comando CREATE</w:t>
      </w:r>
      <w:r>
        <w:br/>
      </w:r>
      <w:r>
        <w:rPr>
          <w:rStyle w:val="NormalTok"/>
        </w:rPr>
        <w:t xml:space="preserve">         ...                     * Cria novo arquivo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  <w:r>
        <w:br/>
      </w:r>
      <w:r>
        <w:br/>
      </w:r>
      <w:r>
        <w:rPr>
          <w:rStyle w:val="NormalTok"/>
        </w:rPr>
        <w:t xml:space="preserve">EXECUTE2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*</w:t>
      </w:r>
      <w:r>
        <w:rPr>
          <w:rStyle w:val="NormalTok"/>
        </w:rPr>
        <w:t xml:space="preserve"> Comando DELETE</w:t>
      </w:r>
      <w:r>
        <w:br/>
      </w:r>
      <w:r>
        <w:rPr>
          <w:rStyle w:val="NormalTok"/>
        </w:rPr>
        <w:t xml:space="preserve">         ...                     * Exclui arquivo</w:t>
      </w:r>
      <w:r>
        <w:br/>
      </w:r>
      <w:r>
        <w:rPr>
          <w:rStyle w:val="NormalTok"/>
        </w:rPr>
        <w:t xml:space="preserve">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BR    </w:t>
      </w:r>
      <w:r>
        <w:rPr>
          <w:rStyle w:val="DecValTok"/>
        </w:rPr>
        <w:t>14</w:t>
      </w:r>
    </w:p>
    <w:p w14:paraId="36EE6952" w14:textId="77777777" w:rsidR="00C07B8A" w:rsidRDefault="00000000">
      <w:pPr>
        <w:pStyle w:val="Heading2"/>
      </w:pPr>
      <w:bookmarkStart w:id="17" w:name="melhores-práticas"/>
      <w:bookmarkEnd w:id="14"/>
      <w:bookmarkEnd w:id="16"/>
      <w:r>
        <w:t>Melhores Práticas</w:t>
      </w:r>
    </w:p>
    <w:p w14:paraId="734B2D5A" w14:textId="77777777" w:rsidR="00C07B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Validação de Entrada</w:t>
      </w:r>
      <w:r>
        <w:t>:</w:t>
      </w:r>
    </w:p>
    <w:p w14:paraId="2617C93D" w14:textId="77777777" w:rsidR="00C07B8A" w:rsidRDefault="00000000">
      <w:pPr>
        <w:pStyle w:val="Compact"/>
        <w:numPr>
          <w:ilvl w:val="1"/>
          <w:numId w:val="11"/>
        </w:numPr>
      </w:pPr>
      <w:r>
        <w:t>Sempre valide o valor do índice</w:t>
      </w:r>
    </w:p>
    <w:p w14:paraId="798FE03B" w14:textId="77777777" w:rsidR="00C07B8A" w:rsidRDefault="00000000">
      <w:pPr>
        <w:pStyle w:val="Compact"/>
        <w:numPr>
          <w:ilvl w:val="1"/>
          <w:numId w:val="11"/>
        </w:numPr>
      </w:pPr>
      <w:r>
        <w:t>Trate erros de forma consistente</w:t>
      </w:r>
    </w:p>
    <w:p w14:paraId="1F9A24AE" w14:textId="77777777" w:rsidR="00C07B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Documentação</w:t>
      </w:r>
      <w:r>
        <w:t>:</w:t>
      </w:r>
    </w:p>
    <w:p w14:paraId="777DFAC1" w14:textId="77777777" w:rsidR="00C07B8A" w:rsidRDefault="00000000">
      <w:pPr>
        <w:pStyle w:val="Compact"/>
        <w:numPr>
          <w:ilvl w:val="1"/>
          <w:numId w:val="12"/>
        </w:numPr>
      </w:pPr>
      <w:r>
        <w:t>Comente cada sub-rotina</w:t>
      </w:r>
    </w:p>
    <w:p w14:paraId="3709AC42" w14:textId="77777777" w:rsidR="00C07B8A" w:rsidRDefault="00000000">
      <w:pPr>
        <w:pStyle w:val="Compact"/>
        <w:numPr>
          <w:ilvl w:val="1"/>
          <w:numId w:val="12"/>
        </w:numPr>
      </w:pPr>
      <w:r>
        <w:t>Documente parâmetros de entrada/saída</w:t>
      </w:r>
    </w:p>
    <w:p w14:paraId="09223A6B" w14:textId="77777777" w:rsidR="00C07B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Consistência</w:t>
      </w:r>
      <w:r>
        <w:t>:</w:t>
      </w:r>
    </w:p>
    <w:p w14:paraId="0127D791" w14:textId="77777777" w:rsidR="00C07B8A" w:rsidRDefault="00000000">
      <w:pPr>
        <w:pStyle w:val="Compact"/>
        <w:numPr>
          <w:ilvl w:val="1"/>
          <w:numId w:val="13"/>
        </w:numPr>
      </w:pPr>
      <w:r>
        <w:t>Use o mesmo padrão para todas as sub-rotinas</w:t>
      </w:r>
    </w:p>
    <w:p w14:paraId="70858E18" w14:textId="77777777" w:rsidR="00C07B8A" w:rsidRDefault="00000000">
      <w:pPr>
        <w:pStyle w:val="Compact"/>
        <w:numPr>
          <w:ilvl w:val="1"/>
          <w:numId w:val="13"/>
        </w:numPr>
      </w:pPr>
      <w:r>
        <w:t>Mantenha a mesma sequência de salvamento/restauração</w:t>
      </w:r>
    </w:p>
    <w:p w14:paraId="4EA9264E" w14:textId="77777777" w:rsidR="00C07B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Desempenho</w:t>
      </w:r>
      <w:r>
        <w:t>:</w:t>
      </w:r>
    </w:p>
    <w:p w14:paraId="4A2F5FD1" w14:textId="77777777" w:rsidR="00C07B8A" w:rsidRDefault="00000000">
      <w:pPr>
        <w:pStyle w:val="Compact"/>
        <w:numPr>
          <w:ilvl w:val="1"/>
          <w:numId w:val="14"/>
        </w:numPr>
      </w:pPr>
      <w:r>
        <w:t>Para menos de 3 opções, considere IF/ELSE</w:t>
      </w:r>
    </w:p>
    <w:p w14:paraId="167BBAD5" w14:textId="77777777" w:rsidR="00C07B8A" w:rsidRDefault="00000000">
      <w:pPr>
        <w:pStyle w:val="Compact"/>
        <w:numPr>
          <w:ilvl w:val="1"/>
          <w:numId w:val="14"/>
        </w:numPr>
      </w:pPr>
      <w:r>
        <w:t>Para mais de 16 opções, considere uma tabela de endereços</w:t>
      </w:r>
    </w:p>
    <w:p w14:paraId="23BB320E" w14:textId="77777777" w:rsidR="00C07B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Segurança</w:t>
      </w:r>
      <w:r>
        <w:t>:</w:t>
      </w:r>
    </w:p>
    <w:p w14:paraId="5F7C1129" w14:textId="77777777" w:rsidR="00C07B8A" w:rsidRDefault="00000000">
      <w:pPr>
        <w:pStyle w:val="Compact"/>
        <w:numPr>
          <w:ilvl w:val="1"/>
          <w:numId w:val="15"/>
        </w:numPr>
      </w:pPr>
      <w:r>
        <w:t>Sempre preserve todos os registradores usados</w:t>
      </w:r>
    </w:p>
    <w:p w14:paraId="35AB3613" w14:textId="77777777" w:rsidR="00C07B8A" w:rsidRDefault="00000000">
      <w:pPr>
        <w:pStyle w:val="Compact"/>
        <w:numPr>
          <w:ilvl w:val="1"/>
          <w:numId w:val="15"/>
        </w:numPr>
      </w:pPr>
      <w:r>
        <w:t>Nunca assuma que o chamador salvou registradores</w:t>
      </w:r>
    </w:p>
    <w:p w14:paraId="04464B20" w14:textId="77777777" w:rsidR="00C07B8A" w:rsidRDefault="00000000">
      <w:pPr>
        <w:pStyle w:val="Heading2"/>
      </w:pPr>
      <w:bookmarkStart w:id="18" w:name="comparação-com-alternativas"/>
      <w:bookmarkEnd w:id="17"/>
      <w:r>
        <w:t>Comparação com Alternativas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5"/>
        <w:gridCol w:w="3707"/>
        <w:gridCol w:w="3604"/>
      </w:tblGrid>
      <w:tr w:rsidR="00C07B8A" w14:paraId="3DD99324" w14:textId="77777777" w:rsidTr="00C07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3" w:type="dxa"/>
          </w:tcPr>
          <w:p w14:paraId="17BCC466" w14:textId="77777777" w:rsidR="00C07B8A" w:rsidRDefault="00000000">
            <w:pPr>
              <w:pStyle w:val="Compact"/>
            </w:pPr>
            <w:r>
              <w:t>Método</w:t>
            </w:r>
          </w:p>
        </w:tc>
        <w:tc>
          <w:tcPr>
            <w:tcW w:w="3065" w:type="dxa"/>
          </w:tcPr>
          <w:p w14:paraId="3FC73241" w14:textId="77777777" w:rsidR="00C07B8A" w:rsidRDefault="00000000">
            <w:pPr>
              <w:pStyle w:val="Compact"/>
            </w:pPr>
            <w:r>
              <w:t>Vantagens</w:t>
            </w:r>
          </w:p>
        </w:tc>
        <w:tc>
          <w:tcPr>
            <w:tcW w:w="2980" w:type="dxa"/>
          </w:tcPr>
          <w:p w14:paraId="57DFC01A" w14:textId="77777777" w:rsidR="00C07B8A" w:rsidRDefault="00000000">
            <w:pPr>
              <w:pStyle w:val="Compact"/>
            </w:pPr>
            <w:r>
              <w:t>Desvantagens</w:t>
            </w:r>
          </w:p>
        </w:tc>
      </w:tr>
      <w:tr w:rsidR="00C07B8A" w14:paraId="633A8914" w14:textId="77777777">
        <w:tc>
          <w:tcPr>
            <w:tcW w:w="1873" w:type="dxa"/>
          </w:tcPr>
          <w:p w14:paraId="5EEEA2EB" w14:textId="77777777" w:rsidR="00C07B8A" w:rsidRDefault="00000000">
            <w:pPr>
              <w:pStyle w:val="Compact"/>
            </w:pPr>
            <w:r>
              <w:t>IEABRCX</w:t>
            </w:r>
          </w:p>
        </w:tc>
        <w:tc>
          <w:tcPr>
            <w:tcW w:w="3065" w:type="dxa"/>
          </w:tcPr>
          <w:p w14:paraId="03ECFF38" w14:textId="77777777" w:rsidR="00C07B8A" w:rsidRDefault="00000000">
            <w:pPr>
              <w:pStyle w:val="Compact"/>
            </w:pPr>
            <w:r>
              <w:t>Eficiente para muitos casos</w:t>
            </w:r>
          </w:p>
        </w:tc>
        <w:tc>
          <w:tcPr>
            <w:tcW w:w="2980" w:type="dxa"/>
          </w:tcPr>
          <w:p w14:paraId="3607C5C3" w14:textId="77777777" w:rsidR="00C07B8A" w:rsidRDefault="00000000">
            <w:pPr>
              <w:pStyle w:val="Compact"/>
            </w:pPr>
            <w:r>
              <w:t>Requer setup inicial</w:t>
            </w:r>
          </w:p>
        </w:tc>
      </w:tr>
      <w:tr w:rsidR="00C07B8A" w14:paraId="26C449C3" w14:textId="77777777">
        <w:tc>
          <w:tcPr>
            <w:tcW w:w="1873" w:type="dxa"/>
          </w:tcPr>
          <w:p w14:paraId="57A9A9CB" w14:textId="77777777" w:rsidR="00C07B8A" w:rsidRDefault="00000000">
            <w:pPr>
              <w:pStyle w:val="Compact"/>
            </w:pPr>
            <w:r>
              <w:t>Série de Comparações</w:t>
            </w:r>
          </w:p>
        </w:tc>
        <w:tc>
          <w:tcPr>
            <w:tcW w:w="3065" w:type="dxa"/>
          </w:tcPr>
          <w:p w14:paraId="22E3AF4F" w14:textId="77777777" w:rsidR="00C07B8A" w:rsidRDefault="00000000">
            <w:pPr>
              <w:pStyle w:val="Compact"/>
            </w:pPr>
            <w:r>
              <w:t>Simples para poucos casos</w:t>
            </w:r>
          </w:p>
        </w:tc>
        <w:tc>
          <w:tcPr>
            <w:tcW w:w="2980" w:type="dxa"/>
          </w:tcPr>
          <w:p w14:paraId="13C92605" w14:textId="77777777" w:rsidR="00C07B8A" w:rsidRDefault="00000000">
            <w:pPr>
              <w:pStyle w:val="Compact"/>
            </w:pPr>
            <w:r>
              <w:t>Ineficiente para muitos casos</w:t>
            </w:r>
          </w:p>
        </w:tc>
      </w:tr>
      <w:tr w:rsidR="00C07B8A" w14:paraId="00B1DAA1" w14:textId="77777777">
        <w:tc>
          <w:tcPr>
            <w:tcW w:w="1873" w:type="dxa"/>
          </w:tcPr>
          <w:p w14:paraId="534E7D4E" w14:textId="77777777" w:rsidR="00C07B8A" w:rsidRDefault="00000000">
            <w:pPr>
              <w:pStyle w:val="Compact"/>
            </w:pPr>
            <w:r>
              <w:t>Tabela de Endereços</w:t>
            </w:r>
          </w:p>
        </w:tc>
        <w:tc>
          <w:tcPr>
            <w:tcW w:w="3065" w:type="dxa"/>
          </w:tcPr>
          <w:p w14:paraId="0529ED69" w14:textId="77777777" w:rsidR="00C07B8A" w:rsidRDefault="00000000">
            <w:pPr>
              <w:pStyle w:val="Compact"/>
            </w:pPr>
            <w:r>
              <w:t>Flexível, rápido</w:t>
            </w:r>
          </w:p>
        </w:tc>
        <w:tc>
          <w:tcPr>
            <w:tcW w:w="2980" w:type="dxa"/>
          </w:tcPr>
          <w:p w14:paraId="348580FB" w14:textId="77777777" w:rsidR="00C07B8A" w:rsidRDefault="00000000">
            <w:pPr>
              <w:pStyle w:val="Compact"/>
            </w:pPr>
            <w:r>
              <w:t>Mais complexo de implementar</w:t>
            </w:r>
          </w:p>
        </w:tc>
      </w:tr>
      <w:tr w:rsidR="00C07B8A" w14:paraId="715B581B" w14:textId="77777777">
        <w:tc>
          <w:tcPr>
            <w:tcW w:w="1873" w:type="dxa"/>
          </w:tcPr>
          <w:p w14:paraId="421D03DE" w14:textId="77777777" w:rsidR="00C07B8A" w:rsidRDefault="00000000">
            <w:pPr>
              <w:pStyle w:val="Compact"/>
            </w:pPr>
            <w:r>
              <w:t>Computed GOTO</w:t>
            </w:r>
          </w:p>
        </w:tc>
        <w:tc>
          <w:tcPr>
            <w:tcW w:w="3065" w:type="dxa"/>
          </w:tcPr>
          <w:p w14:paraId="6E2A2A06" w14:textId="77777777" w:rsidR="00C07B8A" w:rsidRDefault="00000000">
            <w:pPr>
              <w:pStyle w:val="Compact"/>
            </w:pPr>
            <w:r>
              <w:t>Muito rápido</w:t>
            </w:r>
          </w:p>
        </w:tc>
        <w:tc>
          <w:tcPr>
            <w:tcW w:w="2980" w:type="dxa"/>
          </w:tcPr>
          <w:p w14:paraId="629B0D55" w14:textId="77777777" w:rsidR="00C07B8A" w:rsidRDefault="00000000">
            <w:pPr>
              <w:pStyle w:val="Compact"/>
            </w:pPr>
            <w:r>
              <w:t>Menos legível</w:t>
            </w:r>
          </w:p>
        </w:tc>
      </w:tr>
    </w:tbl>
    <w:p w14:paraId="58500908" w14:textId="77777777" w:rsidR="00C07B8A" w:rsidRDefault="00000000">
      <w:pPr>
        <w:pStyle w:val="Heading2"/>
      </w:pPr>
      <w:bookmarkStart w:id="19" w:name="dicas-avançadas"/>
      <w:bookmarkEnd w:id="18"/>
      <w:r>
        <w:lastRenderedPageBreak/>
        <w:t>Dicas Avançadas</w:t>
      </w:r>
    </w:p>
    <w:p w14:paraId="11775040" w14:textId="77777777" w:rsidR="00C07B8A" w:rsidRDefault="00000000">
      <w:pPr>
        <w:numPr>
          <w:ilvl w:val="0"/>
          <w:numId w:val="16"/>
        </w:numPr>
      </w:pPr>
      <w:r>
        <w:rPr>
          <w:b/>
          <w:bCs/>
        </w:rPr>
        <w:t>Encadeamento de Tabelas</w:t>
      </w:r>
      <w:r>
        <w:t>:</w:t>
      </w:r>
    </w:p>
    <w:p w14:paraId="294E60A6" w14:textId="77777777" w:rsidR="00C07B8A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* Primeira tabela para tipos principais</w:t>
      </w:r>
      <w:r>
        <w:br/>
      </w:r>
      <w:r>
        <w:rPr>
          <w:rStyle w:val="NormalTok"/>
        </w:rPr>
        <w:t>MAIN_TABLE IEABRCX DEFINE</w:t>
      </w:r>
      <w:r>
        <w:br/>
      </w:r>
      <w:r>
        <w:rPr>
          <w:rStyle w:val="NormalTok"/>
        </w:rPr>
        <w:t xml:space="preserve">MAIN_SAVE  </w:t>
      </w:r>
      <w:r>
        <w:rPr>
          <w:rStyle w:val="KeywordTok"/>
        </w:rPr>
        <w:t>DS</w:t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BaseNTok"/>
        </w:rPr>
        <w:t>D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BuiltInTok"/>
        </w:rPr>
        <w:t>Sub</w:t>
      </w:r>
      <w:r>
        <w:rPr>
          <w:rStyle w:val="OperatorTok"/>
        </w:rPr>
        <w:t>-</w:t>
      </w:r>
      <w:r>
        <w:rPr>
          <w:rStyle w:val="NormalTok"/>
        </w:rPr>
        <w:t>tabelas para categorias</w:t>
      </w:r>
      <w:r>
        <w:br/>
      </w:r>
      <w:r>
        <w:rPr>
          <w:rStyle w:val="NormalTok"/>
        </w:rPr>
        <w:t>SUB_TABLE1 IEABRCX DEFINE</w:t>
      </w:r>
      <w:r>
        <w:br/>
      </w:r>
      <w:r>
        <w:rPr>
          <w:rStyle w:val="NormalTok"/>
        </w:rPr>
        <w:t xml:space="preserve">SUB_SAVE1  </w:t>
      </w:r>
      <w:r>
        <w:rPr>
          <w:rStyle w:val="KeywordTok"/>
        </w:rPr>
        <w:t>DS</w:t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BaseNTok"/>
        </w:rPr>
        <w:t>D</w:t>
      </w:r>
    </w:p>
    <w:p w14:paraId="3EDE7907" w14:textId="77777777" w:rsidR="00C07B8A" w:rsidRDefault="00000000">
      <w:pPr>
        <w:numPr>
          <w:ilvl w:val="0"/>
          <w:numId w:val="16"/>
        </w:numPr>
      </w:pPr>
      <w:r>
        <w:rPr>
          <w:b/>
          <w:bCs/>
        </w:rPr>
        <w:t>Uso com Parâmetros</w:t>
      </w:r>
      <w:r>
        <w:t>:</w:t>
      </w:r>
    </w:p>
    <w:p w14:paraId="77D5C846" w14:textId="77777777" w:rsidR="00C07B8A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* Passe parâmetros em registradores</w:t>
      </w:r>
      <w:r>
        <w:br/>
      </w:r>
      <w:r>
        <w:rPr>
          <w:rStyle w:val="NormalTok"/>
        </w:rPr>
        <w:t xml:space="preserve">SUBROUTINE3 STM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LR    </w:t>
      </w:r>
      <w:r>
        <w:rPr>
          <w:rStyle w:val="KeywordTok"/>
        </w:rPr>
        <w:t>R12</w:t>
      </w:r>
      <w:r>
        <w:rPr>
          <w:rStyle w:val="OperatorTok"/>
        </w:rPr>
        <w:t>,</w:t>
      </w:r>
      <w:r>
        <w:rPr>
          <w:rStyle w:val="KeywordTok"/>
        </w:rPr>
        <w:t>R15</w:t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 Parâmetro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LR    </w:t>
      </w:r>
      <w:r>
        <w:rPr>
          <w:rStyle w:val="KeywordTok"/>
        </w:rPr>
        <w:t>R13</w:t>
      </w:r>
      <w:r>
        <w:rPr>
          <w:rStyle w:val="OperatorTok"/>
        </w:rPr>
        <w:t>,</w:t>
      </w:r>
      <w:r>
        <w:rPr>
          <w:rStyle w:val="NormalTok"/>
        </w:rPr>
        <w:t xml:space="preserve">R0         </w:t>
      </w:r>
      <w:r>
        <w:rPr>
          <w:rStyle w:val="OperatorTok"/>
        </w:rPr>
        <w:t>*</w:t>
      </w:r>
      <w:r>
        <w:rPr>
          <w:rStyle w:val="NormalTok"/>
        </w:rPr>
        <w:t xml:space="preserve"> Parâmetro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...                  * Processamento</w:t>
      </w:r>
      <w:r>
        <w:br/>
      </w:r>
      <w:r>
        <w:rPr>
          <w:rStyle w:val="NormalTok"/>
        </w:rPr>
        <w:t xml:space="preserve">           LM   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DecValTok"/>
        </w:rPr>
        <w:t>12</w:t>
      </w:r>
      <w:r>
        <w:rPr>
          <w:rStyle w:val="OperatorTok"/>
        </w:rPr>
        <w:t>(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BR    </w:t>
      </w:r>
      <w:r>
        <w:rPr>
          <w:rStyle w:val="DecValTok"/>
        </w:rPr>
        <w:t>14</w:t>
      </w:r>
    </w:p>
    <w:p w14:paraId="5F711140" w14:textId="77777777" w:rsidR="00C07B8A" w:rsidRDefault="00000000">
      <w:pPr>
        <w:numPr>
          <w:ilvl w:val="0"/>
          <w:numId w:val="16"/>
        </w:numPr>
      </w:pPr>
      <w:r>
        <w:rPr>
          <w:b/>
          <w:bCs/>
        </w:rPr>
        <w:t>Integração com CICS</w:t>
      </w:r>
      <w:r>
        <w:t>:</w:t>
      </w:r>
    </w:p>
    <w:p w14:paraId="0FAFACC7" w14:textId="77777777" w:rsidR="00C07B8A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* Em programas CICS</w:t>
      </w:r>
      <w:r>
        <w:br/>
      </w:r>
      <w:r>
        <w:rPr>
          <w:rStyle w:val="NormalTok"/>
        </w:rPr>
        <w:t>DFHEIENT COPY DFHEIENT</w:t>
      </w:r>
      <w:r>
        <w:br/>
      </w:r>
      <w:r>
        <w:rPr>
          <w:rStyle w:val="NormalTok"/>
        </w:rPr>
        <w:t>...</w:t>
      </w:r>
      <w:r>
        <w:br/>
      </w:r>
      <w:r>
        <w:rPr>
          <w:rStyle w:val="NormalTok"/>
        </w:rPr>
        <w:t xml:space="preserve">      IEABRCX BRANCH</w:t>
      </w:r>
      <w:r>
        <w:rPr>
          <w:rStyle w:val="OperatorTok"/>
        </w:rPr>
        <w:t>,(</w:t>
      </w:r>
      <w:r>
        <w:rPr>
          <w:rStyle w:val="DecValTok"/>
        </w:rPr>
        <w:t>14</w:t>
      </w:r>
      <w:r>
        <w:rPr>
          <w:rStyle w:val="OperatorTok"/>
        </w:rPr>
        <w:t>),</w:t>
      </w:r>
      <w:r>
        <w:rPr>
          <w:rStyle w:val="NormalTok"/>
        </w:rPr>
        <w:t>CICS</w:t>
      </w:r>
      <w:r>
        <w:rPr>
          <w:rStyle w:val="OperatorTok"/>
        </w:rPr>
        <w:t>-</w:t>
      </w:r>
      <w:r>
        <w:rPr>
          <w:rStyle w:val="NormalTok"/>
        </w:rPr>
        <w:t>HANDLER</w:t>
      </w:r>
      <w:r>
        <w:rPr>
          <w:rStyle w:val="OperatorTok"/>
        </w:rPr>
        <w:t>,</w:t>
      </w:r>
      <w:r>
        <w:rPr>
          <w:rStyle w:val="NormalTok"/>
        </w:rPr>
        <w:t>SAVEAREA</w:t>
      </w:r>
    </w:p>
    <w:p w14:paraId="618410AD" w14:textId="77777777" w:rsidR="00C07B8A" w:rsidRDefault="00000000">
      <w:pPr>
        <w:pStyle w:val="Heading2"/>
      </w:pPr>
      <w:bookmarkStart w:id="20" w:name="solução-de-problemas-comuns"/>
      <w:bookmarkEnd w:id="19"/>
      <w:r>
        <w:t>Solução de Problemas Comuns</w:t>
      </w:r>
    </w:p>
    <w:p w14:paraId="2280BA81" w14:textId="77777777" w:rsidR="00C07B8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Índice Inválido</w:t>
      </w:r>
      <w:r>
        <w:t>:</w:t>
      </w:r>
    </w:p>
    <w:p w14:paraId="3F7FB1CB" w14:textId="77777777" w:rsidR="00C07B8A" w:rsidRDefault="00000000">
      <w:pPr>
        <w:pStyle w:val="Compact"/>
        <w:numPr>
          <w:ilvl w:val="1"/>
          <w:numId w:val="18"/>
        </w:numPr>
      </w:pPr>
      <w:r>
        <w:t>Sempre inclua um caminho de erro</w:t>
      </w:r>
    </w:p>
    <w:p w14:paraId="20D484CD" w14:textId="77777777" w:rsidR="00C07B8A" w:rsidRDefault="00000000">
      <w:pPr>
        <w:pStyle w:val="Compact"/>
        <w:numPr>
          <w:ilvl w:val="1"/>
          <w:numId w:val="18"/>
        </w:numPr>
      </w:pPr>
      <w:r>
        <w:t xml:space="preserve">Considere usar </w:t>
      </w:r>
      <w:r>
        <w:rPr>
          <w:rStyle w:val="VerbatimChar"/>
        </w:rPr>
        <w:t>BCTR</w:t>
      </w:r>
      <w:r>
        <w:t xml:space="preserve"> para ajustar o índice</w:t>
      </w:r>
    </w:p>
    <w:p w14:paraId="13F76DF7" w14:textId="77777777" w:rsidR="00C07B8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Corrupção de Registradores</w:t>
      </w:r>
      <w:r>
        <w:t>:</w:t>
      </w:r>
    </w:p>
    <w:p w14:paraId="164246C5" w14:textId="77777777" w:rsidR="00C07B8A" w:rsidRDefault="00000000">
      <w:pPr>
        <w:pStyle w:val="Compact"/>
        <w:numPr>
          <w:ilvl w:val="1"/>
          <w:numId w:val="19"/>
        </w:numPr>
      </w:pPr>
      <w:r>
        <w:t>Verifique duplamente a sequência STM/LM</w:t>
      </w:r>
    </w:p>
    <w:p w14:paraId="07A1A339" w14:textId="77777777" w:rsidR="00C07B8A" w:rsidRDefault="00000000">
      <w:pPr>
        <w:pStyle w:val="Compact"/>
        <w:numPr>
          <w:ilvl w:val="1"/>
          <w:numId w:val="19"/>
        </w:numPr>
      </w:pPr>
      <w:r>
        <w:t xml:space="preserve">Use </w:t>
      </w:r>
      <w:r>
        <w:rPr>
          <w:rStyle w:val="VerbatimChar"/>
        </w:rPr>
        <w:t>DS 0D</w:t>
      </w:r>
      <w:r>
        <w:t xml:space="preserve"> para alinhamento adequado</w:t>
      </w:r>
    </w:p>
    <w:p w14:paraId="5EFF8943" w14:textId="77777777" w:rsidR="00C07B8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Problemas de Desempenho</w:t>
      </w:r>
      <w:r>
        <w:t>:</w:t>
      </w:r>
    </w:p>
    <w:p w14:paraId="0C41BB17" w14:textId="77777777" w:rsidR="00C07B8A" w:rsidRDefault="00000000">
      <w:pPr>
        <w:pStyle w:val="Compact"/>
        <w:numPr>
          <w:ilvl w:val="1"/>
          <w:numId w:val="20"/>
        </w:numPr>
      </w:pPr>
      <w:r>
        <w:t>Para tabelas grandes, considere uma pesquisa binária</w:t>
      </w:r>
    </w:p>
    <w:p w14:paraId="50B31C79" w14:textId="77777777" w:rsidR="00C07B8A" w:rsidRDefault="00000000">
      <w:pPr>
        <w:pStyle w:val="Compact"/>
        <w:numPr>
          <w:ilvl w:val="1"/>
          <w:numId w:val="20"/>
        </w:numPr>
      </w:pPr>
      <w:r>
        <w:t>Evite aninhamento excessivo</w:t>
      </w:r>
    </w:p>
    <w:p w14:paraId="025833DD" w14:textId="77777777" w:rsidR="00C07B8A" w:rsidRDefault="00000000">
      <w:pPr>
        <w:pStyle w:val="Heading2"/>
      </w:pPr>
      <w:bookmarkStart w:id="21" w:name="conclusão"/>
      <w:bookmarkEnd w:id="20"/>
      <w:r>
        <w:t>Conclusão</w:t>
      </w:r>
    </w:p>
    <w:p w14:paraId="0CCA59F7" w14:textId="77777777" w:rsidR="00C07B8A" w:rsidRDefault="00000000">
      <w:pPr>
        <w:pStyle w:val="FirstParagraph"/>
      </w:pPr>
      <w:r>
        <w:t>A macro IEABRCX é uma ferramenta essencial para programadores HLASM que precisam implementar despacho eficiente de funções. Quando usada corretamente com as técnicas descritas neste guia, ela pode: - Melhorar a legibilidade do código - Aumentar o desempenho - Reduzir erros comuns - Tornar o código mais mantível</w:t>
      </w:r>
    </w:p>
    <w:p w14:paraId="49EA0072" w14:textId="77777777" w:rsidR="00C07B8A" w:rsidRDefault="00000000">
      <w:pPr>
        <w:pStyle w:val="BodyText"/>
      </w:pPr>
      <w:r>
        <w:lastRenderedPageBreak/>
        <w:t>Lembre-se de sempre: 1. Validar entradas 2. Documentar claramente 3. Manter consistência 4. Testar completamente</w:t>
      </w:r>
    </w:p>
    <w:p w14:paraId="311FEA3A" w14:textId="77777777" w:rsidR="00C07B8A" w:rsidRDefault="00000000">
      <w:pPr>
        <w:pStyle w:val="BodyText"/>
      </w:pPr>
      <w:r>
        <w:t>Com estas práticas, você pode criar sistemas robustos e eficientes usando a IEABRCX em seus programas HLASM.</w:t>
      </w:r>
      <w:bookmarkEnd w:id="0"/>
      <w:bookmarkEnd w:id="21"/>
    </w:p>
    <w:sectPr w:rsidR="00C07B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1C73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FA61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A1E3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8712251">
    <w:abstractNumId w:val="0"/>
  </w:num>
  <w:num w:numId="2" w16cid:durableId="1114179908">
    <w:abstractNumId w:val="1"/>
  </w:num>
  <w:num w:numId="3" w16cid:durableId="1332640345">
    <w:abstractNumId w:val="1"/>
  </w:num>
  <w:num w:numId="4" w16cid:durableId="1126118981">
    <w:abstractNumId w:val="1"/>
  </w:num>
  <w:num w:numId="5" w16cid:durableId="506483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8779881">
    <w:abstractNumId w:val="1"/>
  </w:num>
  <w:num w:numId="7" w16cid:durableId="159471053">
    <w:abstractNumId w:val="1"/>
  </w:num>
  <w:num w:numId="8" w16cid:durableId="1366563254">
    <w:abstractNumId w:val="1"/>
  </w:num>
  <w:num w:numId="9" w16cid:durableId="1941602123">
    <w:abstractNumId w:val="1"/>
  </w:num>
  <w:num w:numId="10" w16cid:durableId="698899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5826629">
    <w:abstractNumId w:val="1"/>
  </w:num>
  <w:num w:numId="12" w16cid:durableId="1566187316">
    <w:abstractNumId w:val="1"/>
  </w:num>
  <w:num w:numId="13" w16cid:durableId="364066626">
    <w:abstractNumId w:val="1"/>
  </w:num>
  <w:num w:numId="14" w16cid:durableId="1422067577">
    <w:abstractNumId w:val="1"/>
  </w:num>
  <w:num w:numId="15" w16cid:durableId="1033574242">
    <w:abstractNumId w:val="1"/>
  </w:num>
  <w:num w:numId="16" w16cid:durableId="950742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7396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7140065">
    <w:abstractNumId w:val="1"/>
  </w:num>
  <w:num w:numId="19" w16cid:durableId="2035692188">
    <w:abstractNumId w:val="1"/>
  </w:num>
  <w:num w:numId="20" w16cid:durableId="5474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B8A"/>
    <w:rsid w:val="005C1D8F"/>
    <w:rsid w:val="00B06D3C"/>
    <w:rsid w:val="00C0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B30C"/>
  <w15:docId w15:val="{9B6B22C3-3499-4797-B8B9-777CAEE6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1097</Words>
  <Characters>6158</Characters>
  <Application>Microsoft Office Word</Application>
  <DocSecurity>0</DocSecurity>
  <Lines>236</Lines>
  <Paragraphs>142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 Pereira</cp:lastModifiedBy>
  <cp:revision>2</cp:revision>
  <dcterms:created xsi:type="dcterms:W3CDTF">2026-03-27T19:26:00Z</dcterms:created>
  <dcterms:modified xsi:type="dcterms:W3CDTF">2026-03-27T19:28:00Z</dcterms:modified>
</cp:coreProperties>
</file>