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3DA5D9" w:sz="8"/>
              <w:bottom w:val="none" w:sz="0"/>
              <w:right w:val="none" w:sz="0"/>
            </w:tcBorders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44"/>
                <w:szCs w:val="44"/>
              </w:rPr>
              <w:t xml:space="preserve">PLATAFORMA DE ANTECIPAÇÃO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44"/>
                <w:szCs w:val="44"/>
              </w:rPr>
              <w:t xml:space="preserve">DE RECEBIVEIS</w:t>
            </w:r>
          </w:p>
          <w:p>
            <w:pPr>
              <w:spacing w:before="10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E7D9B"/>
                <w:sz w:val="28"/>
                <w:szCs w:val="28"/>
              </w:rPr>
              <w:t xml:space="preserve">Fluxos Operacionais Detalhados</w:t>
            </w:r>
          </w:p>
        </w:tc>
      </w:tr>
    </w:tbl>
    <w:p>
      <w:pPr>
        <w:spacing w:before="600" w:after="0"/>
      </w:pPr>
    </w:p>
    <w:p>
      <w:pPr>
        <w:spacing w:before="0" w:after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Documento Confidencial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Fevereiro 2026</w:t>
      </w:r>
    </w:p>
    <w:p>
      <w:pPr>
        <w:spacing w:before="20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3DA5D9" w:sz="2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200" w:after="0"/>
      </w:pPr>
    </w:p>
    <w:p>
      <w:pPr>
        <w:spacing w:before="0" w:after="0"/>
      </w:pPr>
      <w:r>
        <w:rPr>
          <w:rFonts w:ascii="Arial" w:cs="Arial" w:eastAsia="Arial" w:hAnsi="Arial"/>
          <w:b/>
          <w:bCs/>
          <w:color w:val="3DA5D9"/>
          <w:sz w:val="20"/>
          <w:szCs w:val="20"/>
        </w:rPr>
        <w:t xml:space="preserve">Médicos  |  Fornecedores  |  Hospitais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Índice</w:t>
      </w:r>
    </w:p>
    <w:p>
      <w:pPr>
        <w:spacing w:before="200" w:after="0"/>
      </w:pPr>
    </w:p>
    <w:p>
      <w:pPr>
        <w:spacing w:before="80" w:after="80"/>
        <w:ind w:left="0"/>
      </w:pPr>
      <w:r>
        <w:rPr>
          <w:rFonts w:ascii="Arial" w:cs="Arial" w:eastAsia="Arial" w:hAnsi="Arial"/>
          <w:b/>
          <w:bCs/>
          <w:color w:val="2E7D9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Visão Geral da Plataforma</w:t>
      </w:r>
    </w:p>
    <w:p>
      <w:pPr>
        <w:spacing w:before="80" w:after="80"/>
        <w:ind w:left="0"/>
      </w:pPr>
      <w:r>
        <w:rPr>
          <w:rFonts w:ascii="Arial" w:cs="Arial" w:eastAsia="Arial" w:hAnsi="Arial"/>
          <w:b/>
          <w:bCs/>
          <w:color w:val="2E7D9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Fluxo de Antecipação para Médicos</w:t>
      </w:r>
    </w:p>
    <w:p>
      <w:pPr>
        <w:spacing w:before="80" w:after="80"/>
        <w:ind w:left="480"/>
      </w:pPr>
      <w:r>
        <w:rPr>
          <w:rFonts w:ascii="Arial" w:cs="Arial" w:eastAsia="Arial" w:hAnsi="Arial"/>
          <w:b w:val="false"/>
          <w:bCs w:val="false"/>
          <w:color w:val="2E7D9B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Etapas do Processo</w:t>
      </w:r>
    </w:p>
    <w:p>
      <w:pPr>
        <w:spacing w:before="80" w:after="80"/>
        <w:ind w:left="480"/>
      </w:pPr>
      <w:r>
        <w:rPr>
          <w:rFonts w:ascii="Arial" w:cs="Arial" w:eastAsia="Arial" w:hAnsi="Arial"/>
          <w:b w:val="false"/>
          <w:bCs w:val="false"/>
          <w:color w:val="2E7D9B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Fluxo via CPF (Pessoa Física)</w:t>
      </w:r>
    </w:p>
    <w:p>
      <w:pPr>
        <w:spacing w:before="80" w:after="80"/>
        <w:ind w:left="480"/>
      </w:pPr>
      <w:r>
        <w:rPr>
          <w:rFonts w:ascii="Arial" w:cs="Arial" w:eastAsia="Arial" w:hAnsi="Arial"/>
          <w:b w:val="false"/>
          <w:bCs w:val="false"/>
          <w:color w:val="2E7D9B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Fluxo via CNPJ (Pessoa Jurídica)</w:t>
      </w:r>
    </w:p>
    <w:p>
      <w:pPr>
        <w:spacing w:before="80" w:after="80"/>
        <w:ind w:left="480"/>
      </w:pPr>
      <w:r>
        <w:rPr>
          <w:rFonts w:ascii="Arial" w:cs="Arial" w:eastAsia="Arial" w:hAnsi="Arial"/>
          <w:b w:val="false"/>
          <w:bCs w:val="false"/>
          <w:color w:val="2E7D9B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Liquidação e Conciliação</w:t>
      </w:r>
    </w:p>
    <w:p>
      <w:pPr>
        <w:spacing w:before="80" w:after="80"/>
        <w:ind w:left="0"/>
      </w:pPr>
      <w:r>
        <w:rPr>
          <w:rFonts w:ascii="Arial" w:cs="Arial" w:eastAsia="Arial" w:hAnsi="Arial"/>
          <w:b/>
          <w:bCs/>
          <w:color w:val="2E7D9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Fluxo de Antecipação para Fornecedores</w:t>
      </w:r>
    </w:p>
    <w:p>
      <w:pPr>
        <w:spacing w:before="80" w:after="80"/>
        <w:ind w:left="480"/>
      </w:pPr>
      <w:r>
        <w:rPr>
          <w:rFonts w:ascii="Arial" w:cs="Arial" w:eastAsia="Arial" w:hAnsi="Arial"/>
          <w:b w:val="false"/>
          <w:bCs w:val="false"/>
          <w:color w:val="2E7D9B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Etapas do Processo</w:t>
      </w:r>
    </w:p>
    <w:p>
      <w:pPr>
        <w:spacing w:before="80" w:after="80"/>
        <w:ind w:left="480"/>
      </w:pPr>
      <w:r>
        <w:rPr>
          <w:rFonts w:ascii="Arial" w:cs="Arial" w:eastAsia="Arial" w:hAnsi="Arial"/>
          <w:b w:val="false"/>
          <w:bCs w:val="false"/>
          <w:color w:val="2E7D9B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Integrações Necessárias</w:t>
      </w:r>
    </w:p>
    <w:p>
      <w:pPr>
        <w:spacing w:before="80" w:after="80"/>
        <w:ind w:left="0"/>
      </w:pPr>
      <w:r>
        <w:rPr>
          <w:rFonts w:ascii="Arial" w:cs="Arial" w:eastAsia="Arial" w:hAnsi="Arial"/>
          <w:b/>
          <w:bCs/>
          <w:color w:val="2E7D9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Resumo Comparativo</w:t>
      </w:r>
    </w:p>
    <w:p>
      <w:pPr>
        <w:spacing w:before="80" w:after="80"/>
        <w:ind w:left="0"/>
      </w:pPr>
      <w:r>
        <w:rPr>
          <w:rFonts w:ascii="Arial" w:cs="Arial" w:eastAsia="Arial" w:hAnsi="Arial"/>
          <w:b/>
          <w:bCs/>
          <w:color w:val="2E7D9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Segurança e Compliance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da Plataforma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plataforma de antecipação de recebíveis permite que médicos e fornecedores de hospitais recebam antecipadamente os valores referentes a plantões realizados ou produtos entregues, mediante a cessão de seus recebíveis a um FIDC (Fundo de Investimento em Direitos Creditórios).</w:t>
      </w:r>
    </w:p>
    <w:p>
      <w:pPr>
        <w:spacing w:before="6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garante rastreabilidade completa desde o agendamento do plantão ou registro do fornecimento até a liquidação financeira, operando com contas escrow, trava de domicílio bancário e segregação total dos fluxos financeiros para assegurar conformidade regulatória e proteção contra fraudes.</w:t>
      </w:r>
    </w:p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Participantes do Ecossistema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Fluxo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Cadastra médicos e fornecedores, aprova plantões, confirma recebíveis performados e efetua o pagamento no vencimento.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Médico (CPF)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Realiza plantões, solicita antecipação diretamente via aplicativo. Recebe crédito em conta vinculada ao seu CPF.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Médico (CNPJ)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 via pessoa jurídica. Requer autorização do administrador do CNPJ caso haja mais de um sócio.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Fornecedor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 produtos/serviços ao hospital e solicita antecipação via portal.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FIDC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 que administra os recursos para antecipação. Transfere o valor antecipado e recebe o principal com juros na liquidação.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 todo o fluxo: contas escrow, travas de domicílio, splits de pagamento, conciliação e compliance.</w:t>
            </w:r>
          </w:p>
        </w:tc>
      </w:tr>
    </w:tbl>
    <w:p>
      <w:pPr>
        <w:spacing w:before="3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Princípios Operacionais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Segregação de contas: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 CPF e CNPJ envolvido possui contas escrow dedicadas, garantindo que os fluxos financeiros sejam rastreados individualmente.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Prevenção à lavagem de dinheiro: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Pagamentos são realizados exclusivamente na conta vinculada ao CPF/CNPJ cadastrado. Não há pagamento a terceiros.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Confidencialidade: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Médicos não têm visibilidade sobre as antecipações de outros profissionais vinculados ao mesmo CNPJ.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Trava de domicílio bancário: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Garante que os recebíveis sejam direcionados para a conta escrow sob controle da plataforma.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Fluxo de Antecipação para Médicos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fluxo de antecipação para médicos abrange desde o cadastro inicial pelo hospital até a liquidação final do recebível, contemplando os cenários de operação por CPF (pessoa física) e CNPJ (pessoa jurídica).</w:t>
      </w:r>
    </w:p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2.1 Etapas do Processo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Cadastro do Médico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Hospital cadastra na plataforma os médicos habilitados a antecipar recebíveis, informando dados pessoais, conta bancária e vínculo com CPF ou CNPJ.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Agendamento do Plantão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Médico agenda o plantão no sistema do hospital, indicando data, horário e unidade de atendimento.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Aprovação do Agendamento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supervisão hospitalar ou o sistema automatizado aprova o agendamento, validando disponibilidade e condições contratuais.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Check-in no Hospital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Médico realiza check-in presencial ao iniciar o plantão, confirmando presença física na unidade. Gera registro com geolocalização e horário.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Check-out ao Término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Médico realiza check-out ao finalizar o plantão, confirmando o período efetivamente trabalhado.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Validação pela Supervisão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supervisão hospitalar confirma que o plantão foi efetivamente realizado e é válido para pagamento. Neste momento, o recebível é considerado performado.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Recebível Disponível para Antecipação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recebível performado fica visível no aplicativo ou portal do médico, com valor, taxa de desconto e prazo de vencimento. O médico pode optar por antecipar ou aguardar o pagamento regular.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single" w:color="F0A500" w:sz="6"/>
              <w:bottom w:val="single" w:color="F0A500" w:sz="2"/>
              <w:right w:val="single" w:color="F0A500" w:sz="2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F0A500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Ponto de Decisão: Tipo de Cadastro do Médico</w:t>
            </w:r>
          </w:p>
          <w:p>
            <w:pPr>
              <w:spacing w:before="40" w:after="40" w:line="300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Caminho A: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CPF (Pessoa Física) — Antecipação direta ao médico.</w:t>
            </w:r>
          </w:p>
          <w:p>
            <w:pPr>
              <w:spacing w:before="40" w:after="0" w:line="300"/>
            </w:pPr>
            <w:r>
              <w:rPr>
                <w:rFonts w:ascii="Arial" w:cs="Arial" w:eastAsia="Arial" w:hAnsi="Arial"/>
                <w:b/>
                <w:bCs/>
                <w:color w:val="2E7D9B"/>
                <w:sz w:val="20"/>
                <w:szCs w:val="20"/>
              </w:rPr>
              <w:t xml:space="preserve">Caminho B: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CNPJ (Pessoa Jurídica) — Requer validação adicional conforme composição societária.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2.2 Fluxo via CPF (Pessoa Física)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médico opera diretamente como pessoa física, o fluxo de antecipação é simplificado: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Solicitação de Antecipação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Médico seleciona o recebível no app e solicita antecipação. O sistema valida que a conta de crédito está vinculada ao CPF cadastrado. Não são permitidos pagamentos a CPFs de terceiros.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Autorização de Trava de Domicílio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Ao solicitar, o médico autoriza automaticamente a trava de domicílio bancário em conta escrow sob controle da plataforma. Contas escrow são abertas para cada CPF envolvido.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Transferência Antecipada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FIDC transfere os recursos da conta administrada para a conta de liquidação da plataforma. Em seguida, a plataforma credita o valor antecipado (descontadas taxas) diretamente na conta do CPF do médico.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Liquidação no Vencimento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Quando o hospital efetua o pagamento do recebível no vencimento original, o valor é direcionado para a conta escrow. A plataforma abate principal e juros, envia o montante para a conta de recebimentos e transfere qualquer excedente para a conta cadastrada pelo médico.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Repasse ao FIDC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sistema transfere automaticamente o valor da conta de recebimentos para a conta administrada pelo FIDC, fechando o ciclo financeiro.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Fluxo Financeiro Resumido (CPF)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FIDC → Conta de Liquidação (Plataforma) → CPF do Médico  |  Hospital → Conta Escrow → Abatimento (principal + juros) → Conta de Recebimentos → FIDC + Excedente → Médico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2.3 Fluxo via CNPJ (Pessoa Jurídica)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médico opera via CNPJ, existem regras adicionais de governança e distribuição de valores: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2"/>
              <w:left w:val="single" w:color="F0A500" w:sz="6"/>
              <w:bottom w:val="single" w:color="F0A500" w:sz="2"/>
              <w:right w:val="single" w:color="F0A500" w:sz="2"/>
            </w:tcBorders>
            <w:shd w:fill="FFFB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color w:val="F0A500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Composição Societária do CNPJ</w:t>
            </w:r>
          </w:p>
          <w:p>
            <w:pPr>
              <w:spacing w:before="40" w:after="40" w:line="300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Caminho A: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CNPJ Unipessoal — O médico é o único sócio. O próprio CNPJ autoriza a antecipação diretamente ao CPF do médico.</w:t>
            </w:r>
          </w:p>
          <w:p>
            <w:pPr>
              <w:spacing w:before="40" w:after="0" w:line="300"/>
            </w:pPr>
            <w:r>
              <w:rPr>
                <w:rFonts w:ascii="Arial" w:cs="Arial" w:eastAsia="Arial" w:hAnsi="Arial"/>
                <w:b/>
                <w:bCs/>
                <w:color w:val="2E7D9B"/>
                <w:sz w:val="20"/>
                <w:szCs w:val="20"/>
              </w:rPr>
              <w:t xml:space="preserve">Caminho B: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CNPJ com múltiplos sócios — O administrador do CNPJ precisa autorizar antecipações. Cada médico vinculado tem seu fluxo individual.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DA5D9"/>
          <w:sz w:val="24"/>
          <w:szCs w:val="24"/>
        </w:rPr>
        <w:t xml:space="preserve">CNPJ Unipessoal</w:t>
      </w:r>
    </w:p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CNPJ possui um único sócio, a antecipação segue um fluxo simplificado: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Autorização e Trava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CNPJ (através do único sócio) autoriza a antecipação diretamente ao CPF. A trava de domicílio bancário é aplicada na conta do CNPJ.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Recebimento pelo Hospital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hospital paga o recebível na conta escrow do CNPJ controlada pela plataforma.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Split de Pagamento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plataforma realiza o split: 30% (ajustável) é direcionado à conta do CNPJ para cobertura de impostos e taxas de administração. Os 70% restantes seguem o fluxo padrão de antecipação (abatimento + excedente para o médico).</w:t>
            </w:r>
          </w:p>
        </w:tc>
      </w:tr>
    </w:tbl>
    <w:p>
      <w:pPr>
        <w:spacing w:before="30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DA5D9"/>
          <w:sz w:val="24"/>
          <w:szCs w:val="24"/>
        </w:rPr>
        <w:t xml:space="preserve">CNPJ com Múltiplos Médicos</w:t>
      </w:r>
    </w:p>
    <w:p>
      <w:pPr>
        <w:spacing w:before="8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CNPJ tem múltiplos sócios ou médicos vinculados, a distribuição é individualizada: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Autorização pelo Administrador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administrador do CNPJ precisa autorizar as antecipações. A trava de domicílio bancário é aplicada na conta de todo o CNPJ.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Recebimento e Split Inicial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hospital paga na conta escrow do CNPJ. A plataforma separa 30% (ajustável) para impostos e administração do CNPJ.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Distribuição Individual por Médico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Os 70% restantes são distribuídos conforme relatório de recebíveis por médico. Cada médico é avaliado individualmente.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Tratamento Individual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Médico que não antecipou: crédito integral é depositado diretamente na conta cadastrada. Médico que antecipou: aplica-se o desconto de principal e juros, com excedente creditado ao médico.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6"/>
              <w:bottom w:val="single" w:color="2E8B57" w:sz="1"/>
              <w:right w:val="single" w:color="2E8B57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Confidencialidade Garantida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Nenhum médico tem visibilidade sobre se outros médicos vinculados ao mesmo CNPJ realizaram antecipações. A administração do CNPJ também não possui essa visibilidade. Cada fluxo é tratado de forma estritamente individual e confidencial.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2.4 Liquidação e Conciliação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processo de liquidação segue etapas rigorosas para garantir a integridade financeira: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Pagamento do Hospital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Hospital efetua pagamento no vencimento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Escrow (CPF ou CNPJ)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Abatimento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desconta principal + juros da antecipação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de Recebimentos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Split CNPJ (se aplicável)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Separação de 30% para impostos e administração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do CNPJ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Excedente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residual após descontos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do Médico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Repasse FIDC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Transferência automática ao fundo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Administrada FIDC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Fluxo de Antecipação para Fornecedores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fluxo de fornecedores segue uma lógica similar ao fluxo de médicos via CPF, porém com o crédito sendo direcionado ao CNPJ do fornecedor. A validação do recebível como performado pode ser vinculada a eventos do ERP do hospital, como a confirmação de entrega do produto.</w:t>
      </w:r>
    </w:p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3.1 Etapas do Processo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Cadastro do Fornecedor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Hospital cadastra na plataforma os fornecedores habilitados a antecipar recebíveis, com dados cadastrais e conta bancária vinculada ao CNPJ.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Marcação de Recebíveis Performados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hospital indica quais pagamentos são passíveis de antecipação. Esta marcação pode ser automática, vinculada a eventos do sistema como a confirmação de entrega do produto ou conclusão de serviço.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Assinatura e Trava de Domicílio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Fornecedor acessa o portal, assina os documentos necessários e aprova a trava de domicílio bancário, direcionando os recebíveis para a conta escrow da plataforma.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Solicitação de Antecipação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Fornecedor solicita a antecipação no portal. O FIDC transfere os recursos e a plataforma credita o valor antecipado no CNPJ do fornecedor.</w:t>
            </w:r>
          </w:p>
        </w:tc>
      </w:tr>
    </w:tbl>
    <w:p>
      <w:pPr>
        <w:spacing w:before="40" w:after="40"/>
        <w:ind w:left="180"/>
        <w:jc w:val="left"/>
      </w:pPr>
      <w:r>
        <w:rPr>
          <w:rFonts w:ascii="Arial" w:cs="Arial" w:eastAsia="Arial" w:hAnsi="Arial"/>
          <w:color w:val="3DA5D9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E7D9B" w:val="clear"/>
            <w:tcMar>
              <w:top w:type="dxa" w:w="60"/>
              <w:left w:type="dxa" w:w="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F4F8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Liquidação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vencimento, o hospital paga na conta escrow. A plataforma realiza o abatimento de principal e juros e repassa o excedente ao fornecedor e os recursos ao FIDC.</w:t>
            </w:r>
          </w:p>
        </w:tc>
      </w:tr>
    </w:tbl>
    <w:p>
      <w:pPr>
        <w:spacing w:before="3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D9B"/>
          <w:sz w:val="26"/>
          <w:szCs w:val="26"/>
        </w:rPr>
        <w:t xml:space="preserve">3.2 Integrações Necessárias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fluxo de fornecedores demanda as seguintes integrações técnicas com o hospital: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ERP Hospitalar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automática de notas fiscais, ordens de compra e confirmações de entrega para validação de recebíveis performados.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Média-Alta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do Fornecedor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web para que fornecedores visualizem recebíveis, assinem documentos digitalmente e solicitem antecipações.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Pagamentos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Conexão com o sistema de contas a pagar do hospital para rastrear vencimentos e pagamentos.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Resumo Comparativo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tabela abaixo resume as principais diferenças entre os fluxos de antecipação: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Médico (CPF)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Médico (CNPJ)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Cadastro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Pelo hospital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Pelo hospital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Pelo hospital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Validação do recebível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Check-in/out + supervisão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Check-in/out + supervisão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Entrega/ERP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de crédito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CPF do médico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CPF ou CNPJ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CNPJ do fornecedor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 impostos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aplicável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 (ajustável)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aplicável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Automática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Administrador CNPJ*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Trava domicílio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CPF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CNPJ inteiro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 CNPJ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entre médicos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Portal/App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médico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médico + portal CNPJ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8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fornecedor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ERP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requerida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requerida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Requerida</w:t>
            </w:r>
          </w:p>
        </w:tc>
      </w:tr>
    </w:tbl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* Para CNPJ unipessoal, a autorização é direta pelo único sócio.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Segurança e Compliance</w:t>
      </w:r>
    </w:p>
    <w:p>
      <w:pPr>
        <w:spacing w:before="100" w:after="0"/>
      </w:pP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plataforma foi desenhada com múltiplas camadas de segurança e conformidade regulatória: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Prevenção à Lavagem de Dinheiro (PLD/FT)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Pagamentos exclusivamente para contas vinculadas ao CPF/CNPJ cadastrado. Nenhum pagamento a terceiros é permitido, eliminando riscos de movimentações ilícitas.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Contas Escrow Segregadas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CPF e CNPJ possui conta escrow dedicada sob controle da plataforma, garantindo total rastreabilidade e segregação patrimonial.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Trava de Domicílio Bancário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Mecanismo que assegura que os recebíveis sejam obrigatoriamente direcionados para as contas escrow, impedindo desvios. Em CNPJs com múltiplos médicos, a trava abrange toda a conta do CNPJ.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Confidencialidade das Operações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Informações sobre antecipações individuais são estritamente confidenciais. Nem outros médicos nem a administração do CNPJ têm acesso a essas informações.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Validação de Recebíveis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Recebíveis só se tornam passíveis de antecipação após validação completa: check-in/check-out do médico e confirmação da supervisão hospitalar.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A5D9" w:sz="1"/>
              <w:left w:val="single" w:color="3DA5D9" w:sz="6"/>
              <w:bottom w:val="single" w:color="3DA5D9" w:sz="1"/>
              <w:right w:val="single" w:color="3DA5D9" w:sz="1"/>
            </w:tcBorders>
            <w:shd w:fill="F4F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Automação e Auditoria</w:t>
            </w:r>
          </w:p>
          <w:p>
            <w:pPr>
              <w:spacing w:before="0" w:after="0" w:line="300"/>
              <w:jc w:val="both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Todos os fluxos financeiros são automatizados e geram trilha de auditoria completa, desde a solicitação até a liquidação final com o FIDC.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3DA5D9" w:sz="2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gerado em fevereiro de 2026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Confidencial — Distribuição restrita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Plataforma de Antecipação de Recebíveis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Plataforma de Antecipação de Recebíveis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9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A5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2026-02-08T21:00:26.812Z</dcterms:created>
  <dcterms:modified xsi:type="dcterms:W3CDTF">2026-02-08T21:00:26.813Z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