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20FE39F3" w14:textId="66AA4881" w:rsidR="009F7FCE" w:rsidRPr="00052AF1" w:rsidRDefault="00803B9E" w:rsidP="00291D2F">
      <w:pPr>
        <w:pStyle w:val="papertitle"/>
        <w:rPr>
          <w:lang w:val="es-CO"/>
        </w:rPr>
      </w:pPr>
      <w:r>
        <w:rPr>
          <w:lang w:val="es-CO"/>
        </w:rPr>
        <w:t>Contribuciones y O</w:t>
      </w:r>
      <w:r w:rsidR="00AD262E">
        <w:rPr>
          <w:lang w:val="es-CO"/>
        </w:rPr>
        <w:t>portunidades en la Evaluación de Factores de Riesgo Psicosocial Ocupacional (FRPO)</w:t>
      </w:r>
    </w:p>
    <w:p w14:paraId="5401E722" w14:textId="1084E090" w:rsidR="00291D2F" w:rsidRPr="00052AF1" w:rsidRDefault="00747AE8" w:rsidP="00291D2F">
      <w:pPr>
        <w:pStyle w:val="author"/>
        <w:rPr>
          <w:lang w:val="es-CO"/>
        </w:rPr>
      </w:pPr>
      <w:r w:rsidRPr="00052AF1">
        <w:rPr>
          <w:lang w:val="es-CO"/>
        </w:rPr>
        <w:t>Ronald Fernando Rodríguez Barbosa</w:t>
      </w:r>
      <w:r w:rsidR="009B2539" w:rsidRPr="00052AF1">
        <w:rPr>
          <w:vertAlign w:val="superscript"/>
          <w:lang w:val="es-CO"/>
        </w:rPr>
        <w:t>1</w:t>
      </w:r>
      <w:r w:rsidR="009B2539" w:rsidRPr="00052AF1">
        <w:rPr>
          <w:lang w:val="es-CO"/>
        </w:rPr>
        <w:t xml:space="preserve"> </w:t>
      </w:r>
    </w:p>
    <w:p w14:paraId="680CE49B" w14:textId="3F3E3D14" w:rsidR="00291D2F" w:rsidRPr="00747AE8" w:rsidRDefault="009B2539" w:rsidP="00291D2F">
      <w:pPr>
        <w:pStyle w:val="address"/>
        <w:rPr>
          <w:lang w:val="es-CO"/>
        </w:rPr>
      </w:pPr>
      <w:r w:rsidRPr="00747AE8">
        <w:rPr>
          <w:vertAlign w:val="superscript"/>
          <w:lang w:val="es-CO"/>
        </w:rPr>
        <w:t>1</w:t>
      </w:r>
      <w:r w:rsidRPr="00747AE8">
        <w:rPr>
          <w:lang w:val="es-CO"/>
        </w:rPr>
        <w:t xml:space="preserve"> </w:t>
      </w:r>
      <w:r w:rsidR="00747AE8" w:rsidRPr="00747AE8">
        <w:rPr>
          <w:lang w:val="es-CO"/>
        </w:rPr>
        <w:t>Pontificia Universidad Javeriana</w:t>
      </w:r>
      <w:r w:rsidRPr="00747AE8">
        <w:rPr>
          <w:lang w:val="es-CO"/>
        </w:rPr>
        <w:t xml:space="preserve">, </w:t>
      </w:r>
      <w:r w:rsidR="00487D69">
        <w:rPr>
          <w:lang w:val="es-CO"/>
        </w:rPr>
        <w:t>Bogotá CO 11231</w:t>
      </w:r>
      <w:r w:rsidRPr="00747AE8">
        <w:rPr>
          <w:lang w:val="es-CO"/>
        </w:rPr>
        <w:t xml:space="preserve">, </w:t>
      </w:r>
      <w:r w:rsidR="00487D69">
        <w:rPr>
          <w:lang w:val="es-CO"/>
        </w:rPr>
        <w:t>Colombia</w:t>
      </w:r>
    </w:p>
    <w:p w14:paraId="29055886" w14:textId="36B4EA72" w:rsidR="00291D2F" w:rsidRPr="00805DC3" w:rsidRDefault="009B2539" w:rsidP="00291D2F">
      <w:pPr>
        <w:pStyle w:val="abstract"/>
        <w:spacing w:after="0"/>
        <w:ind w:firstLine="0"/>
        <w:rPr>
          <w:lang w:val="es-CO"/>
        </w:rPr>
      </w:pPr>
      <w:r w:rsidRPr="00D421F0">
        <w:rPr>
          <w:b/>
          <w:bCs/>
          <w:lang w:val="es-CO"/>
        </w:rPr>
        <w:t xml:space="preserve">Abstract. </w:t>
      </w:r>
      <w:r w:rsidR="00805DC3" w:rsidRPr="00805DC3">
        <w:rPr>
          <w:lang w:val="es-CO"/>
        </w:rPr>
        <w:t>Las</w:t>
      </w:r>
      <w:r w:rsidR="00EE71A5">
        <w:rPr>
          <w:lang w:val="es-CO"/>
        </w:rPr>
        <w:t xml:space="preserve"> </w:t>
      </w:r>
      <w:r w:rsidR="009D6EF2">
        <w:rPr>
          <w:lang w:val="es-CO"/>
        </w:rPr>
        <w:t xml:space="preserve">actividades </w:t>
      </w:r>
      <w:r w:rsidR="00EE71A5">
        <w:rPr>
          <w:lang w:val="es-CO"/>
        </w:rPr>
        <w:t xml:space="preserve">y prácticas para cuidar y preservar la salud de los trabajadores durante la ejecución de sus labores han evolucionado a lo largo de los años, confluyendo en una amplia cantidad de disciplinas que buscan soportar aspectos específicos dentro de la salud ocupacional. En la medida que existan condiciones laborales que puedan poner en riesgo la integridad física y mental de las personas, así mismo se hace necesaria la investigación y creación de herramientas prácticas que disminuyan significativamente dichos riesgos. Tras los últimos avances en tecnología y en especial la inteligencia artificial, </w:t>
      </w:r>
      <w:r w:rsidR="006C0A66">
        <w:rPr>
          <w:lang w:val="es-CO"/>
        </w:rPr>
        <w:t>se hace cada vez más evidentes las oportunidades de mejora para el cuidado y bienestar de l</w:t>
      </w:r>
      <w:r w:rsidR="00537957">
        <w:rPr>
          <w:lang w:val="es-CO"/>
        </w:rPr>
        <w:t>as personas</w:t>
      </w:r>
      <w:r w:rsidR="00AD262E">
        <w:rPr>
          <w:lang w:val="es-CO"/>
        </w:rPr>
        <w:t>.</w:t>
      </w:r>
      <w:r w:rsidR="006C0A66">
        <w:rPr>
          <w:lang w:val="es-CO"/>
        </w:rPr>
        <w:t xml:space="preserve"> Por ello, el presente trabajo busca determinar las oportunidades más representativas para el uso de la inteligencia artificial, pasando por los retos tecnológicos que tienen los métodos actuales para la evaluación de factores de riesgo psicosocial.</w:t>
      </w:r>
    </w:p>
    <w:p w14:paraId="3DA555CE" w14:textId="3135D906" w:rsidR="00AD262E" w:rsidRPr="00AD262E" w:rsidRDefault="009B2539" w:rsidP="00AD262E">
      <w:pPr>
        <w:pStyle w:val="keywords"/>
      </w:pPr>
      <w:r w:rsidRPr="00EE426C">
        <w:rPr>
          <w:b/>
          <w:bCs/>
        </w:rPr>
        <w:t>Keywords:</w:t>
      </w:r>
      <w:r w:rsidRPr="00EE426C">
        <w:t xml:space="preserve"> </w:t>
      </w:r>
      <w:r w:rsidR="002110D5">
        <w:t>Occupational Health</w:t>
      </w:r>
      <w:r w:rsidRPr="00EE426C">
        <w:t>,</w:t>
      </w:r>
      <w:r w:rsidR="009D6EF2">
        <w:t xml:space="preserve"> Psychosocial Risk Factors,</w:t>
      </w:r>
      <w:r w:rsidRPr="00EE426C">
        <w:t xml:space="preserve"> </w:t>
      </w:r>
      <w:r w:rsidR="002110D5">
        <w:t>Artificial Intelligence</w:t>
      </w:r>
      <w:r>
        <w:t xml:space="preserve">, </w:t>
      </w:r>
      <w:r w:rsidR="009D6EF2">
        <w:t>Smart Surveillance</w:t>
      </w:r>
      <w:r>
        <w:t>.</w:t>
      </w:r>
      <w:r w:rsidR="00AD262E">
        <w:t xml:space="preserve"> </w:t>
      </w:r>
    </w:p>
    <w:p w14:paraId="26A6E43C" w14:textId="4C9BB1CA" w:rsidR="00291D2F" w:rsidRDefault="00487D69" w:rsidP="00291D2F">
      <w:pPr>
        <w:pStyle w:val="heading1"/>
      </w:pPr>
      <w:r w:rsidRPr="0069776B">
        <w:rPr>
          <w:lang w:val="es-CO"/>
        </w:rPr>
        <w:t>Introducción</w:t>
      </w:r>
    </w:p>
    <w:p w14:paraId="2CC7BE8A" w14:textId="2A3B7638" w:rsidR="00AA1FAE" w:rsidRDefault="00805DC3" w:rsidP="00AA1FAE">
      <w:pPr>
        <w:pStyle w:val="p1a"/>
        <w:rPr>
          <w:lang w:val="es-CO"/>
        </w:rPr>
      </w:pPr>
      <w:r w:rsidRPr="0069776B">
        <w:rPr>
          <w:lang w:val="es-CO"/>
        </w:rPr>
        <w:t xml:space="preserve">El trabajo ha sido una de parte inherentes a nuestra existencia. Ante la necesidad de alimentarse y sobrevivir, realizamos diversas actividades con el fin de obtener una remuneración. Sin embargo, existen aspectos latentes durante la ejecución de una labor, y son los riesgos de enfermedad o incluso la muerte de los trabajadores. </w:t>
      </w:r>
      <w:r w:rsidR="002110D5" w:rsidRPr="0069776B">
        <w:rPr>
          <w:lang w:val="es-CO"/>
        </w:rPr>
        <w:t>La Organización</w:t>
      </w:r>
      <w:r w:rsidRPr="0069776B">
        <w:rPr>
          <w:lang w:val="es-CO"/>
        </w:rPr>
        <w:t xml:space="preserve"> Internacional del Trabajo (OIT)</w:t>
      </w:r>
      <w:r w:rsidR="002110D5" w:rsidRPr="0069776B">
        <w:rPr>
          <w:lang w:val="es-CO"/>
        </w:rPr>
        <w:t xml:space="preserve"> </w:t>
      </w:r>
      <w:r w:rsidR="002110D5" w:rsidRPr="0069776B">
        <w:rPr>
          <w:lang w:val="es-CO"/>
        </w:rPr>
        <w:fldChar w:fldCharType="begin"/>
      </w:r>
      <w:r w:rsidR="002110D5" w:rsidRPr="0069776B">
        <w:rPr>
          <w:lang w:val="es-CO"/>
        </w:rPr>
        <w:instrText>ADDIN RW.CITE{{doc:5cf54633e4b06bba938d48d4 OIT 2019}}</w:instrText>
      </w:r>
      <w:r w:rsidR="002110D5" w:rsidRPr="0069776B">
        <w:rPr>
          <w:lang w:val="es-CO"/>
        </w:rPr>
        <w:fldChar w:fldCharType="separate"/>
      </w:r>
      <w:r w:rsidR="00CC5EC7" w:rsidRPr="00CC5EC7">
        <w:rPr>
          <w:lang w:val="es-CO"/>
        </w:rPr>
        <w:t>[1]</w:t>
      </w:r>
      <w:r w:rsidR="002110D5" w:rsidRPr="0069776B">
        <w:rPr>
          <w:lang w:val="es-CO"/>
        </w:rPr>
        <w:fldChar w:fldCharType="end"/>
      </w:r>
      <w:r w:rsidR="00DE55C5" w:rsidRPr="0069776B">
        <w:rPr>
          <w:lang w:val="es-CO"/>
        </w:rPr>
        <w:t xml:space="preserve"> estima </w:t>
      </w:r>
      <w:r w:rsidRPr="0069776B">
        <w:rPr>
          <w:lang w:val="es-CO"/>
        </w:rPr>
        <w:t>un total de 2,34 millones de accidentes de trabajo mortales cada año,</w:t>
      </w:r>
      <w:r w:rsidR="00DE55C5" w:rsidRPr="0069776B">
        <w:rPr>
          <w:lang w:val="es-CO"/>
        </w:rPr>
        <w:t xml:space="preserve"> de los </w:t>
      </w:r>
      <w:r w:rsidR="002110D5" w:rsidRPr="0069776B">
        <w:rPr>
          <w:lang w:val="es-CO"/>
        </w:rPr>
        <w:t>cuales aproximadamente</w:t>
      </w:r>
      <w:r w:rsidRPr="0069776B">
        <w:rPr>
          <w:lang w:val="es-CO"/>
        </w:rPr>
        <w:t xml:space="preserve"> 321.000</w:t>
      </w:r>
      <w:r w:rsidR="002110D5" w:rsidRPr="0069776B">
        <w:rPr>
          <w:lang w:val="es-CO"/>
        </w:rPr>
        <w:t>,</w:t>
      </w:r>
      <w:r w:rsidRPr="0069776B">
        <w:rPr>
          <w:lang w:val="es-CO"/>
        </w:rPr>
        <w:t xml:space="preserve"> se deben a accidentes. </w:t>
      </w:r>
      <w:r w:rsidR="00275C77" w:rsidRPr="0069776B">
        <w:rPr>
          <w:lang w:val="es-CO"/>
        </w:rPr>
        <w:t>A partir de las implicaciones de riesgo a las que pueden estar expuestos los trabajadores</w:t>
      </w:r>
      <w:r w:rsidR="0069776B">
        <w:rPr>
          <w:lang w:val="es-CO"/>
        </w:rPr>
        <w:t>,</w:t>
      </w:r>
      <w:r w:rsidR="00275C77" w:rsidRPr="0069776B">
        <w:rPr>
          <w:lang w:val="es-CO"/>
        </w:rPr>
        <w:t xml:space="preserve"> </w:t>
      </w:r>
      <w:r w:rsidR="00205A23" w:rsidRPr="0069776B">
        <w:rPr>
          <w:lang w:val="es-CO"/>
        </w:rPr>
        <w:t xml:space="preserve">surge con el tiempo la confluencia de un </w:t>
      </w:r>
      <w:r w:rsidR="00B26B7D" w:rsidRPr="0069776B">
        <w:rPr>
          <w:lang w:val="es-CO"/>
        </w:rPr>
        <w:t>conjunto multidisciplinari</w:t>
      </w:r>
      <w:r w:rsidR="00205A23" w:rsidRPr="0069776B">
        <w:rPr>
          <w:lang w:val="es-CO"/>
        </w:rPr>
        <w:t>o</w:t>
      </w:r>
      <w:r w:rsidR="000C6FF6">
        <w:rPr>
          <w:lang w:val="es-CO"/>
        </w:rPr>
        <w:t xml:space="preserve"> de actividades</w:t>
      </w:r>
      <w:r w:rsidR="00B26B7D" w:rsidRPr="0069776B">
        <w:rPr>
          <w:lang w:val="es-CO"/>
        </w:rPr>
        <w:t xml:space="preserve">, cuyo objetivo es </w:t>
      </w:r>
      <w:r w:rsidR="00205A23" w:rsidRPr="0069776B">
        <w:rPr>
          <w:lang w:val="es-CO"/>
        </w:rPr>
        <w:t xml:space="preserve">mantener el </w:t>
      </w:r>
      <w:r w:rsidR="00B26B7D" w:rsidRPr="0069776B">
        <w:rPr>
          <w:lang w:val="es-CO"/>
        </w:rPr>
        <w:t>bienestar físico, mental y social de los trabajadores de todas las profesiones</w:t>
      </w:r>
      <w:r w:rsidR="000C6FF6">
        <w:rPr>
          <w:lang w:val="es-CO"/>
        </w:rPr>
        <w:t>,</w:t>
      </w:r>
      <w:r w:rsidR="00B26B7D" w:rsidRPr="0069776B">
        <w:rPr>
          <w:lang w:val="es-CO"/>
        </w:rPr>
        <w:t xml:space="preserve"> promoviendo la adaptación del trabajo al hombre y del hombre a su trabajo</w:t>
      </w:r>
      <w:r w:rsidR="00205A23" w:rsidRPr="0069776B">
        <w:rPr>
          <w:lang w:val="es-CO"/>
        </w:rPr>
        <w:t>. A este conjunto de disciplinas se le conoce como Salud Ocupacional</w:t>
      </w:r>
      <w:r w:rsidR="0069776B">
        <w:rPr>
          <w:lang w:val="es-CO"/>
        </w:rPr>
        <w:t xml:space="preserve"> </w:t>
      </w:r>
      <w:r w:rsidR="005F0C9B">
        <w:rPr>
          <w:lang w:val="es-CO"/>
        </w:rPr>
        <w:fldChar w:fldCharType="begin"/>
      </w:r>
      <w:r w:rsidR="005F0C9B">
        <w:rPr>
          <w:lang w:val="es-CO"/>
        </w:rPr>
        <w:instrText>ADDIN RW.CITE{{doc:5cf55069e4b0cc7bb969e7c4 Tudón,José 2004}}</w:instrText>
      </w:r>
      <w:r w:rsidR="005F0C9B">
        <w:rPr>
          <w:lang w:val="es-CO"/>
        </w:rPr>
        <w:fldChar w:fldCharType="separate"/>
      </w:r>
      <w:r w:rsidR="00CC5EC7" w:rsidRPr="00CC5EC7">
        <w:rPr>
          <w:bCs/>
          <w:lang w:val="es-ES"/>
        </w:rPr>
        <w:t>[2]</w:t>
      </w:r>
      <w:r w:rsidR="005F0C9B">
        <w:rPr>
          <w:lang w:val="es-CO"/>
        </w:rPr>
        <w:fldChar w:fldCharType="end"/>
      </w:r>
      <w:r w:rsidR="00AA1FAE">
        <w:rPr>
          <w:lang w:val="es-CO"/>
        </w:rPr>
        <w:t xml:space="preserve">. </w:t>
      </w:r>
    </w:p>
    <w:p w14:paraId="521FBFA8" w14:textId="77777777" w:rsidR="00AA1FAE" w:rsidRDefault="00AA1FAE" w:rsidP="00AA1FAE">
      <w:pPr>
        <w:rPr>
          <w:lang w:val="es-CO"/>
        </w:rPr>
      </w:pPr>
    </w:p>
    <w:p w14:paraId="7C9928EB" w14:textId="3EBA161E" w:rsidR="005F0C9B" w:rsidRPr="00805DC3" w:rsidRDefault="005F0C9B" w:rsidP="00DC3AFD">
      <w:pPr>
        <w:rPr>
          <w:lang w:val="es-CO"/>
        </w:rPr>
      </w:pPr>
      <w:r>
        <w:rPr>
          <w:lang w:val="es-CO"/>
        </w:rPr>
        <w:t xml:space="preserve">La investigación y avances en </w:t>
      </w:r>
      <w:r w:rsidR="00AA1FAE">
        <w:rPr>
          <w:lang w:val="es-CO"/>
        </w:rPr>
        <w:t>las actividades</w:t>
      </w:r>
      <w:r>
        <w:rPr>
          <w:lang w:val="es-CO"/>
        </w:rPr>
        <w:t xml:space="preserve"> que involucran el bienestar de los trabajadores, han permitido no sólo identificar las</w:t>
      </w:r>
      <w:r w:rsidR="00AA1FAE">
        <w:rPr>
          <w:lang w:val="es-CO"/>
        </w:rPr>
        <w:t xml:space="preserve"> causas de accidentes de trabajo, sino también establecer mecanismos e instrumentos para la evaluación de los factores de </w:t>
      </w:r>
      <w:r w:rsidR="00AA1FAE">
        <w:rPr>
          <w:lang w:val="es-CO"/>
        </w:rPr>
        <w:lastRenderedPageBreak/>
        <w:t xml:space="preserve">riesgo y tomar medidas necesarias para la prevención de la materialización de dichos riesgos. Este último escenario, abre las puertas para </w:t>
      </w:r>
      <w:r w:rsidR="009D6EF2">
        <w:rPr>
          <w:lang w:val="es-CO"/>
        </w:rPr>
        <w:t>que,</w:t>
      </w:r>
      <w:r w:rsidR="00AA1FAE">
        <w:rPr>
          <w:lang w:val="es-CO"/>
        </w:rPr>
        <w:t xml:space="preserve"> a partir del uso de la tecnología y en especial la inteligencia artificial, se puedan obtener soluciones cada vez más confiables y que aporten de manera significativa</w:t>
      </w:r>
      <w:r w:rsidR="009D6EF2">
        <w:rPr>
          <w:lang w:val="es-CO"/>
        </w:rPr>
        <w:t>,</w:t>
      </w:r>
      <w:r w:rsidR="00AA1FAE">
        <w:rPr>
          <w:lang w:val="es-CO"/>
        </w:rPr>
        <w:t xml:space="preserve"> en la reducción de accidentes o enfermedades laborales</w:t>
      </w:r>
      <w:r w:rsidR="009D6EF2">
        <w:rPr>
          <w:lang w:val="es-CO"/>
        </w:rPr>
        <w:t>.</w:t>
      </w:r>
    </w:p>
    <w:p w14:paraId="6A84DD75" w14:textId="37013929" w:rsidR="007B0BAF" w:rsidRDefault="007B0BAF" w:rsidP="009E2FC9">
      <w:pPr>
        <w:pStyle w:val="heading2"/>
      </w:pPr>
      <w:r w:rsidRPr="000C6FF6">
        <w:rPr>
          <w:lang w:val="es-CO"/>
        </w:rPr>
        <w:t>Objetivos</w:t>
      </w:r>
    </w:p>
    <w:p w14:paraId="67A4BD2F" w14:textId="612CE9C2" w:rsidR="002238AE" w:rsidRDefault="004B54AE" w:rsidP="004B54AE">
      <w:pPr>
        <w:pStyle w:val="p1a"/>
        <w:rPr>
          <w:lang w:val="es-CO"/>
        </w:rPr>
      </w:pPr>
      <w:r>
        <w:rPr>
          <w:lang w:val="es-CO"/>
        </w:rPr>
        <w:t>El presente trabajo tiene como objetivos</w:t>
      </w:r>
      <w:r w:rsidR="00537957">
        <w:rPr>
          <w:lang w:val="es-CO"/>
        </w:rPr>
        <w:t xml:space="preserve">, </w:t>
      </w:r>
      <w:r>
        <w:rPr>
          <w:lang w:val="es-CO"/>
        </w:rPr>
        <w:t>e</w:t>
      </w:r>
      <w:r w:rsidR="002238AE" w:rsidRPr="002238AE">
        <w:rPr>
          <w:lang w:val="es-CO"/>
        </w:rPr>
        <w:t>nlistar las definiciones de r</w:t>
      </w:r>
      <w:r w:rsidR="002238AE">
        <w:rPr>
          <w:lang w:val="es-CO"/>
        </w:rPr>
        <w:t>iesgo ocupacional y caracterizar los tipos de factores de riesgo ocupacional</w:t>
      </w:r>
      <w:r w:rsidR="00537957">
        <w:rPr>
          <w:lang w:val="es-CO"/>
        </w:rPr>
        <w:t>,</w:t>
      </w:r>
      <w:r>
        <w:rPr>
          <w:lang w:val="es-CO"/>
        </w:rPr>
        <w:t xml:space="preserve"> p</w:t>
      </w:r>
      <w:r w:rsidR="002238AE">
        <w:rPr>
          <w:lang w:val="es-CO"/>
        </w:rPr>
        <w:t>rofundiza</w:t>
      </w:r>
      <w:r w:rsidR="00537957">
        <w:rPr>
          <w:lang w:val="es-CO"/>
        </w:rPr>
        <w:t>ndo</w:t>
      </w:r>
      <w:r w:rsidR="002238AE">
        <w:rPr>
          <w:lang w:val="es-CO"/>
        </w:rPr>
        <w:t xml:space="preserve"> sobre los factores riesgo psicosocial ocupacional (FRPO)</w:t>
      </w:r>
      <w:r w:rsidR="00537957">
        <w:rPr>
          <w:lang w:val="es-CO"/>
        </w:rPr>
        <w:t>. Adicionalmente</w:t>
      </w:r>
      <w:r>
        <w:rPr>
          <w:lang w:val="es-CO"/>
        </w:rPr>
        <w:t xml:space="preserve"> relacionar</w:t>
      </w:r>
      <w:r w:rsidR="00537957">
        <w:rPr>
          <w:lang w:val="es-CO"/>
        </w:rPr>
        <w:t>á</w:t>
      </w:r>
      <w:r w:rsidR="002238AE">
        <w:rPr>
          <w:lang w:val="es-CO"/>
        </w:rPr>
        <w:t xml:space="preserve"> los efectos de la materialización de riesgo psicosociales ocupacionales</w:t>
      </w:r>
      <w:r w:rsidR="00537957">
        <w:rPr>
          <w:lang w:val="es-CO"/>
        </w:rPr>
        <w:t xml:space="preserve"> más comunes y posteriormente describir</w:t>
      </w:r>
      <w:r w:rsidR="002238AE">
        <w:rPr>
          <w:lang w:val="es-CO"/>
        </w:rPr>
        <w:t xml:space="preserve"> los métodos convencionales </w:t>
      </w:r>
      <w:r>
        <w:rPr>
          <w:lang w:val="es-CO"/>
        </w:rPr>
        <w:t xml:space="preserve">y tecnológicos </w:t>
      </w:r>
      <w:r w:rsidR="002238AE">
        <w:rPr>
          <w:lang w:val="es-CO"/>
        </w:rPr>
        <w:t>de evaluación de FRPO</w:t>
      </w:r>
      <w:r w:rsidR="00537957">
        <w:rPr>
          <w:lang w:val="es-CO"/>
        </w:rPr>
        <w:t>. Finalmente,</w:t>
      </w:r>
      <w:r>
        <w:rPr>
          <w:lang w:val="es-CO"/>
        </w:rPr>
        <w:t xml:space="preserve"> r</w:t>
      </w:r>
      <w:r w:rsidR="002238AE">
        <w:rPr>
          <w:lang w:val="es-CO"/>
        </w:rPr>
        <w:t xml:space="preserve">elacionar las limitaciones </w:t>
      </w:r>
      <w:r w:rsidR="00537957">
        <w:rPr>
          <w:lang w:val="es-CO"/>
        </w:rPr>
        <w:t>dichos métodos,</w:t>
      </w:r>
      <w:r>
        <w:rPr>
          <w:lang w:val="es-CO"/>
        </w:rPr>
        <w:t xml:space="preserve"> e</w:t>
      </w:r>
      <w:r w:rsidR="002238AE">
        <w:rPr>
          <w:lang w:val="es-CO"/>
        </w:rPr>
        <w:t>stablec</w:t>
      </w:r>
      <w:r w:rsidR="00537957">
        <w:rPr>
          <w:lang w:val="es-CO"/>
        </w:rPr>
        <w:t>iendo</w:t>
      </w:r>
      <w:r w:rsidR="002238AE">
        <w:rPr>
          <w:lang w:val="es-CO"/>
        </w:rPr>
        <w:t xml:space="preserve"> las oportunidades de investigación para soportar la evaluación </w:t>
      </w:r>
      <w:r w:rsidR="00537957">
        <w:rPr>
          <w:lang w:val="es-CO"/>
        </w:rPr>
        <w:t>utilizada inteligencia artificial</w:t>
      </w:r>
      <w:r w:rsidR="002238AE">
        <w:rPr>
          <w:lang w:val="es-CO"/>
        </w:rPr>
        <w:t>.</w:t>
      </w:r>
    </w:p>
    <w:p w14:paraId="0C948D85" w14:textId="77777777" w:rsidR="005F0C9B" w:rsidRDefault="00052AF1" w:rsidP="00052AF1">
      <w:pPr>
        <w:pStyle w:val="heading2"/>
        <w:rPr>
          <w:lang w:val="es-CO"/>
        </w:rPr>
      </w:pPr>
      <w:r>
        <w:rPr>
          <w:lang w:val="es-CO"/>
        </w:rPr>
        <w:t>Aporte</w:t>
      </w:r>
    </w:p>
    <w:p w14:paraId="1201C6C8" w14:textId="02C1FB5C" w:rsidR="00052AF1" w:rsidRPr="002238AE" w:rsidRDefault="00AA1FAE" w:rsidP="005F0C9B">
      <w:pPr>
        <w:pStyle w:val="p1a"/>
        <w:rPr>
          <w:lang w:val="es-CO"/>
        </w:rPr>
      </w:pPr>
      <w:r>
        <w:rPr>
          <w:lang w:val="es-CO"/>
        </w:rPr>
        <w:t>El presente trabajo pretende identificar</w:t>
      </w:r>
      <w:r w:rsidR="00AD262E">
        <w:rPr>
          <w:lang w:val="es-CO"/>
        </w:rPr>
        <w:t xml:space="preserve"> y relacionar</w:t>
      </w:r>
      <w:r>
        <w:rPr>
          <w:lang w:val="es-CO"/>
        </w:rPr>
        <w:t xml:space="preserve"> </w:t>
      </w:r>
      <w:r w:rsidR="00AD262E">
        <w:rPr>
          <w:lang w:val="es-CO"/>
        </w:rPr>
        <w:t xml:space="preserve">diferentes </w:t>
      </w:r>
      <w:r>
        <w:rPr>
          <w:lang w:val="es-CO"/>
        </w:rPr>
        <w:t>aportes científico</w:t>
      </w:r>
      <w:r w:rsidR="00367E47">
        <w:rPr>
          <w:lang w:val="es-CO"/>
        </w:rPr>
        <w:t>s</w:t>
      </w:r>
      <w:r w:rsidR="00AD262E">
        <w:rPr>
          <w:lang w:val="es-CO"/>
        </w:rPr>
        <w:t>,</w:t>
      </w:r>
      <w:r>
        <w:rPr>
          <w:lang w:val="es-CO"/>
        </w:rPr>
        <w:t xml:space="preserve"> para la identificación</w:t>
      </w:r>
      <w:r w:rsidR="00AD262E">
        <w:rPr>
          <w:lang w:val="es-CO"/>
        </w:rPr>
        <w:t xml:space="preserve"> de</w:t>
      </w:r>
      <w:r>
        <w:rPr>
          <w:lang w:val="es-CO"/>
        </w:rPr>
        <w:t xml:space="preserve"> </w:t>
      </w:r>
      <w:r w:rsidR="00AD262E">
        <w:rPr>
          <w:lang w:val="es-CO"/>
        </w:rPr>
        <w:t xml:space="preserve">aspectos o escenarios </w:t>
      </w:r>
      <w:r>
        <w:rPr>
          <w:lang w:val="es-CO"/>
        </w:rPr>
        <w:t>relacionados con la salud de los trabajadores</w:t>
      </w:r>
      <w:r w:rsidR="00AD262E">
        <w:rPr>
          <w:lang w:val="es-CO"/>
        </w:rPr>
        <w:t xml:space="preserve">. En este análisis se realizará </w:t>
      </w:r>
      <w:r w:rsidR="00367E47">
        <w:rPr>
          <w:lang w:val="es-CO"/>
        </w:rPr>
        <w:t>un énfasis</w:t>
      </w:r>
      <w:r>
        <w:rPr>
          <w:lang w:val="es-CO"/>
        </w:rPr>
        <w:t xml:space="preserve"> </w:t>
      </w:r>
      <w:r w:rsidR="00367E47">
        <w:rPr>
          <w:lang w:val="es-CO"/>
        </w:rPr>
        <w:t xml:space="preserve">en </w:t>
      </w:r>
      <w:r w:rsidR="00E05286">
        <w:rPr>
          <w:lang w:val="es-CO"/>
        </w:rPr>
        <w:t xml:space="preserve">los métodos convencionales de evaluación </w:t>
      </w:r>
      <w:r>
        <w:rPr>
          <w:lang w:val="es-CO"/>
        </w:rPr>
        <w:t xml:space="preserve">factores de riesgo psicosocial ocupacional </w:t>
      </w:r>
      <w:r w:rsidR="00E05286">
        <w:rPr>
          <w:lang w:val="es-CO"/>
        </w:rPr>
        <w:t xml:space="preserve">y exponiendo algunas aproximaciones tecnológicas </w:t>
      </w:r>
      <w:r w:rsidR="009D6EF2">
        <w:rPr>
          <w:lang w:val="es-CO"/>
        </w:rPr>
        <w:t xml:space="preserve">que apoyan esta actividad. Se </w:t>
      </w:r>
      <w:r w:rsidR="00AD262E">
        <w:rPr>
          <w:lang w:val="es-CO"/>
        </w:rPr>
        <w:t>enunciarán las diversas</w:t>
      </w:r>
      <w:r w:rsidR="009D6EF2">
        <w:rPr>
          <w:lang w:val="es-CO"/>
        </w:rPr>
        <w:t xml:space="preserve"> limitaciones que pueden tener dichas aproximaciones</w:t>
      </w:r>
      <w:r w:rsidR="00AD262E">
        <w:rPr>
          <w:lang w:val="es-CO"/>
        </w:rPr>
        <w:t>, oportunidades y</w:t>
      </w:r>
      <w:r w:rsidR="009D6EF2">
        <w:rPr>
          <w:lang w:val="es-CO"/>
        </w:rPr>
        <w:t xml:space="preserve"> retos tecnológicos para las aplicaciones soportadas en inteligencia artificial</w:t>
      </w:r>
      <w:r w:rsidR="00AD262E">
        <w:rPr>
          <w:lang w:val="es-CO"/>
        </w:rPr>
        <w:t>,</w:t>
      </w:r>
      <w:r w:rsidR="009D6EF2">
        <w:rPr>
          <w:lang w:val="es-CO"/>
        </w:rPr>
        <w:t xml:space="preserve"> orientadas </w:t>
      </w:r>
      <w:r w:rsidR="00537957">
        <w:rPr>
          <w:lang w:val="es-CO"/>
        </w:rPr>
        <w:t>a la seguridad del entorno y el cuidado y el bienestar de las personas.</w:t>
      </w:r>
    </w:p>
    <w:p w14:paraId="428DF2B8" w14:textId="0A76CF12" w:rsidR="007B0BAF" w:rsidRDefault="009E2FC9" w:rsidP="007B0BAF">
      <w:pPr>
        <w:pStyle w:val="heading2"/>
      </w:pPr>
      <w:r w:rsidRPr="005F0C9B">
        <w:rPr>
          <w:lang w:val="es-CO"/>
        </w:rPr>
        <w:t>Visión</w:t>
      </w:r>
      <w:r>
        <w:t xml:space="preserve"> General</w:t>
      </w:r>
    </w:p>
    <w:p w14:paraId="3E32EF98" w14:textId="2D7964D1" w:rsidR="00E467DA" w:rsidRPr="00E467DA" w:rsidRDefault="00E467DA" w:rsidP="00083C89">
      <w:pPr>
        <w:ind w:firstLine="0"/>
        <w:rPr>
          <w:lang w:val="es-CO"/>
        </w:rPr>
      </w:pPr>
      <w:r w:rsidRPr="00E467DA">
        <w:rPr>
          <w:lang w:val="es-CO"/>
        </w:rPr>
        <w:t xml:space="preserve">El documento procede de la siguiente manera: la Sección 2 proporciona </w:t>
      </w:r>
      <w:r>
        <w:rPr>
          <w:lang w:val="es-CO"/>
        </w:rPr>
        <w:t>el concepto</w:t>
      </w:r>
      <w:r w:rsidR="00852F81">
        <w:rPr>
          <w:lang w:val="es-CO"/>
        </w:rPr>
        <w:t xml:space="preserve">, la </w:t>
      </w:r>
      <w:r w:rsidR="005F0C9B">
        <w:rPr>
          <w:lang w:val="es-CO"/>
        </w:rPr>
        <w:t>historia</w:t>
      </w:r>
      <w:r w:rsidR="00852F81">
        <w:rPr>
          <w:lang w:val="es-CO"/>
        </w:rPr>
        <w:t xml:space="preserve"> y los objetivos de la salud ocupacional. </w:t>
      </w:r>
      <w:r w:rsidRPr="00E467DA">
        <w:rPr>
          <w:lang w:val="es-CO"/>
        </w:rPr>
        <w:t xml:space="preserve">En esta sección, primero </w:t>
      </w:r>
      <w:r w:rsidR="00852F81">
        <w:rPr>
          <w:lang w:val="es-CO"/>
        </w:rPr>
        <w:t xml:space="preserve">se </w:t>
      </w:r>
      <w:r w:rsidR="00537957">
        <w:rPr>
          <w:lang w:val="es-CO"/>
        </w:rPr>
        <w:t>enuncias</w:t>
      </w:r>
      <w:r w:rsidR="00852F81">
        <w:rPr>
          <w:lang w:val="es-CO"/>
        </w:rPr>
        <w:t xml:space="preserve"> l</w:t>
      </w:r>
      <w:r w:rsidR="00537957">
        <w:rPr>
          <w:lang w:val="es-CO"/>
        </w:rPr>
        <w:t>a</w:t>
      </w:r>
      <w:r w:rsidR="00852F81">
        <w:rPr>
          <w:lang w:val="es-CO"/>
        </w:rPr>
        <w:t xml:space="preserve">s </w:t>
      </w:r>
      <w:r w:rsidR="00537957">
        <w:rPr>
          <w:lang w:val="es-CO"/>
        </w:rPr>
        <w:t>diferentes disciplinas que componen la salud ocupacional y algunos de sus connotaciones históricas</w:t>
      </w:r>
      <w:r w:rsidR="00852F81">
        <w:rPr>
          <w:lang w:val="es-CO"/>
        </w:rPr>
        <w:t xml:space="preserve"> a nivel mundial</w:t>
      </w:r>
      <w:r w:rsidR="00537957">
        <w:rPr>
          <w:lang w:val="es-CO"/>
        </w:rPr>
        <w:t>.</w:t>
      </w:r>
      <w:r w:rsidR="00852F81">
        <w:rPr>
          <w:lang w:val="es-CO"/>
        </w:rPr>
        <w:t xml:space="preserve"> </w:t>
      </w:r>
      <w:r w:rsidR="00537957">
        <w:rPr>
          <w:lang w:val="es-CO"/>
        </w:rPr>
        <w:t>P</w:t>
      </w:r>
      <w:r w:rsidR="00852F81">
        <w:rPr>
          <w:lang w:val="es-CO"/>
        </w:rPr>
        <w:t xml:space="preserve">osteriormente se determinarán los objetivos principales de la misma en un alto nivel. La sección 3 proporciona </w:t>
      </w:r>
      <w:r w:rsidR="00852F81" w:rsidRPr="00E467DA">
        <w:rPr>
          <w:lang w:val="es-CO"/>
        </w:rPr>
        <w:t xml:space="preserve">conceptos y terminologías asociadas </w:t>
      </w:r>
      <w:r w:rsidR="00852F81">
        <w:rPr>
          <w:lang w:val="es-CO"/>
        </w:rPr>
        <w:t xml:space="preserve">al riesgo ocupacional teniendo en cuenta los tipos de riesgo ocupacional a los que puede estar expuesto una persona. En esta sección </w:t>
      </w:r>
      <w:r w:rsidR="005F0C9B">
        <w:rPr>
          <w:lang w:val="es-CO"/>
        </w:rPr>
        <w:t xml:space="preserve">se </w:t>
      </w:r>
      <w:r w:rsidR="00852F81">
        <w:rPr>
          <w:lang w:val="es-CO"/>
        </w:rPr>
        <w:t xml:space="preserve">hará un énfasis en los factores de riesgo </w:t>
      </w:r>
      <w:r w:rsidR="005F0C9B">
        <w:rPr>
          <w:lang w:val="es-CO"/>
        </w:rPr>
        <w:t>psicosocial y</w:t>
      </w:r>
      <w:r w:rsidR="00852F81">
        <w:rPr>
          <w:lang w:val="es-CO"/>
        </w:rPr>
        <w:t xml:space="preserve"> algunos de los efectos que se pueden presentar en la </w:t>
      </w:r>
      <w:r w:rsidR="00083C89">
        <w:rPr>
          <w:lang w:val="es-CO"/>
        </w:rPr>
        <w:t>materialización</w:t>
      </w:r>
      <w:r w:rsidR="00852F81">
        <w:rPr>
          <w:lang w:val="es-CO"/>
        </w:rPr>
        <w:t xml:space="preserve"> del riesgo psicosocial en el trabajo. La sección 4 destaca los métodos convencionales de evaluación de FRPO presentado algunos de los </w:t>
      </w:r>
      <w:r w:rsidR="00083C89">
        <w:rPr>
          <w:lang w:val="es-CO"/>
        </w:rPr>
        <w:t>instrumentos</w:t>
      </w:r>
      <w:r w:rsidR="00852F81">
        <w:rPr>
          <w:lang w:val="es-CO"/>
        </w:rPr>
        <w:t xml:space="preserve"> de medición utilizados a nivel mundial. La sección 5 enuncia las aproximaciones tecnológicas experimentales y comerciales para apoyar a la evaluación y prevención de FRPO</w:t>
      </w:r>
      <w:r w:rsidR="00083C89">
        <w:rPr>
          <w:lang w:val="es-CO"/>
        </w:rPr>
        <w:t xml:space="preserve">. La </w:t>
      </w:r>
      <w:r w:rsidR="005F0C9B">
        <w:rPr>
          <w:lang w:val="es-CO"/>
        </w:rPr>
        <w:t>s</w:t>
      </w:r>
      <w:r w:rsidR="00083C89">
        <w:rPr>
          <w:lang w:val="es-CO"/>
        </w:rPr>
        <w:t xml:space="preserve">ección 6 </w:t>
      </w:r>
      <w:r w:rsidR="00083C89" w:rsidRPr="00E467DA">
        <w:rPr>
          <w:lang w:val="es-CO"/>
        </w:rPr>
        <w:t xml:space="preserve">Se presenta una </w:t>
      </w:r>
      <w:r w:rsidR="00083C89">
        <w:rPr>
          <w:lang w:val="es-CO"/>
        </w:rPr>
        <w:t>descripción de las limitaciones de los métodos analizados para la evaluación de FRPO</w:t>
      </w:r>
      <w:r w:rsidRPr="00E467DA">
        <w:rPr>
          <w:lang w:val="es-CO"/>
        </w:rPr>
        <w:t>. Los comentarios finales</w:t>
      </w:r>
      <w:r w:rsidR="00083C89">
        <w:rPr>
          <w:lang w:val="es-CO"/>
        </w:rPr>
        <w:t xml:space="preserve"> </w:t>
      </w:r>
      <w:r w:rsidRPr="00E467DA">
        <w:rPr>
          <w:lang w:val="es-CO"/>
        </w:rPr>
        <w:t xml:space="preserve">se discuten en la </w:t>
      </w:r>
      <w:r w:rsidR="00083C89">
        <w:rPr>
          <w:lang w:val="es-CO"/>
        </w:rPr>
        <w:t>s</w:t>
      </w:r>
      <w:r w:rsidRPr="00E467DA">
        <w:rPr>
          <w:lang w:val="es-CO"/>
        </w:rPr>
        <w:t xml:space="preserve">ección </w:t>
      </w:r>
      <w:r w:rsidR="00083C89">
        <w:rPr>
          <w:lang w:val="es-CO"/>
        </w:rPr>
        <w:t>7</w:t>
      </w:r>
      <w:r w:rsidR="005F0C9B">
        <w:rPr>
          <w:lang w:val="es-CO"/>
        </w:rPr>
        <w:t>.</w:t>
      </w:r>
    </w:p>
    <w:p w14:paraId="0AE0CADB" w14:textId="10E87F78" w:rsidR="00D21D31" w:rsidRPr="00AD262E" w:rsidRDefault="00D21D31" w:rsidP="00D21D31">
      <w:pPr>
        <w:pStyle w:val="heading1"/>
        <w:rPr>
          <w:lang w:val="es-CO"/>
        </w:rPr>
      </w:pPr>
      <w:r>
        <w:rPr>
          <w:lang w:val="es-CO"/>
        </w:rPr>
        <w:lastRenderedPageBreak/>
        <w:t xml:space="preserve">Salud Ocupacional </w:t>
      </w:r>
    </w:p>
    <w:p w14:paraId="76DEFD5C" w14:textId="21F7124A" w:rsidR="003C7CDB" w:rsidRPr="003C7CDB" w:rsidRDefault="00FC0816" w:rsidP="003C7CDB">
      <w:pPr>
        <w:ind w:firstLine="0"/>
        <w:rPr>
          <w:lang w:val="es-CO"/>
        </w:rPr>
      </w:pPr>
      <w:r w:rsidRPr="00FC0816">
        <w:rPr>
          <w:lang w:val="es-CO"/>
        </w:rPr>
        <w:t>Existe una conveniencia en describir la Historia no a través de los sucesos culturales sino a través de la evolución del trabajo, dado su rol en la creación y mantenimiento de las sociedades humanas. Sin embargo, como todo conocimiento está sujeto a diversificaciones en su contenido, tanto en la práctica como en el conocimiento, creando diversos conceptos que van evolucionando en el tiempo. Esto ha ocurrido con la Medicina del Trabajo ahora llamada Medicina Ocupacional y del Medio Ambiente, que es una disciplina fundamental dentro de la Salud Ocupacional. Por lo tanto, la Salud Ocupacional, es el resultado de un trabajo multidisciplinario donde intervienen profesionales en medicina ocupacional, enfermería ocupacional, higiene industrial, seguridad, ergonomía, psicología organizacional, epidemiología, toxicología, microbiología, estadística, legislación laboral, terapia ocupacional, organización laboral, nutrición y recientemente, promoción de la salud. Por lo tanto, es necesario definir que la diferencia radica en que mientras la Medicina Ocupacional y del Medio Ambiente es una rama de la Medicina y que para aprenderla se necesita ser médico, la Salud Ocupacional se ha tomado arbitrariamente como una profesión, cuando en realidad es una actividad multidisciplinaria</w:t>
      </w:r>
      <w:r>
        <w:rPr>
          <w:lang w:val="es-CO"/>
        </w:rPr>
        <w:t xml:space="preserve"> </w:t>
      </w:r>
      <w:r w:rsidR="003C7CDB">
        <w:fldChar w:fldCharType="begin"/>
      </w:r>
      <w:r w:rsidR="003C7CDB" w:rsidRPr="003C7CDB">
        <w:rPr>
          <w:lang w:val="es-CO"/>
        </w:rPr>
        <w:instrText>ADDIN RW.CITE{{doc:5cf48644e4b0104400063e9d Gomero,Raul 2006}}</w:instrText>
      </w:r>
      <w:r w:rsidR="003C7CDB">
        <w:fldChar w:fldCharType="separate"/>
      </w:r>
      <w:r w:rsidR="00CC5EC7" w:rsidRPr="00CC5EC7">
        <w:rPr>
          <w:bCs/>
          <w:lang w:val="es-ES"/>
        </w:rPr>
        <w:t>[3]</w:t>
      </w:r>
      <w:r w:rsidR="003C7CDB">
        <w:fldChar w:fldCharType="end"/>
      </w:r>
      <w:r w:rsidR="003C7CDB" w:rsidRPr="003C7CDB">
        <w:rPr>
          <w:lang w:val="es-CO"/>
        </w:rPr>
        <w:t xml:space="preserve"> </w:t>
      </w:r>
      <w:r w:rsidR="003C7CDB">
        <w:rPr>
          <w:lang w:val="es-CO"/>
        </w:rPr>
        <w:t>salud en el lugar de trabajo</w:t>
      </w:r>
      <w:r w:rsidR="00067512">
        <w:rPr>
          <w:lang w:val="es-CO"/>
        </w:rPr>
        <w:t>(</w:t>
      </w:r>
      <w:proofErr w:type="spellStart"/>
      <w:r w:rsidR="00067512">
        <w:rPr>
          <w:lang w:val="es-CO"/>
        </w:rPr>
        <w:t>Workplace</w:t>
      </w:r>
      <w:proofErr w:type="spellEnd"/>
      <w:r w:rsidR="00067512">
        <w:rPr>
          <w:lang w:val="es-CO"/>
        </w:rPr>
        <w:t xml:space="preserve"> </w:t>
      </w:r>
      <w:proofErr w:type="spellStart"/>
      <w:r w:rsidR="00067512">
        <w:rPr>
          <w:lang w:val="es-CO"/>
        </w:rPr>
        <w:t>Health</w:t>
      </w:r>
      <w:proofErr w:type="spellEnd"/>
      <w:r w:rsidR="00067512">
        <w:rPr>
          <w:lang w:val="es-CO"/>
        </w:rPr>
        <w:t xml:space="preserve">) </w:t>
      </w:r>
      <w:r w:rsidR="00067512">
        <w:rPr>
          <w:lang w:val="es-CO"/>
        </w:rPr>
        <w:fldChar w:fldCharType="begin"/>
      </w:r>
      <w:r w:rsidR="00610074">
        <w:rPr>
          <w:lang w:val="es-CO"/>
        </w:rPr>
        <w:instrText>ADDIN RW.CITE{{doc:5cf48499e4b01520dd8ab0ec Jerezy,Kopias 2001}}</w:instrText>
      </w:r>
      <w:r w:rsidR="00067512">
        <w:rPr>
          <w:lang w:val="es-CO"/>
        </w:rPr>
        <w:fldChar w:fldCharType="separate"/>
      </w:r>
      <w:r w:rsidR="00CC5EC7" w:rsidRPr="00CC5EC7">
        <w:rPr>
          <w:bCs/>
          <w:lang w:val="es-ES"/>
        </w:rPr>
        <w:t>[4]</w:t>
      </w:r>
      <w:r w:rsidR="00067512">
        <w:rPr>
          <w:lang w:val="es-CO"/>
        </w:rPr>
        <w:fldChar w:fldCharType="end"/>
      </w:r>
      <w:r w:rsidR="003C7CDB" w:rsidRPr="003C7CDB">
        <w:rPr>
          <w:lang w:val="es-CO"/>
        </w:rPr>
        <w:t>.</w:t>
      </w:r>
    </w:p>
    <w:p w14:paraId="484B2819" w14:textId="77777777" w:rsidR="00D21D31" w:rsidRPr="00310FF6" w:rsidRDefault="00D21D31" w:rsidP="00FE5980">
      <w:pPr>
        <w:pStyle w:val="heading2"/>
        <w:rPr>
          <w:lang w:val="es-CO"/>
        </w:rPr>
      </w:pPr>
      <w:r w:rsidRPr="00310FF6">
        <w:rPr>
          <w:lang w:val="es-CO"/>
        </w:rPr>
        <w:t>Historia</w:t>
      </w:r>
    </w:p>
    <w:p w14:paraId="26C511A3" w14:textId="7F3DF9D8" w:rsidR="00D21D31" w:rsidRPr="00D21D31" w:rsidRDefault="00D21D31" w:rsidP="00D21D31">
      <w:pPr>
        <w:ind w:firstLine="0"/>
        <w:rPr>
          <w:lang w:val="es-CO"/>
        </w:rPr>
      </w:pPr>
      <w:r w:rsidRPr="00D21D31">
        <w:rPr>
          <w:lang w:val="es-CO"/>
        </w:rPr>
        <w:t xml:space="preserve">La aparición del Tratado de las enfermedades de los artesanos (De </w:t>
      </w:r>
      <w:proofErr w:type="spellStart"/>
      <w:r w:rsidRPr="00D21D31">
        <w:rPr>
          <w:lang w:val="es-CO"/>
        </w:rPr>
        <w:t>Morbis</w:t>
      </w:r>
      <w:proofErr w:type="spellEnd"/>
      <w:r w:rsidRPr="00D21D31">
        <w:rPr>
          <w:lang w:val="es-CO"/>
        </w:rPr>
        <w:t xml:space="preserve"> </w:t>
      </w:r>
      <w:proofErr w:type="spellStart"/>
      <w:r w:rsidRPr="00D21D31">
        <w:rPr>
          <w:lang w:val="es-CO"/>
        </w:rPr>
        <w:t>artificum</w:t>
      </w:r>
      <w:proofErr w:type="spellEnd"/>
      <w:r w:rsidRPr="00D21D31">
        <w:rPr>
          <w:lang w:val="es-CO"/>
        </w:rPr>
        <w:t xml:space="preserve"> diatriba) obra de Bernardino Ramazzini en el año 1773, fue el inicio de una tradición científica de la higiene y la medicina del trabajo. Revisó 42 oficios distintos en su primera edición y 52 en la segunda y última, analizando los riesgos derivados de la práctica de cada uno, así como las medidas de prevención convenientes para aminorarlos. Sus agudas observaciones permitieron distinguir entre enfermedades causadas por el empleo de determinados materiales. También puede encontrarse en él la conciencia del significado económico de la salud, pues consideró el dominio técnico de la salud como garantía del desarrollo económico y del progreso de la civilización</w:t>
      </w:r>
      <w:r w:rsidR="00067512">
        <w:rPr>
          <w:lang w:val="es-CO"/>
        </w:rPr>
        <w:fldChar w:fldCharType="begin"/>
      </w:r>
      <w:r w:rsidR="00067512">
        <w:rPr>
          <w:lang w:val="es-CO"/>
        </w:rPr>
        <w:instrText>ADDIN RW.CITE{{doc:5cf4a170e4b06bba938cefd2 INSHT 2011}}</w:instrText>
      </w:r>
      <w:r w:rsidR="00067512">
        <w:rPr>
          <w:lang w:val="es-CO"/>
        </w:rPr>
        <w:fldChar w:fldCharType="separate"/>
      </w:r>
      <w:r w:rsidR="00CC5EC7" w:rsidRPr="00CC5EC7">
        <w:rPr>
          <w:bCs/>
          <w:lang w:val="es-ES"/>
        </w:rPr>
        <w:t>[5]</w:t>
      </w:r>
      <w:r w:rsidR="00067512">
        <w:rPr>
          <w:lang w:val="es-CO"/>
        </w:rPr>
        <w:fldChar w:fldCharType="end"/>
      </w:r>
    </w:p>
    <w:p w14:paraId="54B231D8" w14:textId="6200FEB6" w:rsidR="00D21D31" w:rsidRDefault="00D21D31" w:rsidP="00D21D31">
      <w:pPr>
        <w:ind w:firstLine="0"/>
        <w:rPr>
          <w:lang w:val="es-CO"/>
        </w:rPr>
      </w:pPr>
    </w:p>
    <w:p w14:paraId="5B388739" w14:textId="265DFBDF" w:rsidR="003C7CDB" w:rsidRDefault="003C7CDB" w:rsidP="003C7CDB">
      <w:pPr>
        <w:ind w:firstLine="0"/>
        <w:rPr>
          <w:lang w:val="es-CO"/>
        </w:rPr>
      </w:pPr>
      <w:r w:rsidRPr="003C7CDB">
        <w:rPr>
          <w:lang w:val="es-CO"/>
        </w:rPr>
        <w:t>Otro suceso importante en el desarrollo de la Medicina</w:t>
      </w:r>
      <w:r>
        <w:rPr>
          <w:lang w:val="es-CO"/>
        </w:rPr>
        <w:t xml:space="preserve"> </w:t>
      </w:r>
      <w:r w:rsidRPr="003C7CDB">
        <w:rPr>
          <w:lang w:val="es-CO"/>
        </w:rPr>
        <w:t>del Trabajo fue la firma del Tratado de Versalles donde</w:t>
      </w:r>
      <w:r>
        <w:rPr>
          <w:lang w:val="es-CO"/>
        </w:rPr>
        <w:t xml:space="preserve"> </w:t>
      </w:r>
      <w:r w:rsidRPr="003C7CDB">
        <w:rPr>
          <w:lang w:val="es-CO"/>
        </w:rPr>
        <w:t>en su fracción XII, estableció los principios que</w:t>
      </w:r>
      <w:r w:rsidR="00853550">
        <w:rPr>
          <w:lang w:val="es-CO"/>
        </w:rPr>
        <w:t xml:space="preserve"> </w:t>
      </w:r>
      <w:r w:rsidRPr="003C7CDB">
        <w:rPr>
          <w:lang w:val="es-CO"/>
        </w:rPr>
        <w:t>posteriormente tomaría la Organización Internacional</w:t>
      </w:r>
      <w:r>
        <w:rPr>
          <w:lang w:val="es-CO"/>
        </w:rPr>
        <w:t xml:space="preserve"> </w:t>
      </w:r>
      <w:r w:rsidRPr="003C7CDB">
        <w:rPr>
          <w:lang w:val="es-CO"/>
        </w:rPr>
        <w:t>del Trabajo (OIT), que tenía como principal objetivo</w:t>
      </w:r>
      <w:r>
        <w:rPr>
          <w:lang w:val="es-CO"/>
        </w:rPr>
        <w:t xml:space="preserve"> </w:t>
      </w:r>
      <w:r w:rsidRPr="003C7CDB">
        <w:rPr>
          <w:lang w:val="es-CO"/>
        </w:rPr>
        <w:t xml:space="preserve">mejorar las condiciones de </w:t>
      </w:r>
      <w:r w:rsidR="00692859" w:rsidRPr="003C7CDB">
        <w:rPr>
          <w:lang w:val="es-CO"/>
        </w:rPr>
        <w:t>trabajo,</w:t>
      </w:r>
      <w:r w:rsidRPr="003C7CDB">
        <w:rPr>
          <w:lang w:val="es-CO"/>
        </w:rPr>
        <w:t xml:space="preserve"> así como de</w:t>
      </w:r>
      <w:r>
        <w:rPr>
          <w:lang w:val="es-CO"/>
        </w:rPr>
        <w:t xml:space="preserve"> </w:t>
      </w:r>
      <w:r w:rsidRPr="003C7CDB">
        <w:rPr>
          <w:lang w:val="es-CO"/>
        </w:rPr>
        <w:t>fortalecer las economías de las naciones</w:t>
      </w:r>
      <w:r w:rsidR="009E141B">
        <w:rPr>
          <w:lang w:val="es-CO"/>
        </w:rPr>
        <w:fldChar w:fldCharType="begin"/>
      </w:r>
      <w:r w:rsidR="009E141B">
        <w:rPr>
          <w:lang w:val="es-CO"/>
        </w:rPr>
        <w:instrText>ADDIN RW.CITE{{doc:5cf5adf5e4b07bdf691c48eb Nava,H 1994}}</w:instrText>
      </w:r>
      <w:r w:rsidR="009E141B">
        <w:rPr>
          <w:lang w:val="es-CO"/>
        </w:rPr>
        <w:fldChar w:fldCharType="separate"/>
      </w:r>
      <w:r w:rsidR="00CC5EC7" w:rsidRPr="00CC5EC7">
        <w:rPr>
          <w:bCs/>
          <w:lang w:val="es-ES"/>
        </w:rPr>
        <w:t>[6]</w:t>
      </w:r>
      <w:r w:rsidR="009E141B">
        <w:rPr>
          <w:lang w:val="es-CO"/>
        </w:rPr>
        <w:fldChar w:fldCharType="end"/>
      </w:r>
      <w:r w:rsidRPr="003C7CDB">
        <w:rPr>
          <w:lang w:val="es-CO"/>
        </w:rPr>
        <w:t>.</w:t>
      </w:r>
    </w:p>
    <w:p w14:paraId="020D5C4B" w14:textId="77777777" w:rsidR="00853550" w:rsidRDefault="00853550" w:rsidP="00853550">
      <w:pPr>
        <w:ind w:firstLine="0"/>
        <w:rPr>
          <w:lang w:val="es-CO"/>
        </w:rPr>
      </w:pPr>
    </w:p>
    <w:p w14:paraId="462C82DE" w14:textId="1C984D20" w:rsidR="00FE5980" w:rsidRDefault="00041C1A" w:rsidP="00853550">
      <w:pPr>
        <w:ind w:firstLine="0"/>
        <w:rPr>
          <w:lang w:val="es-CO"/>
        </w:rPr>
      </w:pPr>
      <w:r w:rsidRPr="00692859">
        <w:rPr>
          <w:lang w:val="es-CO"/>
        </w:rPr>
        <w:t xml:space="preserve">En el año 1950, </w:t>
      </w:r>
      <w:r w:rsidR="00853550" w:rsidRPr="007B4B6C">
        <w:rPr>
          <w:lang w:val="es-CO"/>
        </w:rPr>
        <w:t xml:space="preserve">se constituyó la primera sesión </w:t>
      </w:r>
      <w:r w:rsidRPr="00692859">
        <w:rPr>
          <w:lang w:val="es-CO"/>
        </w:rPr>
        <w:t xml:space="preserve">para el Comité mixto de la Organización Internacional del Trabajo y la Organización Mundial de la Salud (OIT - OMS), </w:t>
      </w:r>
      <w:r w:rsidR="00853550" w:rsidRPr="007B4B6C">
        <w:rPr>
          <w:lang w:val="es-CO"/>
        </w:rPr>
        <w:t>estableciéndose en dicha sesión la definición operativa del término</w:t>
      </w:r>
      <w:r w:rsidR="00853550">
        <w:rPr>
          <w:lang w:val="es-CO"/>
        </w:rPr>
        <w:t xml:space="preserve"> que</w:t>
      </w:r>
      <w:r>
        <w:rPr>
          <w:lang w:val="es-CO"/>
        </w:rPr>
        <w:t xml:space="preserve"> debía promocionar y mantener el mayor grado de bienestar físico, mental y social de los trabajadores en todas las profesiones, la</w:t>
      </w:r>
      <w:r w:rsidR="00FE5980">
        <w:rPr>
          <w:lang w:val="es-CO"/>
        </w:rPr>
        <w:t xml:space="preserve"> </w:t>
      </w:r>
      <w:r>
        <w:rPr>
          <w:lang w:val="es-CO"/>
        </w:rPr>
        <w:t>protección de los trabajadores frente a todo tipo de riesgo procurando adaptar el trabajo y su ambiente a las capacidades fisiológicas y psicológicas de los</w:t>
      </w:r>
      <w:r w:rsidR="00692859">
        <w:rPr>
          <w:lang w:val="es-CO"/>
        </w:rPr>
        <w:t xml:space="preserve"> </w:t>
      </w:r>
      <w:r>
        <w:rPr>
          <w:lang w:val="es-CO"/>
        </w:rPr>
        <w:t>trabajadores</w:t>
      </w:r>
      <w:r w:rsidR="00692859">
        <w:rPr>
          <w:lang w:val="es-CO"/>
        </w:rPr>
        <w:t xml:space="preserve"> </w:t>
      </w:r>
      <w:r w:rsidR="00692859">
        <w:rPr>
          <w:lang w:val="es-CO"/>
        </w:rPr>
        <w:fldChar w:fldCharType="begin"/>
      </w:r>
      <w:r w:rsidR="00692859">
        <w:rPr>
          <w:lang w:val="es-CO"/>
        </w:rPr>
        <w:instrText>ADDIN RW.CITE{{doc:5cf5b45ce4b093719914e554 Cullen,Mark 1990}}</w:instrText>
      </w:r>
      <w:r w:rsidR="00692859">
        <w:rPr>
          <w:lang w:val="es-CO"/>
        </w:rPr>
        <w:fldChar w:fldCharType="separate"/>
      </w:r>
      <w:r w:rsidR="00CC5EC7" w:rsidRPr="00CC5EC7">
        <w:rPr>
          <w:bCs/>
          <w:lang w:val="es-ES"/>
        </w:rPr>
        <w:t>[7]</w:t>
      </w:r>
      <w:r w:rsidR="00692859">
        <w:rPr>
          <w:lang w:val="es-CO"/>
        </w:rPr>
        <w:fldChar w:fldCharType="end"/>
      </w:r>
      <w:r w:rsidR="00FE5980">
        <w:rPr>
          <w:lang w:val="es-CO"/>
        </w:rPr>
        <w:t xml:space="preserve"> </w:t>
      </w:r>
      <w:r>
        <w:rPr>
          <w:lang w:val="es-CO"/>
        </w:rPr>
        <w:t>. Por lo tanto, ya toma connotación</w:t>
      </w:r>
      <w:r w:rsidR="00FE5980">
        <w:rPr>
          <w:lang w:val="es-CO"/>
        </w:rPr>
        <w:t xml:space="preserve"> </w:t>
      </w:r>
      <w:r>
        <w:rPr>
          <w:lang w:val="es-CO"/>
        </w:rPr>
        <w:t>el papel del ambiente en la salud del trabajador.</w:t>
      </w:r>
    </w:p>
    <w:p w14:paraId="0C154C2A" w14:textId="2817932B" w:rsidR="00610074" w:rsidRDefault="00610074" w:rsidP="009C0E0C">
      <w:pPr>
        <w:overflowPunct/>
        <w:ind w:firstLine="0"/>
        <w:jc w:val="left"/>
        <w:textAlignment w:val="auto"/>
        <w:rPr>
          <w:lang w:val="es-CO"/>
        </w:rPr>
      </w:pPr>
    </w:p>
    <w:p w14:paraId="2B759D08" w14:textId="622EBE0B" w:rsidR="00610074" w:rsidRPr="00610074" w:rsidRDefault="00610074" w:rsidP="00260DE1">
      <w:pPr>
        <w:overflowPunct/>
        <w:ind w:firstLine="0"/>
        <w:textAlignment w:val="auto"/>
        <w:rPr>
          <w:lang w:val="es-CO"/>
        </w:rPr>
      </w:pPr>
      <w:r w:rsidRPr="00B26B7D">
        <w:rPr>
          <w:lang w:val="es-CO"/>
        </w:rPr>
        <w:t xml:space="preserve">La OIT pone especial atención en desarrollar y aplicar una cultura de seguridad y salud preventiva en el lugar de trabajo. En 2003, la OIT instituyó el 28 de abril como Día Mundial de la Seguridad y la Salud en el Trabajo para destacar la necesidad de prevención de enfermedades y accidentes laborales, utilizando como punto de apoyo el </w:t>
      </w:r>
      <w:proofErr w:type="spellStart"/>
      <w:r w:rsidRPr="00B26B7D">
        <w:rPr>
          <w:lang w:val="es-CO"/>
        </w:rPr>
        <w:t>tripartismo</w:t>
      </w:r>
      <w:proofErr w:type="spellEnd"/>
      <w:r w:rsidRPr="00B26B7D">
        <w:rPr>
          <w:lang w:val="es-CO"/>
        </w:rPr>
        <w:t xml:space="preserve"> y el diálogo social. El 28 de abril es también el día mundial que el movimiento sindical asocia a la conmemoración de las víctimas de accidentes o enfermedades relacionadas con el trabajo</w:t>
      </w:r>
      <w:r>
        <w:rPr>
          <w:lang w:val="es-CO"/>
        </w:rPr>
        <w:fldChar w:fldCharType="begin"/>
      </w:r>
      <w:r>
        <w:rPr>
          <w:lang w:val="es-CO"/>
        </w:rPr>
        <w:instrText>ADDIN RW.CITE{{doc:5cf55353e4b0502976e503cf GonzálezSánchez,Jesús 2012}}</w:instrText>
      </w:r>
      <w:r>
        <w:rPr>
          <w:lang w:val="es-CO"/>
        </w:rPr>
        <w:fldChar w:fldCharType="separate"/>
      </w:r>
      <w:r w:rsidR="00CC5EC7" w:rsidRPr="00CC5EC7">
        <w:rPr>
          <w:bCs/>
          <w:lang w:val="es-ES"/>
        </w:rPr>
        <w:t>[8]</w:t>
      </w:r>
      <w:r>
        <w:rPr>
          <w:lang w:val="es-CO"/>
        </w:rPr>
        <w:fldChar w:fldCharType="end"/>
      </w:r>
    </w:p>
    <w:p w14:paraId="1CB5AAB2" w14:textId="75406027" w:rsidR="00D21D31" w:rsidRDefault="00D21D31" w:rsidP="00FE5980">
      <w:pPr>
        <w:pStyle w:val="heading2"/>
        <w:rPr>
          <w:lang w:val="es-CO"/>
        </w:rPr>
      </w:pPr>
      <w:r w:rsidRPr="00310FF6">
        <w:rPr>
          <w:lang w:val="es-CO"/>
        </w:rPr>
        <w:t>Objetivos de salud ocupacional</w:t>
      </w:r>
    </w:p>
    <w:p w14:paraId="4814A9FE" w14:textId="22BBBCCD" w:rsidR="00F50EA7" w:rsidRDefault="00D21D31" w:rsidP="00F50EA7">
      <w:pPr>
        <w:ind w:firstLine="0"/>
        <w:rPr>
          <w:lang w:val="es-CO"/>
        </w:rPr>
      </w:pPr>
      <w:r w:rsidRPr="00B32F91">
        <w:rPr>
          <w:lang w:val="es-CO"/>
        </w:rPr>
        <w:t xml:space="preserve">La salud </w:t>
      </w:r>
      <w:r>
        <w:rPr>
          <w:lang w:val="es-CO"/>
        </w:rPr>
        <w:t>ocupacional</w:t>
      </w:r>
      <w:r w:rsidRPr="00B32F91">
        <w:rPr>
          <w:lang w:val="es-CO"/>
        </w:rPr>
        <w:t xml:space="preserve">, se ocupa de todos los aspectos que intervienen en </w:t>
      </w:r>
      <w:r w:rsidR="00F50EA7">
        <w:rPr>
          <w:lang w:val="es-CO"/>
        </w:rPr>
        <w:t>la relación trabajo-salud</w:t>
      </w:r>
      <w:r w:rsidRPr="00B32F91">
        <w:rPr>
          <w:lang w:val="es-CO"/>
        </w:rPr>
        <w:t>, en donde las condiciones de trabajo claramente influyen en la salud del trabajador y, al mismo tiempo, el trabajo se ve afectado por el nivel de salud de dicho trabajador</w:t>
      </w:r>
      <w:r w:rsidR="009C0E0C">
        <w:rPr>
          <w:lang w:val="es-CO"/>
        </w:rPr>
        <w:fldChar w:fldCharType="begin"/>
      </w:r>
      <w:r w:rsidR="009C0E0C">
        <w:rPr>
          <w:lang w:val="es-CO"/>
        </w:rPr>
        <w:instrText>ADDIN RW.CITE{{doc:5cf54e7ee4b0bd0b8fca1dbe Harrington,John 1998}}</w:instrText>
      </w:r>
      <w:r w:rsidR="009C0E0C">
        <w:rPr>
          <w:lang w:val="es-CO"/>
        </w:rPr>
        <w:fldChar w:fldCharType="separate"/>
      </w:r>
      <w:r w:rsidR="00CC5EC7" w:rsidRPr="00CC5EC7">
        <w:rPr>
          <w:bCs/>
          <w:lang w:val="es-ES"/>
        </w:rPr>
        <w:t>[9]</w:t>
      </w:r>
      <w:r w:rsidR="009C0E0C">
        <w:rPr>
          <w:lang w:val="es-CO"/>
        </w:rPr>
        <w:fldChar w:fldCharType="end"/>
      </w:r>
      <w:r w:rsidRPr="00B32F91">
        <w:rPr>
          <w:lang w:val="es-CO"/>
        </w:rPr>
        <w:t>.</w:t>
      </w:r>
      <w:r w:rsidR="00F50EA7">
        <w:rPr>
          <w:lang w:val="es-CO"/>
        </w:rPr>
        <w:t xml:space="preserve"> </w:t>
      </w:r>
      <w:r w:rsidR="009C0E0C">
        <w:rPr>
          <w:lang w:val="es-CO" w:eastAsia="es-CO"/>
        </w:rPr>
        <w:t xml:space="preserve">Según la enciclopedia de la salud </w:t>
      </w:r>
      <w:r w:rsidR="009C0E0C">
        <w:rPr>
          <w:lang w:val="es-CO"/>
        </w:rPr>
        <w:fldChar w:fldCharType="begin"/>
      </w:r>
      <w:r w:rsidR="009C0E0C">
        <w:rPr>
          <w:lang w:val="es-CO"/>
        </w:rPr>
        <w:instrText>ADDIN RW.CITE{{doc:5cd389a1e4b09ae3c8856248 Kirch,Wilhelm 2008}}</w:instrText>
      </w:r>
      <w:r w:rsidR="009C0E0C">
        <w:rPr>
          <w:lang w:val="es-CO"/>
        </w:rPr>
        <w:fldChar w:fldCharType="separate"/>
      </w:r>
      <w:r w:rsidR="00CC5EC7" w:rsidRPr="00CC5EC7">
        <w:rPr>
          <w:bCs/>
          <w:lang w:val="es-ES"/>
        </w:rPr>
        <w:t>[10]</w:t>
      </w:r>
      <w:r w:rsidR="009C0E0C">
        <w:rPr>
          <w:lang w:val="es-CO"/>
        </w:rPr>
        <w:fldChar w:fldCharType="end"/>
      </w:r>
      <w:r w:rsidR="009C0E0C">
        <w:rPr>
          <w:lang w:val="es-CO" w:eastAsia="es-CO"/>
        </w:rPr>
        <w:t>, los objetivos de la salud</w:t>
      </w:r>
      <w:r w:rsidR="00F50EA7">
        <w:rPr>
          <w:lang w:val="es-CO" w:eastAsia="es-CO"/>
        </w:rPr>
        <w:t xml:space="preserve"> ocupacional se orientan en</w:t>
      </w:r>
      <w:r w:rsidR="009C0E0C">
        <w:rPr>
          <w:lang w:val="es-CO" w:eastAsia="es-CO"/>
        </w:rPr>
        <w:t xml:space="preserve"> </w:t>
      </w:r>
      <w:r w:rsidR="00F50EA7">
        <w:rPr>
          <w:lang w:val="es-CO" w:eastAsia="es-CO"/>
        </w:rPr>
        <w:t>m</w:t>
      </w:r>
      <w:r w:rsidRPr="00776C41">
        <w:rPr>
          <w:lang w:val="es-CO" w:eastAsia="es-CO"/>
        </w:rPr>
        <w:t>antener y promover la salud y la capacidad de trabajo de los empleados</w:t>
      </w:r>
      <w:r w:rsidR="00F50EA7">
        <w:rPr>
          <w:lang w:val="es-CO" w:eastAsia="es-CO"/>
        </w:rPr>
        <w:t xml:space="preserve"> y m</w:t>
      </w:r>
      <w:r w:rsidRPr="00776C41">
        <w:rPr>
          <w:lang w:val="es-CO" w:eastAsia="es-CO"/>
        </w:rPr>
        <w:t>ejorar las condiciones del trabajo para favorecer la salud y la seguridad de los trabajadores.</w:t>
      </w:r>
      <w:r w:rsidR="00F50EA7">
        <w:rPr>
          <w:lang w:val="es-CO" w:eastAsia="es-CO"/>
        </w:rPr>
        <w:t xml:space="preserve"> En resumen, la salud ocupacional tiene como objetivos:</w:t>
      </w:r>
    </w:p>
    <w:p w14:paraId="12614D3F" w14:textId="0AD576A2" w:rsidR="00610074" w:rsidRPr="00F50EA7" w:rsidRDefault="00F50EA7" w:rsidP="00F50EA7">
      <w:pPr>
        <w:pStyle w:val="bulletitem"/>
        <w:rPr>
          <w:lang w:val="es-CO" w:eastAsia="es-CO"/>
        </w:rPr>
      </w:pPr>
      <w:r w:rsidRPr="00F50EA7">
        <w:rPr>
          <w:lang w:val="es-CO"/>
        </w:rPr>
        <w:t>Prevenir</w:t>
      </w:r>
      <w:r w:rsidR="00610074" w:rsidRPr="00F50EA7">
        <w:rPr>
          <w:lang w:val="es-CO"/>
        </w:rPr>
        <w:t xml:space="preserve"> y </w:t>
      </w:r>
      <w:r w:rsidRPr="00F50EA7">
        <w:rPr>
          <w:lang w:val="es-CO"/>
        </w:rPr>
        <w:t xml:space="preserve">dar </w:t>
      </w:r>
      <w:r w:rsidR="00610074" w:rsidRPr="00F50EA7">
        <w:rPr>
          <w:lang w:val="es-CO"/>
        </w:rPr>
        <w:t>manejo de enfermedades ocupacionales, accidentes (</w:t>
      </w:r>
      <w:r w:rsidRPr="00F50EA7">
        <w:rPr>
          <w:lang w:val="es-CO"/>
        </w:rPr>
        <w:t>a</w:t>
      </w:r>
      <w:r w:rsidR="00610074" w:rsidRPr="00F50EA7">
        <w:rPr>
          <w:lang w:val="es-CO"/>
        </w:rPr>
        <w:t>ccidentes de trabajo) y discapacidades y a la eliminación de factores y condiciones ocupacionales peligrosos para la salud y la seguridad en el trabajo</w:t>
      </w:r>
      <w:r w:rsidRPr="00F50EA7">
        <w:rPr>
          <w:lang w:val="es-CO"/>
        </w:rPr>
        <w:t>.</w:t>
      </w:r>
    </w:p>
    <w:p w14:paraId="003161B0" w14:textId="77777777" w:rsidR="00F50EA7" w:rsidRDefault="00F50EA7" w:rsidP="00F50EA7">
      <w:pPr>
        <w:pStyle w:val="bulletitem"/>
        <w:rPr>
          <w:lang w:val="es-CO"/>
        </w:rPr>
      </w:pPr>
      <w:r w:rsidRPr="00F50EA7">
        <w:rPr>
          <w:lang w:val="es-CO"/>
        </w:rPr>
        <w:t>D</w:t>
      </w:r>
      <w:r w:rsidR="00610074" w:rsidRPr="00F50EA7">
        <w:rPr>
          <w:lang w:val="es-CO"/>
        </w:rPr>
        <w:t>esarroll</w:t>
      </w:r>
      <w:r w:rsidRPr="00F50EA7">
        <w:rPr>
          <w:lang w:val="es-CO"/>
        </w:rPr>
        <w:t>ar</w:t>
      </w:r>
      <w:r w:rsidR="00610074" w:rsidRPr="00F50EA7">
        <w:rPr>
          <w:lang w:val="es-CO"/>
        </w:rPr>
        <w:t xml:space="preserve"> y promoci</w:t>
      </w:r>
      <w:r w:rsidRPr="00F50EA7">
        <w:rPr>
          <w:lang w:val="es-CO"/>
        </w:rPr>
        <w:t>onar</w:t>
      </w:r>
      <w:r w:rsidR="00610074" w:rsidRPr="00F50EA7">
        <w:rPr>
          <w:lang w:val="es-CO"/>
        </w:rPr>
        <w:t xml:space="preserve"> </w:t>
      </w:r>
      <w:r w:rsidRPr="00F50EA7">
        <w:rPr>
          <w:lang w:val="es-CO"/>
        </w:rPr>
        <w:t>el</w:t>
      </w:r>
      <w:r w:rsidR="00610074" w:rsidRPr="00F50EA7">
        <w:rPr>
          <w:lang w:val="es-CO"/>
        </w:rPr>
        <w:t xml:space="preserve"> trabajo saludable y seguro, entornos de trabajo y organizaciones de trabajo; la mejora del bienestar físico, mental y social de los trabajadores y el desarrollo social en el trabajo y la productividad de los trabajadores</w:t>
      </w:r>
      <w:r w:rsidRPr="00F50EA7">
        <w:rPr>
          <w:lang w:val="es-CO"/>
        </w:rPr>
        <w:t>.</w:t>
      </w:r>
    </w:p>
    <w:p w14:paraId="3F4666E6" w14:textId="77777777" w:rsidR="00F50EA7" w:rsidRDefault="00F50EA7" w:rsidP="00F50EA7">
      <w:pPr>
        <w:pStyle w:val="bulletitem"/>
        <w:rPr>
          <w:lang w:val="es-CO"/>
        </w:rPr>
      </w:pPr>
      <w:r w:rsidRPr="00F50EA7">
        <w:rPr>
          <w:lang w:val="es-CO"/>
        </w:rPr>
        <w:t>Habilitar a los</w:t>
      </w:r>
      <w:r w:rsidR="00610074" w:rsidRPr="00F50EA7">
        <w:rPr>
          <w:lang w:val="es-CO"/>
        </w:rPr>
        <w:t xml:space="preserve"> trabajadores </w:t>
      </w:r>
      <w:r w:rsidRPr="00F50EA7">
        <w:rPr>
          <w:lang w:val="es-CO"/>
        </w:rPr>
        <w:t xml:space="preserve">la posibilidad de </w:t>
      </w:r>
      <w:r w:rsidR="00610074" w:rsidRPr="00F50EA7">
        <w:rPr>
          <w:lang w:val="es-CO"/>
        </w:rPr>
        <w:t xml:space="preserve">llevar vidas social y económicamente productivas y contribuir positivamente al desarrollo sostenible (OMS 1995). </w:t>
      </w:r>
    </w:p>
    <w:p w14:paraId="70C6AC41" w14:textId="002291E4" w:rsidR="006C1E04" w:rsidRPr="006C621B" w:rsidRDefault="007B0BAF" w:rsidP="00B32F91">
      <w:pPr>
        <w:pStyle w:val="heading1"/>
        <w:rPr>
          <w:lang w:val="es-CO"/>
        </w:rPr>
      </w:pPr>
      <w:r>
        <w:rPr>
          <w:lang w:val="es-CO"/>
        </w:rPr>
        <w:t>R</w:t>
      </w:r>
      <w:r w:rsidRPr="007B0BAF">
        <w:rPr>
          <w:lang w:val="es-CO"/>
        </w:rPr>
        <w:t>iesgo O</w:t>
      </w:r>
      <w:r>
        <w:rPr>
          <w:lang w:val="es-CO"/>
        </w:rPr>
        <w:t>cupacional (RO)</w:t>
      </w:r>
    </w:p>
    <w:p w14:paraId="423BDD8B" w14:textId="13B4A148" w:rsidR="00853550" w:rsidRPr="00853550" w:rsidRDefault="00853550" w:rsidP="00853550">
      <w:pPr>
        <w:pStyle w:val="p1a"/>
        <w:rPr>
          <w:rFonts w:eastAsiaTheme="minorEastAsia"/>
          <w:lang w:val="es-ES"/>
        </w:rPr>
      </w:pPr>
      <w:r w:rsidRPr="00853550">
        <w:rPr>
          <w:rFonts w:eastAsiaTheme="minorEastAsia"/>
          <w:lang w:val="es-ES"/>
        </w:rPr>
        <w:t xml:space="preserve">Existen situaciones en el entorno laboral, que pueden influir sobre la salud de las personas. A estas situaciones, se les conoce como factores de riesgo ocupacional y son definidas como las posibles causas que pueden ser responsables de una enfermedad, lesión o daño, como consecuencia de la actividad que se realiza o el medio en el cual se permanece durante el desempeño de la actividad </w:t>
      </w:r>
      <w:r w:rsidRPr="00853550">
        <w:rPr>
          <w:rFonts w:eastAsiaTheme="minorEastAsia"/>
          <w:lang w:val="es-ES"/>
        </w:rPr>
        <w:fldChar w:fldCharType="begin"/>
      </w:r>
      <w:r w:rsidR="00756D6C">
        <w:rPr>
          <w:rFonts w:eastAsiaTheme="minorEastAsia"/>
          <w:lang w:val="es-ES"/>
        </w:rPr>
        <w:instrText>ADDIN RW.CITE{{doc:5cb92c0ee4b07e8173da571a GeorgeKazantzis 2019; doc:5cb924e4e4b0113209a893d9 Rodríguez,Mariela 2009; doc:5cb92e94e4b0a110ffbeeef8 Ministeriodelaprotecciónsocial 2008}}</w:instrText>
      </w:r>
      <w:r w:rsidRPr="00853550">
        <w:rPr>
          <w:rFonts w:eastAsiaTheme="minorEastAsia"/>
          <w:lang w:val="es-ES"/>
        </w:rPr>
        <w:fldChar w:fldCharType="separate"/>
      </w:r>
      <w:r w:rsidR="00CC5EC7" w:rsidRPr="00CC5EC7">
        <w:rPr>
          <w:rFonts w:eastAsiaTheme="minorEastAsia"/>
          <w:lang w:val="es-ES"/>
        </w:rPr>
        <w:t>[11]-[13]</w:t>
      </w:r>
      <w:r w:rsidRPr="00853550">
        <w:rPr>
          <w:rFonts w:eastAsiaTheme="minorEastAsia"/>
          <w:lang w:val="es-ES"/>
        </w:rPr>
        <w:fldChar w:fldCharType="end"/>
      </w:r>
      <w:r w:rsidRPr="00853550">
        <w:rPr>
          <w:rFonts w:eastAsiaTheme="minorEastAsia"/>
          <w:lang w:val="es-ES"/>
        </w:rPr>
        <w:t xml:space="preserve">. </w:t>
      </w:r>
    </w:p>
    <w:p w14:paraId="06D20B66" w14:textId="313D9F79" w:rsidR="007B0BAF" w:rsidRPr="007B0BAF" w:rsidRDefault="007B0BAF" w:rsidP="007B0BAF">
      <w:pPr>
        <w:pStyle w:val="heading2"/>
        <w:rPr>
          <w:lang w:val="es-CO"/>
        </w:rPr>
      </w:pPr>
      <w:r>
        <w:rPr>
          <w:lang w:val="es-CO"/>
        </w:rPr>
        <w:t>Tipos de FRO</w:t>
      </w:r>
    </w:p>
    <w:p w14:paraId="68FB59FE" w14:textId="123B6DEB" w:rsidR="00853550" w:rsidRDefault="00E16812" w:rsidP="00E16812">
      <w:pPr>
        <w:pStyle w:val="HTMLconformatoprevio"/>
        <w:jc w:val="both"/>
        <w:rPr>
          <w:rFonts w:asciiTheme="minorHAnsi" w:eastAsiaTheme="minorEastAsia" w:hAnsiTheme="minorHAnsi" w:cstheme="minorBidi"/>
          <w:lang w:val="es-ES" w:eastAsia="en-US"/>
        </w:rPr>
      </w:pPr>
      <w:r w:rsidRPr="007104D6">
        <w:rPr>
          <w:rFonts w:asciiTheme="minorHAnsi" w:eastAsiaTheme="minorEastAsia" w:hAnsiTheme="minorHAnsi" w:cstheme="minorBidi"/>
          <w:lang w:val="es-ES" w:eastAsia="en-US"/>
        </w:rPr>
        <w:t>Dentro del contexto</w:t>
      </w:r>
      <w:r w:rsidR="00260DE1">
        <w:rPr>
          <w:rFonts w:asciiTheme="minorHAnsi" w:eastAsiaTheme="minorEastAsia" w:hAnsiTheme="minorHAnsi" w:cstheme="minorBidi"/>
          <w:lang w:val="es-ES" w:eastAsia="en-US"/>
        </w:rPr>
        <w:t xml:space="preserve"> de los factores de riesgo ocupacional </w:t>
      </w:r>
      <w:r w:rsidRPr="007104D6">
        <w:rPr>
          <w:rFonts w:asciiTheme="minorHAnsi" w:eastAsiaTheme="minorEastAsia" w:hAnsiTheme="minorHAnsi" w:cstheme="minorBidi"/>
          <w:lang w:val="es-ES" w:eastAsia="en-US"/>
        </w:rPr>
        <w:t xml:space="preserve"> menciona</w:t>
      </w:r>
      <w:r w:rsidR="00260DE1">
        <w:rPr>
          <w:rFonts w:asciiTheme="minorHAnsi" w:eastAsiaTheme="minorEastAsia" w:hAnsiTheme="minorHAnsi" w:cstheme="minorBidi"/>
          <w:lang w:val="es-ES" w:eastAsia="en-US"/>
        </w:rPr>
        <w:t>do, se pueden encontrar algunas variantes que pueden ser inherentes de forma individual o en conjunto en un entorno laboral. Es importante aclarar que los entornos pueden ser externos, cuando se trabaja a la intemperie y los internos cuando se trabaja en recintos cerrados. Sin embargo, los tipos de riesgos más comunes para ambos casos son los siguientes:</w:t>
      </w:r>
    </w:p>
    <w:p w14:paraId="50D6D9CF" w14:textId="6443AF7E" w:rsidR="00E16812" w:rsidRPr="00756D6C" w:rsidRDefault="00853550" w:rsidP="00756D6C">
      <w:pPr>
        <w:pStyle w:val="Ttulo3"/>
        <w:rPr>
          <w:rFonts w:eastAsiaTheme="minorEastAsia"/>
          <w:b/>
          <w:lang w:val="es-CO"/>
        </w:rPr>
      </w:pPr>
      <w:r w:rsidRPr="00756D6C">
        <w:rPr>
          <w:rStyle w:val="heading3"/>
          <w:rFonts w:eastAsiaTheme="minorEastAsia"/>
          <w:lang w:val="es-CO"/>
        </w:rPr>
        <w:lastRenderedPageBreak/>
        <w:t>Riesgos</w:t>
      </w:r>
      <w:r w:rsidR="00756D6C" w:rsidRPr="00756D6C">
        <w:rPr>
          <w:rStyle w:val="heading3"/>
          <w:rFonts w:eastAsiaTheme="minorEastAsia"/>
          <w:lang w:val="es-CO"/>
        </w:rPr>
        <w:t xml:space="preserve"> de tipo</w:t>
      </w:r>
      <w:r w:rsidR="00E16812" w:rsidRPr="00756D6C">
        <w:rPr>
          <w:rStyle w:val="heading3"/>
          <w:rFonts w:eastAsiaTheme="minorEastAsia"/>
          <w:lang w:val="es-CO"/>
        </w:rPr>
        <w:t xml:space="preserve"> físico</w:t>
      </w:r>
      <w:r w:rsidR="00756D6C" w:rsidRPr="00756D6C">
        <w:rPr>
          <w:rStyle w:val="heading3"/>
          <w:rFonts w:eastAsiaTheme="minorEastAsia"/>
          <w:lang w:val="es-CO"/>
        </w:rPr>
        <w:t>:</w:t>
      </w:r>
      <w:r w:rsidR="00756D6C">
        <w:rPr>
          <w:rStyle w:val="heading3"/>
          <w:rFonts w:eastAsiaTheme="minorEastAsia"/>
          <w:lang w:val="es-CO"/>
        </w:rPr>
        <w:t xml:space="preserve"> </w:t>
      </w:r>
      <w:r w:rsidR="00260DE1">
        <w:rPr>
          <w:rFonts w:asciiTheme="minorHAnsi" w:eastAsiaTheme="minorEastAsia" w:hAnsiTheme="minorHAnsi" w:cstheme="minorBidi"/>
          <w:lang w:val="es-ES"/>
        </w:rPr>
        <w:t>Por su traducción del inglés (</w:t>
      </w:r>
      <w:proofErr w:type="spellStart"/>
      <w:r w:rsidR="00260DE1">
        <w:rPr>
          <w:rFonts w:asciiTheme="minorHAnsi" w:eastAsiaTheme="minorEastAsia" w:hAnsiTheme="minorHAnsi" w:cstheme="minorBidi"/>
          <w:lang w:val="es-ES"/>
        </w:rPr>
        <w:t>physical</w:t>
      </w:r>
      <w:proofErr w:type="spellEnd"/>
      <w:r w:rsidR="00260DE1">
        <w:rPr>
          <w:rFonts w:asciiTheme="minorHAnsi" w:eastAsiaTheme="minorEastAsia" w:hAnsiTheme="minorHAnsi" w:cstheme="minorBidi"/>
          <w:lang w:val="es-ES"/>
        </w:rPr>
        <w:t xml:space="preserve"> </w:t>
      </w:r>
      <w:proofErr w:type="spellStart"/>
      <w:r w:rsidR="00260DE1">
        <w:rPr>
          <w:rFonts w:asciiTheme="minorHAnsi" w:eastAsiaTheme="minorEastAsia" w:hAnsiTheme="minorHAnsi" w:cstheme="minorBidi"/>
          <w:lang w:val="es-ES"/>
        </w:rPr>
        <w:t>risk</w:t>
      </w:r>
      <w:proofErr w:type="spellEnd"/>
      <w:r w:rsidR="00260DE1">
        <w:rPr>
          <w:rFonts w:asciiTheme="minorHAnsi" w:eastAsiaTheme="minorEastAsia" w:hAnsiTheme="minorHAnsi" w:cstheme="minorBidi"/>
          <w:lang w:val="es-ES"/>
        </w:rPr>
        <w:t>) podría confundirse con los riesgos relacionados con el estado físico de las personas. No obstante, este tipo de riesgos hacen referencia a aspectos del entorno en el cual se efectúan las labores y algunos autores lo denominan riesgos de sitio de trabajo de  las palabras en inglés (</w:t>
      </w:r>
      <w:proofErr w:type="spellStart"/>
      <w:r w:rsidR="00260DE1">
        <w:rPr>
          <w:rFonts w:asciiTheme="minorHAnsi" w:eastAsiaTheme="minorEastAsia" w:hAnsiTheme="minorHAnsi" w:cstheme="minorBidi"/>
          <w:lang w:val="es-ES"/>
        </w:rPr>
        <w:t>workplace</w:t>
      </w:r>
      <w:proofErr w:type="spellEnd"/>
      <w:r w:rsidR="00260DE1">
        <w:rPr>
          <w:rFonts w:asciiTheme="minorHAnsi" w:eastAsiaTheme="minorEastAsia" w:hAnsiTheme="minorHAnsi" w:cstheme="minorBidi"/>
          <w:lang w:val="es-ES"/>
        </w:rPr>
        <w:t xml:space="preserve"> </w:t>
      </w:r>
      <w:proofErr w:type="spellStart"/>
      <w:r w:rsidR="00260DE1">
        <w:rPr>
          <w:rFonts w:asciiTheme="minorHAnsi" w:eastAsiaTheme="minorEastAsia" w:hAnsiTheme="minorHAnsi" w:cstheme="minorBidi"/>
          <w:lang w:val="es-ES"/>
        </w:rPr>
        <w:t>risk</w:t>
      </w:r>
      <w:proofErr w:type="spellEnd"/>
      <w:r w:rsidR="00260DE1">
        <w:rPr>
          <w:rFonts w:asciiTheme="minorHAnsi" w:eastAsiaTheme="minorEastAsia" w:hAnsiTheme="minorHAnsi" w:cstheme="minorBidi"/>
          <w:lang w:val="es-ES"/>
        </w:rPr>
        <w:t xml:space="preserve">). Entre los aspectos más significativos se encuentran </w:t>
      </w:r>
      <w:r w:rsidR="00E16812" w:rsidRPr="007104D6">
        <w:rPr>
          <w:rFonts w:asciiTheme="minorHAnsi" w:eastAsiaTheme="minorEastAsia" w:hAnsiTheme="minorHAnsi" w:cstheme="minorBidi"/>
          <w:lang w:val="es-ES"/>
        </w:rPr>
        <w:t>el ruido, la iluminación o la temperatura del entorno</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756D6C">
        <w:rPr>
          <w:rFonts w:asciiTheme="minorHAnsi" w:eastAsiaTheme="minorEastAsia" w:hAnsiTheme="minorHAnsi" w:cstheme="minorBidi"/>
          <w:lang w:val="es-ES"/>
        </w:rPr>
        <w:instrText>ADDIN RW.CITE{{doc:5cbb0d02e4b0fd29d1c55a6d RaúlMirza 2018; doc:5cbb14d1e4b07e8173da7c10 Nielsen,HelenaB 2018; doc:5cbb14d1e4b0383a7d2e9dcb Malkin,Robert 2005}}</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[14]-[16]</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p>
    <w:p w14:paraId="7CA1626B" w14:textId="70DB2B24" w:rsidR="00E16812" w:rsidRPr="00756D6C" w:rsidRDefault="00756D6C" w:rsidP="00756D6C">
      <w:pPr>
        <w:pStyle w:val="Ttulo3"/>
        <w:rPr>
          <w:rFonts w:eastAsiaTheme="minorEastAsia"/>
          <w:b/>
          <w:lang w:val="es-CO"/>
        </w:rPr>
      </w:pPr>
      <w:r w:rsidRPr="00756D6C">
        <w:rPr>
          <w:rStyle w:val="heading3"/>
          <w:rFonts w:eastAsiaTheme="minorEastAsia"/>
          <w:lang w:val="es-CO"/>
        </w:rPr>
        <w:t>R</w:t>
      </w:r>
      <w:r w:rsidR="00E16812" w:rsidRPr="00756D6C">
        <w:rPr>
          <w:rStyle w:val="heading3"/>
          <w:rFonts w:eastAsiaTheme="minorEastAsia"/>
          <w:lang w:val="es-CO"/>
        </w:rPr>
        <w:t>iesgos de tipo químico</w:t>
      </w:r>
      <w:r w:rsidRPr="00756D6C">
        <w:rPr>
          <w:rStyle w:val="heading3"/>
          <w:rFonts w:eastAsiaTheme="minorEastAsia"/>
          <w:lang w:val="es-CO"/>
        </w:rPr>
        <w:t>:</w:t>
      </w:r>
      <w:r>
        <w:rPr>
          <w:rStyle w:val="heading3"/>
          <w:rFonts w:eastAsiaTheme="minorEastAsia"/>
          <w:lang w:val="es-CO"/>
        </w:rPr>
        <w:t xml:space="preserve"> </w:t>
      </w:r>
      <w:r w:rsidR="00260DE1">
        <w:rPr>
          <w:rFonts w:asciiTheme="minorHAnsi" w:eastAsiaTheme="minorEastAsia" w:hAnsiTheme="minorHAnsi" w:cstheme="minorBidi"/>
          <w:lang w:val="es-CO"/>
        </w:rPr>
        <w:t>Aún si es característico de los entornos industriales</w:t>
      </w:r>
      <w:r w:rsidR="001305F7">
        <w:rPr>
          <w:rFonts w:asciiTheme="minorHAnsi" w:eastAsiaTheme="minorEastAsia" w:hAnsiTheme="minorHAnsi" w:cstheme="minorBidi"/>
          <w:lang w:val="es-CO"/>
        </w:rPr>
        <w:t>, cualquier entorno laboral</w:t>
      </w:r>
      <w:r w:rsidR="00260DE1">
        <w:rPr>
          <w:rFonts w:asciiTheme="minorHAnsi" w:eastAsiaTheme="minorEastAsia" w:hAnsiTheme="minorHAnsi" w:cstheme="minorBidi"/>
          <w:lang w:val="es-CO"/>
        </w:rPr>
        <w:t xml:space="preserve"> en los que</w:t>
      </w:r>
      <w:r w:rsidR="001305F7">
        <w:rPr>
          <w:rFonts w:asciiTheme="minorHAnsi" w:eastAsiaTheme="minorEastAsia" w:hAnsiTheme="minorHAnsi" w:cstheme="minorBidi"/>
          <w:lang w:val="es-CO"/>
        </w:rPr>
        <w:t xml:space="preserve"> los trabajadores</w:t>
      </w:r>
      <w:r w:rsidR="00260DE1">
        <w:rPr>
          <w:rFonts w:asciiTheme="minorHAnsi" w:eastAsiaTheme="minorEastAsia" w:hAnsiTheme="minorHAnsi" w:cstheme="minorBidi"/>
          <w:lang w:val="es-CO"/>
        </w:rPr>
        <w:t xml:space="preserve"> pueda</w:t>
      </w:r>
      <w:r w:rsidR="001305F7">
        <w:rPr>
          <w:rFonts w:asciiTheme="minorHAnsi" w:eastAsiaTheme="minorEastAsia" w:hAnsiTheme="minorHAnsi" w:cstheme="minorBidi"/>
          <w:lang w:val="es-CO"/>
        </w:rPr>
        <w:t>n</w:t>
      </w:r>
      <w:r w:rsidR="00260DE1">
        <w:rPr>
          <w:rFonts w:asciiTheme="minorHAnsi" w:eastAsiaTheme="minorEastAsia" w:hAnsiTheme="minorHAnsi" w:cstheme="minorBidi"/>
          <w:lang w:val="es-CO"/>
        </w:rPr>
        <w:t xml:space="preserve"> tener contacto con polvo,  gases  o </w:t>
      </w:r>
      <w:r w:rsidR="00260DE1">
        <w:rPr>
          <w:rFonts w:asciiTheme="minorHAnsi" w:eastAsiaTheme="minorEastAsia" w:hAnsiTheme="minorHAnsi" w:cstheme="minorBidi"/>
          <w:lang w:val="es-ES"/>
        </w:rPr>
        <w:t>produc</w:t>
      </w:r>
      <w:r w:rsidR="00E16812" w:rsidRPr="007104D6">
        <w:rPr>
          <w:rFonts w:asciiTheme="minorHAnsi" w:eastAsiaTheme="minorEastAsia" w:hAnsiTheme="minorHAnsi" w:cstheme="minorBidi"/>
          <w:lang w:val="es-ES"/>
        </w:rPr>
        <w:t>tos abrasivos</w:t>
      </w:r>
      <w:r w:rsidR="001305F7">
        <w:rPr>
          <w:rFonts w:asciiTheme="minorHAnsi" w:eastAsiaTheme="minorEastAsia" w:hAnsiTheme="minorHAnsi" w:cstheme="minorBidi"/>
          <w:lang w:val="es-ES"/>
        </w:rPr>
        <w:t>,</w:t>
      </w:r>
      <w:r w:rsidR="00260DE1">
        <w:rPr>
          <w:rFonts w:asciiTheme="minorHAnsi" w:eastAsiaTheme="minorEastAsia" w:hAnsiTheme="minorHAnsi" w:cstheme="minorBidi"/>
          <w:lang w:val="es-ES"/>
        </w:rPr>
        <w:t xml:space="preserve"> se deben</w:t>
      </w:r>
      <w:r w:rsidR="001305F7">
        <w:rPr>
          <w:rFonts w:asciiTheme="minorHAnsi" w:eastAsiaTheme="minorEastAsia" w:hAnsiTheme="minorHAnsi" w:cstheme="minorBidi"/>
          <w:lang w:val="es-ES"/>
        </w:rPr>
        <w:t xml:space="preserve"> considerar</w:t>
      </w:r>
      <w:r w:rsidR="00260DE1">
        <w:rPr>
          <w:rFonts w:asciiTheme="minorHAnsi" w:eastAsiaTheme="minorEastAsia" w:hAnsiTheme="minorHAnsi" w:cstheme="minorBidi"/>
          <w:lang w:val="es-ES"/>
        </w:rPr>
        <w:t xml:space="preserve"> riesgos de tipo químico</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RW.CITE{{doc:5cbb17d5e4b04c969d296832 Landberg,HannaE 2018; doc:5cbb17d5e4b05d27abf32d54 Shin,Saemi 2014; doc:5cbb1869e4b0383a7d2e9e7b Tjoe-Nij,Evelyn 2018}}</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[17]-[19]</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74726AFE" w14:textId="286A946E" w:rsidR="00E16812" w:rsidRPr="00756D6C" w:rsidRDefault="00756D6C" w:rsidP="00756D6C">
      <w:pPr>
        <w:pStyle w:val="Ttulo3"/>
        <w:rPr>
          <w:rFonts w:eastAsiaTheme="minorEastAsia"/>
          <w:b/>
          <w:lang w:val="es-CO"/>
        </w:rPr>
      </w:pPr>
      <w:r w:rsidRPr="00756D6C">
        <w:rPr>
          <w:rStyle w:val="heading3"/>
          <w:rFonts w:eastAsiaTheme="minorEastAsia"/>
          <w:lang w:val="es-CO"/>
        </w:rPr>
        <w:t>R</w:t>
      </w:r>
      <w:r w:rsidR="00E16812" w:rsidRPr="00756D6C">
        <w:rPr>
          <w:rStyle w:val="heading3"/>
          <w:rFonts w:eastAsiaTheme="minorEastAsia"/>
          <w:lang w:val="es-CO"/>
        </w:rPr>
        <w:t>iesgos de tipo biológico</w:t>
      </w:r>
      <w:r>
        <w:rPr>
          <w:rStyle w:val="heading3"/>
          <w:rFonts w:eastAsiaTheme="minorEastAsia"/>
          <w:lang w:val="es-CO"/>
        </w:rPr>
        <w:t xml:space="preserve">: </w:t>
      </w:r>
      <w:r w:rsidR="001305F7">
        <w:rPr>
          <w:rFonts w:asciiTheme="minorHAnsi" w:eastAsiaTheme="minorEastAsia" w:hAnsiTheme="minorHAnsi" w:cstheme="minorBidi"/>
          <w:lang w:val="es-ES"/>
        </w:rPr>
        <w:t>El riesgo de tipo biológico i</w:t>
      </w:r>
      <w:r w:rsidR="00E16812" w:rsidRPr="007104D6">
        <w:rPr>
          <w:rFonts w:asciiTheme="minorHAnsi" w:eastAsiaTheme="minorEastAsia" w:hAnsiTheme="minorHAnsi" w:cstheme="minorBidi"/>
          <w:lang w:val="es-ES"/>
        </w:rPr>
        <w:t>mplica el cont</w:t>
      </w:r>
      <w:r w:rsidR="001305F7">
        <w:rPr>
          <w:rFonts w:asciiTheme="minorHAnsi" w:eastAsiaTheme="minorEastAsia" w:hAnsiTheme="minorHAnsi" w:cstheme="minorBidi"/>
          <w:lang w:val="es-ES"/>
        </w:rPr>
        <w:t>acto con seres vivos como</w:t>
      </w:r>
      <w:r w:rsidR="00E16812" w:rsidRPr="007104D6">
        <w:rPr>
          <w:rFonts w:asciiTheme="minorHAnsi" w:eastAsiaTheme="minorEastAsia" w:hAnsiTheme="minorHAnsi" w:cstheme="minorBidi"/>
          <w:lang w:val="es-ES"/>
        </w:rPr>
        <w:t xml:space="preserve"> hongos, bacterias o virus</w:t>
      </w:r>
      <w:r w:rsidR="001305F7">
        <w:rPr>
          <w:rFonts w:asciiTheme="minorHAnsi" w:eastAsiaTheme="minorEastAsia" w:hAnsiTheme="minorHAnsi" w:cstheme="minorBidi"/>
          <w:lang w:val="es-ES"/>
        </w:rPr>
        <w:t>, particularmente por la interacción con personas que puedan tener alguna enfermedad infecciones, animales o plantas que puedan ser portadores de algún organismo nocivo</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B37882">
        <w:rPr>
          <w:rFonts w:asciiTheme="minorHAnsi" w:eastAsiaTheme="minorEastAsia" w:hAnsiTheme="minorHAnsi" w:cstheme="minorBidi"/>
          <w:lang w:val="es-ES"/>
        </w:rPr>
        <w:instrText>ADDIN RW.CITE{{doc:5cbb1fabe4b0fd29d1c55d15 CORRAO,CarmelaRomanaNatalina 2012; doc:5cbb1faae4b0383a7d2ea090 MORIKAWA,Yuko 2012; doc:5cbb1fa7e4b04c969d29687d SCARSELLI,Alberto 2010}}</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[20]-[22]</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3F233165" w14:textId="22DFE7A0" w:rsidR="00E16812" w:rsidRPr="00223DF4" w:rsidRDefault="00756D6C"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mecánico</w:t>
      </w:r>
      <w:r w:rsidR="00223DF4">
        <w:rPr>
          <w:rStyle w:val="heading3"/>
          <w:rFonts w:eastAsiaTheme="minorEastAsia"/>
          <w:lang w:val="es-CO"/>
        </w:rPr>
        <w:t xml:space="preserve">: </w:t>
      </w:r>
      <w:r w:rsidR="00223DF4">
        <w:rPr>
          <w:rFonts w:asciiTheme="minorHAnsi" w:eastAsiaTheme="minorEastAsia" w:hAnsiTheme="minorHAnsi" w:cstheme="minorBidi"/>
          <w:lang w:val="es-ES"/>
        </w:rPr>
        <w:t>E</w:t>
      </w:r>
      <w:r w:rsidR="001305F7">
        <w:rPr>
          <w:rFonts w:asciiTheme="minorHAnsi" w:eastAsiaTheme="minorEastAsia" w:hAnsiTheme="minorHAnsi" w:cstheme="minorBidi"/>
          <w:lang w:val="es-ES"/>
        </w:rPr>
        <w:t>l riesgo de tipo m</w:t>
      </w:r>
      <w:r w:rsidR="00D70FD4">
        <w:rPr>
          <w:rFonts w:asciiTheme="minorHAnsi" w:eastAsiaTheme="minorEastAsia" w:hAnsiTheme="minorHAnsi" w:cstheme="minorBidi"/>
          <w:lang w:val="es-ES"/>
        </w:rPr>
        <w:t>ecá</w:t>
      </w:r>
      <w:r w:rsidR="001305F7">
        <w:rPr>
          <w:rFonts w:asciiTheme="minorHAnsi" w:eastAsiaTheme="minorEastAsia" w:hAnsiTheme="minorHAnsi" w:cstheme="minorBidi"/>
          <w:lang w:val="es-ES"/>
        </w:rPr>
        <w:t>nico puede estar asociado a algún aspecto del entorno laboral. Generalmente se presenta por</w:t>
      </w:r>
      <w:r w:rsidR="00E16812" w:rsidRPr="007104D6">
        <w:rPr>
          <w:rFonts w:asciiTheme="minorHAnsi" w:eastAsiaTheme="minorEastAsia" w:hAnsiTheme="minorHAnsi" w:cstheme="minorBidi"/>
          <w:lang w:val="es-ES"/>
        </w:rPr>
        <w:t xml:space="preserve"> el uso de maquinaria </w:t>
      </w:r>
      <w:r w:rsidR="001305F7">
        <w:rPr>
          <w:rFonts w:asciiTheme="minorHAnsi" w:eastAsiaTheme="minorEastAsia" w:hAnsiTheme="minorHAnsi" w:cstheme="minorBidi"/>
          <w:lang w:val="es-ES"/>
        </w:rPr>
        <w:t xml:space="preserve">pesada </w:t>
      </w:r>
      <w:r w:rsidR="00E16812" w:rsidRPr="007104D6">
        <w:rPr>
          <w:rFonts w:asciiTheme="minorHAnsi" w:eastAsiaTheme="minorEastAsia" w:hAnsiTheme="minorHAnsi" w:cstheme="minorBidi"/>
          <w:lang w:val="es-ES"/>
        </w:rPr>
        <w:t>o el desarrollo de una actividad</w:t>
      </w:r>
      <w:r w:rsidR="00E16812">
        <w:rPr>
          <w:rFonts w:asciiTheme="minorHAnsi" w:eastAsiaTheme="minorEastAsia" w:hAnsiTheme="minorHAnsi" w:cstheme="minorBidi"/>
          <w:lang w:val="es-ES"/>
        </w:rPr>
        <w:t>,</w:t>
      </w:r>
      <w:r w:rsidR="001305F7">
        <w:rPr>
          <w:rFonts w:asciiTheme="minorHAnsi" w:eastAsiaTheme="minorEastAsia" w:hAnsiTheme="minorHAnsi" w:cstheme="minorBidi"/>
          <w:lang w:val="es-ES"/>
        </w:rPr>
        <w:t xml:space="preserve"> en el que se</w:t>
      </w:r>
      <w:r w:rsidR="00E16812" w:rsidRPr="007104D6">
        <w:rPr>
          <w:rFonts w:asciiTheme="minorHAnsi" w:eastAsiaTheme="minorEastAsia" w:hAnsiTheme="minorHAnsi" w:cstheme="minorBidi"/>
          <w:lang w:val="es-ES"/>
        </w:rPr>
        <w:t xml:space="preserve"> está expuesto a efectos de vibración</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223DF4">
        <w:rPr>
          <w:rFonts w:asciiTheme="minorHAnsi" w:eastAsiaTheme="minorEastAsia" w:hAnsiTheme="minorHAnsi" w:cstheme="minorBidi"/>
          <w:lang w:val="es-ES"/>
        </w:rPr>
        <w:instrText>ADDIN RW.CITE{{doc:5cbb55f1e4b0fd29d1c5650a Nataletti,Pietro 2008; doc:5cbb55e4e4b0a110ffbf2d84 Palmer,KT 2003; doc:5cbb55e4e4b07b76618a00f6 Sundstrup,Emil 2017}}</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[23]-[25]</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w:t>
      </w:r>
    </w:p>
    <w:p w14:paraId="0BA44830" w14:textId="74FFD523" w:rsidR="00223DF4" w:rsidRPr="00223DF4" w:rsidRDefault="00223DF4"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ambiental</w:t>
      </w:r>
      <w:r>
        <w:rPr>
          <w:rStyle w:val="heading3"/>
          <w:rFonts w:eastAsiaTheme="minorEastAsia"/>
          <w:lang w:val="es-CO"/>
        </w:rPr>
        <w:t>:</w:t>
      </w:r>
      <w:r w:rsidR="001305F7">
        <w:rPr>
          <w:rFonts w:asciiTheme="minorHAnsi" w:eastAsiaTheme="minorEastAsia" w:hAnsiTheme="minorHAnsi" w:cstheme="minorBidi"/>
          <w:lang w:val="es-ES"/>
        </w:rPr>
        <w:t xml:space="preserve"> Los riesgos de tipo ambiental involucran los escenarios o labores</w:t>
      </w:r>
      <w:r w:rsidR="00E16812">
        <w:rPr>
          <w:rFonts w:asciiTheme="minorHAnsi" w:eastAsiaTheme="minorEastAsia" w:hAnsiTheme="minorHAnsi" w:cstheme="minorBidi"/>
          <w:lang w:val="es-ES"/>
        </w:rPr>
        <w:t>,</w:t>
      </w:r>
      <w:r w:rsidR="00E16812" w:rsidRPr="007104D6">
        <w:rPr>
          <w:rFonts w:asciiTheme="minorHAnsi" w:eastAsiaTheme="minorEastAsia" w:hAnsiTheme="minorHAnsi" w:cstheme="minorBidi"/>
          <w:lang w:val="es-ES"/>
        </w:rPr>
        <w:t xml:space="preserve"> donde existe una alta probabilidad de inundaciones, tormentas o contaminación</w:t>
      </w:r>
      <w:r w:rsidR="001305F7">
        <w:rPr>
          <w:rFonts w:asciiTheme="minorHAnsi" w:eastAsiaTheme="minorEastAsia" w:hAnsiTheme="minorHAnsi" w:cstheme="minorBidi"/>
          <w:lang w:val="es-ES"/>
        </w:rPr>
        <w:t xml:space="preserve"> del mismo ambiente. Este tipo de riesgos es representativo en los trabajos relacionados con energía nuclear o zonas de temperaturas extremas.</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Pr>
          <w:rFonts w:asciiTheme="minorHAnsi" w:eastAsiaTheme="minorEastAsia" w:hAnsiTheme="minorHAnsi" w:cstheme="minorBidi"/>
          <w:lang w:val="es-ES"/>
        </w:rPr>
        <w:instrText>ADDIN RW.CITE{{doc:5cbb4c61e4b0a584f9b697ea Marshall,ElizabethG. 2016; doc:5cbb4d5ce4b05d27abf331bd Anthonj,Carmen 2019; doc:5cbb4cc7e4b04373cde36d7c O.P.WÓJCIK 2013}}</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[26]-[28]</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p>
    <w:p w14:paraId="4987C62D" w14:textId="4A7DAD27" w:rsidR="00756D6C" w:rsidRPr="00223DF4" w:rsidRDefault="00223DF4" w:rsidP="00223DF4">
      <w:pPr>
        <w:pStyle w:val="Ttulo3"/>
        <w:rPr>
          <w:rFonts w:eastAsiaTheme="minorEastAsia"/>
          <w:b/>
          <w:lang w:val="es-CO"/>
        </w:rPr>
      </w:pPr>
      <w:r w:rsidRPr="00223DF4">
        <w:rPr>
          <w:rStyle w:val="heading3"/>
          <w:rFonts w:eastAsiaTheme="minorEastAsia"/>
          <w:lang w:val="es-CO"/>
        </w:rPr>
        <w:t>R</w:t>
      </w:r>
      <w:r w:rsidR="00E16812" w:rsidRPr="00223DF4">
        <w:rPr>
          <w:rStyle w:val="heading3"/>
          <w:rFonts w:eastAsiaTheme="minorEastAsia"/>
          <w:lang w:val="es-CO"/>
        </w:rPr>
        <w:t>iesgos de tipo psicosocial</w:t>
      </w:r>
      <w:r w:rsidRPr="00223DF4">
        <w:rPr>
          <w:rStyle w:val="heading3"/>
          <w:rFonts w:eastAsiaTheme="minorEastAsia"/>
          <w:lang w:val="es-CO"/>
        </w:rPr>
        <w:t>:</w:t>
      </w:r>
      <w:r>
        <w:rPr>
          <w:rStyle w:val="heading3"/>
          <w:rFonts w:eastAsiaTheme="minorEastAsia"/>
          <w:lang w:val="es-CO"/>
        </w:rPr>
        <w:t xml:space="preserve"> </w:t>
      </w:r>
      <w:r w:rsidR="001305F7">
        <w:rPr>
          <w:rFonts w:asciiTheme="minorHAnsi" w:eastAsiaTheme="minorEastAsia" w:hAnsiTheme="minorHAnsi" w:cstheme="minorBidi"/>
          <w:lang w:val="es-ES"/>
        </w:rPr>
        <w:t xml:space="preserve">Los riesgos de tipo psicológico y social son aquellos que ocurren en la ejecución normal de las actividades y que están relacionadas con la organización y la interacción entre los trabajadores y las condiciones que este pueda tener </w:t>
      </w:r>
      <w:r w:rsidR="00375468">
        <w:rPr>
          <w:rFonts w:asciiTheme="minorHAnsi" w:eastAsiaTheme="minorEastAsia" w:hAnsiTheme="minorHAnsi" w:cstheme="minorBidi"/>
          <w:lang w:val="es-ES"/>
        </w:rPr>
        <w:t>a nivel personal. Entre los más característicos se encuentran aspec</w:t>
      </w:r>
      <w:r w:rsidR="00E16812" w:rsidRPr="007104D6">
        <w:rPr>
          <w:rFonts w:asciiTheme="minorHAnsi" w:eastAsiaTheme="minorEastAsia" w:hAnsiTheme="minorHAnsi" w:cstheme="minorBidi"/>
          <w:lang w:val="es-ES"/>
        </w:rPr>
        <w:t>tos como el estrés, la monotonía y la fatiga laboral por el exceso de horas trabajadas</w:t>
      </w:r>
      <w:r w:rsidR="00E16812">
        <w:rPr>
          <w:rFonts w:asciiTheme="minorHAnsi" w:eastAsiaTheme="minorEastAsia" w:hAnsiTheme="minorHAnsi" w:cstheme="minorBidi"/>
          <w:lang w:val="es-ES"/>
        </w:rPr>
        <w:t xml:space="preserve"> </w:t>
      </w:r>
      <w:r w:rsidR="00E16812" w:rsidRPr="007104D6">
        <w:rPr>
          <w:rFonts w:asciiTheme="minorHAnsi" w:eastAsiaTheme="minorEastAsia" w:hAnsiTheme="minorHAnsi" w:cstheme="minorBidi"/>
          <w:lang w:val="es-ES"/>
        </w:rPr>
        <w:fldChar w:fldCharType="begin"/>
      </w:r>
      <w:r w:rsidR="00CE2E4B">
        <w:rPr>
          <w:rFonts w:asciiTheme="minorHAnsi" w:eastAsiaTheme="minorEastAsia" w:hAnsiTheme="minorHAnsi" w:cstheme="minorBidi"/>
          <w:lang w:val="es-ES"/>
        </w:rPr>
        <w:instrText>ADDIN RW.CITE{{doc:5cbb53abe4b04c969d296c62 Forastieri,Valentina 2013; doc:5cbb53a8e4b0383a7d2eb919 Rocha,KátiaBones 2014; doc:5ce0cfdfe4b09410f5d0a920 RaffoLecca,Eduardo 2014}}</w:instrText>
      </w:r>
      <w:r w:rsidR="00E16812" w:rsidRPr="007104D6">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[29]-[31]</w:t>
      </w:r>
      <w:r w:rsidR="00E16812" w:rsidRPr="007104D6">
        <w:rPr>
          <w:rFonts w:asciiTheme="minorHAnsi" w:eastAsiaTheme="minorEastAsia" w:hAnsiTheme="minorHAnsi" w:cstheme="minorBidi"/>
          <w:lang w:val="es-ES"/>
        </w:rPr>
        <w:fldChar w:fldCharType="end"/>
      </w:r>
      <w:r w:rsidR="00E16812" w:rsidRPr="007104D6">
        <w:rPr>
          <w:rFonts w:asciiTheme="minorHAnsi" w:eastAsiaTheme="minorEastAsia" w:hAnsiTheme="minorHAnsi" w:cstheme="minorBidi"/>
          <w:lang w:val="es-ES"/>
        </w:rPr>
        <w:t xml:space="preserve">. </w:t>
      </w:r>
      <w:r w:rsidR="00375468">
        <w:rPr>
          <w:rFonts w:asciiTheme="minorHAnsi" w:eastAsiaTheme="minorEastAsia" w:hAnsiTheme="minorHAnsi" w:cstheme="minorBidi"/>
          <w:lang w:val="es-ES"/>
        </w:rPr>
        <w:t>Estos riesgos serán abordados a profundidad en la siguiente sección.</w:t>
      </w:r>
    </w:p>
    <w:p w14:paraId="1AC74E60" w14:textId="2C135E50" w:rsidR="007B0BAF" w:rsidRDefault="007B0BAF" w:rsidP="007B0BAF">
      <w:pPr>
        <w:pStyle w:val="heading2"/>
        <w:rPr>
          <w:lang w:val="es-CO"/>
        </w:rPr>
      </w:pPr>
      <w:r>
        <w:rPr>
          <w:lang w:val="es-CO"/>
        </w:rPr>
        <w:t>Factores de Riesgo Psicosocial</w:t>
      </w:r>
      <w:r w:rsidR="008F2855">
        <w:rPr>
          <w:lang w:val="es-CO"/>
        </w:rPr>
        <w:t xml:space="preserve"> Ocupacional</w:t>
      </w:r>
      <w:r>
        <w:rPr>
          <w:lang w:val="es-CO"/>
        </w:rPr>
        <w:t xml:space="preserve"> </w:t>
      </w:r>
      <w:r w:rsidR="008F2855">
        <w:rPr>
          <w:lang w:val="es-CO"/>
        </w:rPr>
        <w:t>(</w:t>
      </w:r>
      <w:r>
        <w:rPr>
          <w:lang w:val="es-CO"/>
        </w:rPr>
        <w:t>FRPO</w:t>
      </w:r>
      <w:r w:rsidR="008F2855">
        <w:rPr>
          <w:lang w:val="es-CO"/>
        </w:rPr>
        <w:t>)</w:t>
      </w:r>
    </w:p>
    <w:p w14:paraId="1E16969E" w14:textId="5DF6236C" w:rsidR="00E16812" w:rsidRPr="003022B5" w:rsidRDefault="006C1E04" w:rsidP="00E1512D">
      <w:pPr>
        <w:pStyle w:val="p1a"/>
        <w:rPr>
          <w:lang w:val="es-CO"/>
        </w:rPr>
      </w:pPr>
      <w:r w:rsidRPr="00E1512D">
        <w:rPr>
          <w:lang w:val="es-CO"/>
        </w:rPr>
        <w:t>Las interacciones entre el trabajo, su medio ambiente, la satisfacción en el trabajo y las condiciones de su organización; así como las capacidades del trabajador, sus necesidades, su cultura y su situación personal fuera del trabajo, todo lo cual, a través de percepciones y experiencias, puede influir en la salud y en el rendimiento y la satisfacción en el trabajo.</w:t>
      </w:r>
      <w:r w:rsidR="00E1512D" w:rsidRPr="00E1512D">
        <w:rPr>
          <w:lang w:val="es-CO"/>
        </w:rPr>
        <w:t xml:space="preserve"> No obstante, la influencia no sólo proviene del entorno laboral</w:t>
      </w:r>
      <w:r w:rsidR="005B0604">
        <w:rPr>
          <w:lang w:val="es-CO"/>
        </w:rPr>
        <w:fldChar w:fldCharType="begin"/>
      </w:r>
      <w:r w:rsidR="005B0604">
        <w:rPr>
          <w:lang w:val="es-CO"/>
        </w:rPr>
        <w:instrText>ADDIN RW.CITE{{doc:5cd3856be4b073905aebb61a Por:FernandoMansillaIzquierdo [No Information]}}</w:instrText>
      </w:r>
      <w:r w:rsidR="005B0604">
        <w:rPr>
          <w:lang w:val="es-CO"/>
        </w:rPr>
        <w:fldChar w:fldCharType="separate"/>
      </w:r>
      <w:r w:rsidR="00CC5EC7" w:rsidRPr="00CC5EC7">
        <w:rPr>
          <w:bCs/>
          <w:lang w:val="es-ES"/>
        </w:rPr>
        <w:t>[32]</w:t>
      </w:r>
      <w:r w:rsidR="005B0604">
        <w:rPr>
          <w:lang w:val="es-CO"/>
        </w:rPr>
        <w:fldChar w:fldCharType="end"/>
      </w:r>
      <w:r w:rsidR="00E1512D" w:rsidRPr="00E1512D">
        <w:rPr>
          <w:lang w:val="es-CO"/>
        </w:rPr>
        <w:t>, sino también del ambiente extra</w:t>
      </w:r>
      <w:r w:rsidR="00081E51">
        <w:rPr>
          <w:lang w:val="es-CO"/>
        </w:rPr>
        <w:t>-</w:t>
      </w:r>
      <w:r w:rsidR="00E1512D" w:rsidRPr="00E1512D">
        <w:rPr>
          <w:lang w:val="es-CO"/>
        </w:rPr>
        <w:t>laboral</w:t>
      </w:r>
      <w:r w:rsidR="00291D2F">
        <w:rPr>
          <w:lang w:val="es-CO"/>
        </w:rPr>
        <w:t xml:space="preserve"> </w:t>
      </w:r>
      <w:r w:rsidR="005B0604">
        <w:rPr>
          <w:lang w:val="es-CO"/>
        </w:rPr>
        <w:fldChar w:fldCharType="begin"/>
      </w:r>
      <w:r w:rsidR="005B0604">
        <w:rPr>
          <w:lang w:val="es-CO"/>
        </w:rPr>
        <w:instrText>ADDIN RW.CITE{{doc:5c8eecc1e4b0e7ad687f60fd Jin,YoungYun 2016}}</w:instrText>
      </w:r>
      <w:r w:rsidR="005B0604">
        <w:rPr>
          <w:lang w:val="es-CO"/>
        </w:rPr>
        <w:fldChar w:fldCharType="separate"/>
      </w:r>
      <w:r w:rsidR="00CC5EC7" w:rsidRPr="00CC5EC7">
        <w:rPr>
          <w:bCs/>
          <w:lang w:val="es-ES"/>
        </w:rPr>
        <w:t>[33]</w:t>
      </w:r>
      <w:r w:rsidR="005B0604">
        <w:rPr>
          <w:lang w:val="es-CO"/>
        </w:rPr>
        <w:fldChar w:fldCharType="end"/>
      </w:r>
      <w:r w:rsidR="00E1512D" w:rsidRPr="00E1512D">
        <w:rPr>
          <w:lang w:val="es-CO"/>
        </w:rPr>
        <w:t>.</w:t>
      </w:r>
      <w:r w:rsidR="00E1512D">
        <w:rPr>
          <w:lang w:val="es-CO"/>
        </w:rPr>
        <w:t xml:space="preserve"> A continuación, se relacionan algunos factores de riesgo psicosocial a nivel intralaboral y extralaboral.</w:t>
      </w:r>
    </w:p>
    <w:p w14:paraId="3467B741" w14:textId="77777777" w:rsidR="00E1512D" w:rsidRPr="006C1E04" w:rsidRDefault="00E1512D" w:rsidP="00E1512D">
      <w:pPr>
        <w:ind w:firstLine="0"/>
        <w:rPr>
          <w:lang w:val="es-CO"/>
        </w:rPr>
      </w:pPr>
    </w:p>
    <w:p w14:paraId="6FBFB798" w14:textId="62499913" w:rsidR="00E21931" w:rsidRPr="00E1512D" w:rsidRDefault="008F2855" w:rsidP="00E1512D">
      <w:pPr>
        <w:pStyle w:val="Ttulo3"/>
        <w:spacing w:before="0"/>
        <w:rPr>
          <w:b/>
          <w:lang w:val="es-CO"/>
        </w:rPr>
      </w:pPr>
      <w:r w:rsidRPr="006C1E04">
        <w:rPr>
          <w:rStyle w:val="heading3"/>
          <w:lang w:val="es-CO"/>
        </w:rPr>
        <w:t>Intralaboral</w:t>
      </w:r>
    </w:p>
    <w:p w14:paraId="13E10218" w14:textId="1C924FD1" w:rsidR="00E21931" w:rsidRDefault="00E21931" w:rsidP="00E21931">
      <w:pPr>
        <w:pStyle w:val="Ttulo4"/>
        <w:rPr>
          <w:rStyle w:val="heading4"/>
          <w:lang w:val="es-CO"/>
        </w:rPr>
      </w:pPr>
      <w:r w:rsidRPr="00052AF1">
        <w:rPr>
          <w:rStyle w:val="heading4"/>
          <w:lang w:val="es-CO"/>
        </w:rPr>
        <w:t>Según condiciones y organización del trabajo</w:t>
      </w:r>
    </w:p>
    <w:p w14:paraId="340CC9F0" w14:textId="69ABBAD3" w:rsidR="00E1512D" w:rsidRDefault="00E1512D" w:rsidP="00E1512D">
      <w:pPr>
        <w:ind w:firstLine="0"/>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89"/>
        <w:gridCol w:w="2126"/>
        <w:gridCol w:w="2093"/>
      </w:tblGrid>
      <w:tr w:rsidR="00E1512D" w14:paraId="1258740A" w14:textId="77777777" w:rsidTr="005B0604">
        <w:tc>
          <w:tcPr>
            <w:tcW w:w="2689" w:type="dxa"/>
          </w:tcPr>
          <w:p w14:paraId="12CC8C26" w14:textId="4F75439D" w:rsidR="00E1512D" w:rsidRPr="005B0604" w:rsidRDefault="00E1512D" w:rsidP="005B0604">
            <w:pPr>
              <w:pStyle w:val="bulletitem"/>
              <w:spacing w:before="0" w:after="0"/>
              <w:rPr>
                <w:lang w:val="es-CO"/>
              </w:rPr>
            </w:pPr>
            <w:r w:rsidRPr="006C1E04">
              <w:rPr>
                <w:lang w:val="es-CO"/>
              </w:rPr>
              <w:t xml:space="preserve">Estabilidad </w:t>
            </w:r>
            <w:r w:rsidRPr="005B0604">
              <w:rPr>
                <w:lang w:val="es-CO"/>
              </w:rPr>
              <w:t>de trabajo</w:t>
            </w:r>
          </w:p>
        </w:tc>
        <w:tc>
          <w:tcPr>
            <w:tcW w:w="2126" w:type="dxa"/>
          </w:tcPr>
          <w:p w14:paraId="4C294DDE" w14:textId="70C1E556" w:rsidR="00E1512D" w:rsidRPr="00E1512D" w:rsidRDefault="00E1512D" w:rsidP="00E1512D">
            <w:pPr>
              <w:pStyle w:val="bulletitem"/>
              <w:spacing w:before="0" w:after="0"/>
              <w:rPr>
                <w:lang w:val="es-CO"/>
              </w:rPr>
            </w:pPr>
            <w:r>
              <w:rPr>
                <w:lang w:val="es-CO"/>
              </w:rPr>
              <w:t>Participación</w:t>
            </w:r>
          </w:p>
        </w:tc>
        <w:tc>
          <w:tcPr>
            <w:tcW w:w="2093" w:type="dxa"/>
          </w:tcPr>
          <w:p w14:paraId="679D2319" w14:textId="5AA67008" w:rsidR="00E1512D" w:rsidRPr="00E1512D" w:rsidRDefault="00E1512D" w:rsidP="00E1512D">
            <w:pPr>
              <w:pStyle w:val="bulletitem"/>
              <w:spacing w:before="0" w:after="0"/>
              <w:rPr>
                <w:lang w:val="es-CO"/>
              </w:rPr>
            </w:pPr>
            <w:r>
              <w:rPr>
                <w:lang w:val="es-CO"/>
              </w:rPr>
              <w:t>Ritmo de trabajo</w:t>
            </w:r>
          </w:p>
        </w:tc>
      </w:tr>
      <w:tr w:rsidR="00E1512D" w14:paraId="30EB023A" w14:textId="77777777" w:rsidTr="005B0604">
        <w:tc>
          <w:tcPr>
            <w:tcW w:w="2689" w:type="dxa"/>
          </w:tcPr>
          <w:p w14:paraId="66686412" w14:textId="3454C95F" w:rsidR="00E1512D" w:rsidRPr="005B0604" w:rsidRDefault="00E1512D" w:rsidP="005B0604">
            <w:pPr>
              <w:pStyle w:val="bulletitem"/>
              <w:spacing w:before="0" w:after="0"/>
              <w:rPr>
                <w:lang w:val="es-CO"/>
              </w:rPr>
            </w:pPr>
            <w:r>
              <w:rPr>
                <w:lang w:val="es-CO"/>
              </w:rPr>
              <w:t>Exceso de carga laboral</w:t>
            </w:r>
          </w:p>
        </w:tc>
        <w:tc>
          <w:tcPr>
            <w:tcW w:w="2126" w:type="dxa"/>
          </w:tcPr>
          <w:p w14:paraId="4DD3E878" w14:textId="41AD848D" w:rsidR="00E1512D" w:rsidRPr="00E1512D" w:rsidRDefault="00E1512D" w:rsidP="00E1512D">
            <w:pPr>
              <w:pStyle w:val="bulletitem"/>
              <w:spacing w:before="0" w:after="0"/>
              <w:rPr>
                <w:lang w:val="es-CO"/>
              </w:rPr>
            </w:pPr>
            <w:r>
              <w:rPr>
                <w:lang w:val="es-CO"/>
              </w:rPr>
              <w:t>Estilo de mando</w:t>
            </w:r>
          </w:p>
        </w:tc>
        <w:tc>
          <w:tcPr>
            <w:tcW w:w="2093" w:type="dxa"/>
          </w:tcPr>
          <w:p w14:paraId="558A2CF1" w14:textId="50560FB2" w:rsidR="00E1512D" w:rsidRPr="00E1512D" w:rsidRDefault="00E1512D" w:rsidP="00E1512D">
            <w:pPr>
              <w:pStyle w:val="bulletitem"/>
              <w:spacing w:before="0" w:after="0"/>
              <w:rPr>
                <w:lang w:val="es-CO"/>
              </w:rPr>
            </w:pPr>
            <w:r>
              <w:rPr>
                <w:lang w:val="es-CO"/>
              </w:rPr>
              <w:t>Monotonía</w:t>
            </w:r>
          </w:p>
        </w:tc>
      </w:tr>
      <w:tr w:rsidR="00E1512D" w14:paraId="36F8D267" w14:textId="77777777" w:rsidTr="005B0604">
        <w:tc>
          <w:tcPr>
            <w:tcW w:w="2689" w:type="dxa"/>
          </w:tcPr>
          <w:p w14:paraId="42C13B65" w14:textId="1D2340DF" w:rsidR="00E1512D" w:rsidRPr="00E1512D" w:rsidRDefault="005B0604" w:rsidP="00E1512D">
            <w:pPr>
              <w:pStyle w:val="bulletitem"/>
              <w:spacing w:before="0" w:after="0"/>
              <w:rPr>
                <w:lang w:val="es-CO"/>
              </w:rPr>
            </w:pPr>
            <w:r>
              <w:rPr>
                <w:lang w:val="es-CO"/>
              </w:rPr>
              <w:t>C</w:t>
            </w:r>
            <w:r w:rsidR="00E1512D">
              <w:rPr>
                <w:lang w:val="es-CO"/>
              </w:rPr>
              <w:t>omunicación del grupo</w:t>
            </w:r>
          </w:p>
        </w:tc>
        <w:tc>
          <w:tcPr>
            <w:tcW w:w="2126" w:type="dxa"/>
          </w:tcPr>
          <w:p w14:paraId="0A1060BF" w14:textId="4F789568" w:rsidR="00E1512D" w:rsidRPr="00E1512D" w:rsidRDefault="00E1512D" w:rsidP="00E1512D">
            <w:pPr>
              <w:pStyle w:val="bulletitem"/>
              <w:spacing w:before="0" w:after="0"/>
              <w:rPr>
                <w:lang w:val="es-CO"/>
              </w:rPr>
            </w:pPr>
            <w:r>
              <w:rPr>
                <w:lang w:val="es-CO"/>
              </w:rPr>
              <w:t>Pausas y descansos</w:t>
            </w:r>
          </w:p>
        </w:tc>
        <w:tc>
          <w:tcPr>
            <w:tcW w:w="2093" w:type="dxa"/>
          </w:tcPr>
          <w:p w14:paraId="315C24B4" w14:textId="2CDAD11B" w:rsidR="00E1512D" w:rsidRPr="005B0604" w:rsidRDefault="00E1512D" w:rsidP="005B0604">
            <w:pPr>
              <w:pStyle w:val="bulletitem"/>
              <w:spacing w:before="0" w:after="0"/>
              <w:rPr>
                <w:lang w:val="es-CO"/>
              </w:rPr>
            </w:pPr>
            <w:r>
              <w:rPr>
                <w:lang w:val="es-CO"/>
              </w:rPr>
              <w:t>Funciones y tareas</w:t>
            </w:r>
          </w:p>
        </w:tc>
      </w:tr>
      <w:tr w:rsidR="00E1512D" w14:paraId="00C8094B" w14:textId="77777777" w:rsidTr="005B0604">
        <w:trPr>
          <w:trHeight w:val="385"/>
        </w:trPr>
        <w:tc>
          <w:tcPr>
            <w:tcW w:w="2689" w:type="dxa"/>
          </w:tcPr>
          <w:p w14:paraId="02AC7810" w14:textId="43626AD4" w:rsidR="00E1512D" w:rsidRPr="00E1512D" w:rsidRDefault="00E1512D" w:rsidP="00E1512D">
            <w:pPr>
              <w:pStyle w:val="bulletitem"/>
              <w:spacing w:before="0" w:after="0"/>
              <w:rPr>
                <w:lang w:val="es-CO"/>
              </w:rPr>
            </w:pPr>
            <w:r>
              <w:rPr>
                <w:lang w:val="es-CO"/>
              </w:rPr>
              <w:t>La seguridad del entorno</w:t>
            </w:r>
          </w:p>
        </w:tc>
        <w:tc>
          <w:tcPr>
            <w:tcW w:w="2126" w:type="dxa"/>
          </w:tcPr>
          <w:p w14:paraId="2D86AB98" w14:textId="6ADDEA44" w:rsidR="00E1512D" w:rsidRPr="00E1512D" w:rsidRDefault="00E1512D" w:rsidP="00E1512D">
            <w:pPr>
              <w:pStyle w:val="bulletitem"/>
              <w:spacing w:before="0" w:after="0"/>
              <w:rPr>
                <w:lang w:val="es-CO"/>
              </w:rPr>
            </w:pPr>
            <w:r>
              <w:rPr>
                <w:lang w:val="es-CO"/>
              </w:rPr>
              <w:t>Horario de trabajo</w:t>
            </w:r>
          </w:p>
        </w:tc>
        <w:tc>
          <w:tcPr>
            <w:tcW w:w="2093" w:type="dxa"/>
          </w:tcPr>
          <w:p w14:paraId="2271BF63" w14:textId="77777777" w:rsidR="00E1512D" w:rsidRDefault="00E1512D" w:rsidP="00E1512D">
            <w:pPr>
              <w:pStyle w:val="bulletitem"/>
              <w:numPr>
                <w:ilvl w:val="0"/>
                <w:numId w:val="0"/>
              </w:numPr>
              <w:spacing w:before="0" w:after="0"/>
              <w:rPr>
                <w:lang w:val="es-CO"/>
              </w:rPr>
            </w:pPr>
          </w:p>
        </w:tc>
      </w:tr>
    </w:tbl>
    <w:p w14:paraId="141DA572" w14:textId="73C9C9C1" w:rsidR="00E21931" w:rsidRDefault="00E21931" w:rsidP="00E21931">
      <w:pPr>
        <w:pStyle w:val="Ttulo4"/>
        <w:rPr>
          <w:lang w:val="es-CO"/>
        </w:rPr>
      </w:pPr>
      <w:r w:rsidRPr="00E21931">
        <w:rPr>
          <w:rStyle w:val="heading4"/>
          <w:lang w:val="es-CO"/>
        </w:rPr>
        <w:t>Relacionados con las características individuales.</w:t>
      </w:r>
      <w:r w:rsidRPr="00E21931">
        <w:rPr>
          <w:lang w:val="es-CO"/>
        </w:rPr>
        <w:t xml:space="preserve"> </w:t>
      </w:r>
    </w:p>
    <w:p w14:paraId="1F4DE63B" w14:textId="77777777" w:rsidR="00D421F0" w:rsidRPr="00D421F0" w:rsidRDefault="00D421F0" w:rsidP="00D421F0">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694"/>
        <w:gridCol w:w="2126"/>
        <w:gridCol w:w="2088"/>
      </w:tblGrid>
      <w:tr w:rsidR="00D421F0" w14:paraId="7BBA2D89" w14:textId="77777777" w:rsidTr="00463996">
        <w:tc>
          <w:tcPr>
            <w:tcW w:w="2694" w:type="dxa"/>
          </w:tcPr>
          <w:p w14:paraId="5C3F137F" w14:textId="1F53D20B" w:rsidR="00D421F0" w:rsidRDefault="00D421F0" w:rsidP="00D421F0">
            <w:pPr>
              <w:pStyle w:val="bulletitem"/>
              <w:spacing w:before="0" w:after="0"/>
              <w:rPr>
                <w:lang w:val="es-CO"/>
              </w:rPr>
            </w:pPr>
            <w:r w:rsidRPr="00052AF1">
              <w:rPr>
                <w:lang w:val="es-CO"/>
              </w:rPr>
              <w:t>Edad</w:t>
            </w:r>
          </w:p>
        </w:tc>
        <w:tc>
          <w:tcPr>
            <w:tcW w:w="2126" w:type="dxa"/>
          </w:tcPr>
          <w:p w14:paraId="7ADBD0FD" w14:textId="71093758" w:rsidR="00D421F0" w:rsidRDefault="00D421F0" w:rsidP="00D421F0">
            <w:pPr>
              <w:pStyle w:val="bulletitem"/>
              <w:spacing w:before="0" w:after="0"/>
              <w:rPr>
                <w:lang w:val="es-CO"/>
              </w:rPr>
            </w:pPr>
            <w:r>
              <w:rPr>
                <w:lang w:val="es-CO"/>
              </w:rPr>
              <w:t>Personalidad</w:t>
            </w:r>
          </w:p>
        </w:tc>
        <w:tc>
          <w:tcPr>
            <w:tcW w:w="2088" w:type="dxa"/>
          </w:tcPr>
          <w:p w14:paraId="5DED82A7" w14:textId="71DF51D8" w:rsidR="00D421F0" w:rsidRDefault="00D421F0" w:rsidP="00D421F0">
            <w:pPr>
              <w:pStyle w:val="bulletitem"/>
              <w:spacing w:before="0" w:after="0"/>
              <w:rPr>
                <w:lang w:val="es-CO"/>
              </w:rPr>
            </w:pPr>
            <w:r>
              <w:rPr>
                <w:lang w:val="es-CO"/>
              </w:rPr>
              <w:t>Satisfacción</w:t>
            </w:r>
          </w:p>
        </w:tc>
      </w:tr>
      <w:tr w:rsidR="00D421F0" w14:paraId="58C3F08E" w14:textId="77777777" w:rsidTr="00463996">
        <w:tc>
          <w:tcPr>
            <w:tcW w:w="2694" w:type="dxa"/>
          </w:tcPr>
          <w:p w14:paraId="3071DE0D" w14:textId="6DADAC29" w:rsidR="00D421F0" w:rsidRDefault="00D421F0" w:rsidP="00D421F0">
            <w:pPr>
              <w:pStyle w:val="bulletitem"/>
              <w:spacing w:before="0" w:after="0"/>
              <w:rPr>
                <w:lang w:val="es-CO"/>
              </w:rPr>
            </w:pPr>
            <w:r>
              <w:rPr>
                <w:lang w:val="es-CO"/>
              </w:rPr>
              <w:t>Condiciones culturales</w:t>
            </w:r>
          </w:p>
        </w:tc>
        <w:tc>
          <w:tcPr>
            <w:tcW w:w="2126" w:type="dxa"/>
          </w:tcPr>
          <w:p w14:paraId="1B60672D" w14:textId="68EADE37" w:rsidR="00D421F0" w:rsidRDefault="00D421F0" w:rsidP="00D421F0">
            <w:pPr>
              <w:pStyle w:val="bulletitem"/>
              <w:spacing w:before="0" w:after="0"/>
              <w:rPr>
                <w:lang w:val="es-CO"/>
              </w:rPr>
            </w:pPr>
            <w:r>
              <w:rPr>
                <w:lang w:val="es-CO"/>
              </w:rPr>
              <w:t>Experiencia</w:t>
            </w:r>
          </w:p>
        </w:tc>
        <w:tc>
          <w:tcPr>
            <w:tcW w:w="2088" w:type="dxa"/>
          </w:tcPr>
          <w:p w14:paraId="5C62E3A4" w14:textId="0E912905" w:rsidR="00D421F0" w:rsidRDefault="00D421F0" w:rsidP="00D421F0">
            <w:pPr>
              <w:pStyle w:val="bulletitem"/>
              <w:spacing w:before="0" w:after="0"/>
              <w:rPr>
                <w:lang w:val="es-CO"/>
              </w:rPr>
            </w:pPr>
            <w:r>
              <w:rPr>
                <w:lang w:val="es-CO"/>
              </w:rPr>
              <w:t>Motivación</w:t>
            </w:r>
          </w:p>
        </w:tc>
      </w:tr>
    </w:tbl>
    <w:p w14:paraId="17912BD0" w14:textId="54ED2D37" w:rsidR="008F2855" w:rsidRDefault="008F2855" w:rsidP="008F2855">
      <w:pPr>
        <w:pStyle w:val="Ttulo3"/>
        <w:rPr>
          <w:rStyle w:val="heading3"/>
        </w:rPr>
      </w:pPr>
      <w:r w:rsidRPr="00D421F0">
        <w:rPr>
          <w:rStyle w:val="heading3"/>
          <w:lang w:val="es-CO"/>
        </w:rPr>
        <w:t>Extralaboral</w:t>
      </w:r>
    </w:p>
    <w:p w14:paraId="54EC7A86" w14:textId="77777777" w:rsidR="00D421F0" w:rsidRDefault="00D421F0" w:rsidP="00E1512D">
      <w:pPr>
        <w:ind w:firstLine="0"/>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3539"/>
        <w:gridCol w:w="3369"/>
      </w:tblGrid>
      <w:tr w:rsidR="00D421F0" w:rsidRPr="00D421F0" w14:paraId="629787EE" w14:textId="77777777" w:rsidTr="003022B5">
        <w:tc>
          <w:tcPr>
            <w:tcW w:w="3539" w:type="dxa"/>
          </w:tcPr>
          <w:p w14:paraId="132114A5" w14:textId="72100B1F" w:rsidR="00D421F0" w:rsidRPr="00D421F0" w:rsidRDefault="00D421F0" w:rsidP="00D421F0">
            <w:pPr>
              <w:pStyle w:val="bulletitem"/>
              <w:spacing w:before="0" w:after="0"/>
              <w:rPr>
                <w:lang w:val="es-CO"/>
              </w:rPr>
            </w:pPr>
            <w:r w:rsidRPr="00D421F0">
              <w:rPr>
                <w:lang w:val="es-CO"/>
              </w:rPr>
              <w:t>Tiempo fuera del trabajo.</w:t>
            </w:r>
          </w:p>
        </w:tc>
        <w:tc>
          <w:tcPr>
            <w:tcW w:w="3369" w:type="dxa"/>
          </w:tcPr>
          <w:p w14:paraId="7721B130" w14:textId="1E472842" w:rsidR="00D421F0" w:rsidRPr="00D421F0" w:rsidRDefault="00D421F0" w:rsidP="00D421F0">
            <w:pPr>
              <w:pStyle w:val="bulletitem"/>
              <w:spacing w:before="0" w:after="0"/>
              <w:rPr>
                <w:lang w:val="es-CO"/>
              </w:rPr>
            </w:pPr>
            <w:r w:rsidRPr="00D421F0">
              <w:rPr>
                <w:lang w:val="es-CO"/>
              </w:rPr>
              <w:t>Relaciones familiares</w:t>
            </w:r>
          </w:p>
        </w:tc>
      </w:tr>
      <w:tr w:rsidR="00D421F0" w:rsidRPr="00D421F0" w14:paraId="367C17D6" w14:textId="77777777" w:rsidTr="003022B5">
        <w:tc>
          <w:tcPr>
            <w:tcW w:w="3539" w:type="dxa"/>
          </w:tcPr>
          <w:p w14:paraId="6A469B49" w14:textId="18E896F0" w:rsidR="00D421F0" w:rsidRPr="00D421F0" w:rsidRDefault="00D421F0" w:rsidP="00D421F0">
            <w:pPr>
              <w:pStyle w:val="bulletitem"/>
              <w:spacing w:before="0" w:after="0"/>
              <w:rPr>
                <w:lang w:val="es-CO"/>
              </w:rPr>
            </w:pPr>
            <w:r>
              <w:rPr>
                <w:lang w:val="es-CO"/>
              </w:rPr>
              <w:t xml:space="preserve">Economía </w:t>
            </w:r>
            <w:r w:rsidRPr="00D421F0">
              <w:rPr>
                <w:lang w:val="es-CO"/>
              </w:rPr>
              <w:t>del grupo familiar</w:t>
            </w:r>
          </w:p>
        </w:tc>
        <w:tc>
          <w:tcPr>
            <w:tcW w:w="3369" w:type="dxa"/>
          </w:tcPr>
          <w:p w14:paraId="31C039F4" w14:textId="70B07EC7" w:rsidR="00D421F0" w:rsidRPr="00D421F0" w:rsidRDefault="0036087F" w:rsidP="00D421F0">
            <w:pPr>
              <w:pStyle w:val="bulletitem"/>
              <w:spacing w:before="0" w:after="0"/>
              <w:rPr>
                <w:lang w:val="es-CO"/>
              </w:rPr>
            </w:pPr>
            <w:r w:rsidRPr="00D421F0">
              <w:rPr>
                <w:lang w:val="es-CO"/>
              </w:rPr>
              <w:t>Desplazamiento</w:t>
            </w:r>
            <w:r>
              <w:rPr>
                <w:lang w:val="es-CO"/>
              </w:rPr>
              <w:t xml:space="preserve"> al trabajo</w:t>
            </w:r>
          </w:p>
        </w:tc>
      </w:tr>
    </w:tbl>
    <w:p w14:paraId="1E26D5F4" w14:textId="0FD865B3" w:rsidR="00291D2F" w:rsidRPr="00291D2F" w:rsidRDefault="007B0BAF" w:rsidP="00E21931">
      <w:pPr>
        <w:pStyle w:val="heading2"/>
        <w:rPr>
          <w:lang w:val="es-CO"/>
        </w:rPr>
      </w:pPr>
      <w:r>
        <w:rPr>
          <w:lang w:val="es-CO"/>
        </w:rPr>
        <w:t>Efectos de FRPO</w:t>
      </w:r>
    </w:p>
    <w:p w14:paraId="2B2CA77E" w14:textId="64A84D1C" w:rsidR="00291D2F" w:rsidRPr="00265DF6" w:rsidRDefault="00291D2F" w:rsidP="00291D2F">
      <w:pPr>
        <w:ind w:firstLine="0"/>
        <w:rPr>
          <w:rFonts w:eastAsiaTheme="minorEastAsia"/>
          <w:lang w:val="es-CO"/>
        </w:rPr>
      </w:pPr>
      <w:r w:rsidRPr="00265DF6">
        <w:rPr>
          <w:rFonts w:eastAsiaTheme="minorEastAsia"/>
          <w:lang w:val="es-CO"/>
        </w:rPr>
        <w:t xml:space="preserve">Dentro del tipo de factores de riesgo psicosocial,  existen investigaciones que evidencian que algunas condiciones laborales y trabajos por turnos, generan factores de riesgo relacionados con el sedentarismo </w:t>
      </w:r>
      <w:r w:rsidRPr="00265DF6">
        <w:rPr>
          <w:rFonts w:eastAsiaTheme="minorEastAsia"/>
          <w:lang w:val="es-CO"/>
        </w:rPr>
        <w:fldChar w:fldCharType="begin"/>
      </w:r>
      <w:r w:rsidRPr="00265DF6">
        <w:rPr>
          <w:rFonts w:eastAsiaTheme="minorEastAsia"/>
          <w:lang w:val="es-CO"/>
        </w:rPr>
        <w:instrText>ADDIN RW.CITE{{doc:5c99824ce4b03723cb52b4fd MoralesD.Diana 2014}}</w:instrText>
      </w:r>
      <w:r w:rsidRPr="00265DF6">
        <w:rPr>
          <w:rFonts w:eastAsiaTheme="minorEastAsia"/>
          <w:lang w:val="es-CO"/>
        </w:rPr>
        <w:fldChar w:fldCharType="separate"/>
      </w:r>
      <w:r w:rsidR="00CC5EC7" w:rsidRPr="00CC5EC7">
        <w:rPr>
          <w:rFonts w:eastAsiaTheme="minorEastAsia"/>
          <w:lang w:val="es-CO"/>
        </w:rPr>
        <w:t>[34]</w:t>
      </w:r>
      <w:r w:rsidRPr="00265DF6">
        <w:rPr>
          <w:rFonts w:eastAsiaTheme="minorEastAsia"/>
          <w:lang w:val="es-CO"/>
        </w:rPr>
        <w:fldChar w:fldCharType="end"/>
      </w:r>
      <w:r w:rsidRPr="00265DF6">
        <w:rPr>
          <w:rFonts w:eastAsiaTheme="minorEastAsia"/>
          <w:lang w:val="es-CO"/>
        </w:rPr>
        <w:t xml:space="preserve"> el estrés </w:t>
      </w:r>
      <w:r w:rsidRPr="00265DF6">
        <w:rPr>
          <w:rFonts w:eastAsiaTheme="minorEastAsia"/>
          <w:lang w:val="es-CO"/>
        </w:rPr>
        <w:fldChar w:fldCharType="begin"/>
      </w:r>
      <w:r w:rsidRPr="00265DF6">
        <w:rPr>
          <w:rFonts w:eastAsiaTheme="minorEastAsia"/>
          <w:lang w:val="es-CO"/>
        </w:rPr>
        <w:instrText>ADDIN RW.CITE{{doc:5cb93e0be4b04c969d293dae Wiegner,Lilian 2015}}</w:instrText>
      </w:r>
      <w:r w:rsidRPr="00265DF6">
        <w:rPr>
          <w:rFonts w:eastAsiaTheme="minorEastAsia"/>
          <w:lang w:val="es-CO"/>
        </w:rPr>
        <w:fldChar w:fldCharType="separate"/>
      </w:r>
      <w:r w:rsidR="00CC5EC7" w:rsidRPr="00CC5EC7">
        <w:rPr>
          <w:rFonts w:eastAsiaTheme="minorEastAsia"/>
          <w:lang w:val="es-CO"/>
        </w:rPr>
        <w:t>[35]</w:t>
      </w:r>
      <w:r w:rsidRPr="00265DF6">
        <w:rPr>
          <w:rFonts w:eastAsiaTheme="minorEastAsia"/>
          <w:lang w:val="es-CO"/>
        </w:rPr>
        <w:fldChar w:fldCharType="end"/>
      </w:r>
      <w:r w:rsidRPr="00265DF6">
        <w:rPr>
          <w:rFonts w:eastAsiaTheme="minorEastAsia"/>
          <w:lang w:val="es-CO"/>
        </w:rPr>
        <w:t xml:space="preserve"> y la depresión </w:t>
      </w:r>
      <w:r w:rsidRPr="00265DF6">
        <w:rPr>
          <w:rFonts w:eastAsiaTheme="minorEastAsia"/>
          <w:lang w:val="es-CO"/>
        </w:rPr>
        <w:fldChar w:fldCharType="begin"/>
      </w:r>
      <w:r w:rsidRPr="00265DF6">
        <w:rPr>
          <w:rFonts w:eastAsiaTheme="minorEastAsia"/>
          <w:lang w:val="es-CO"/>
        </w:rPr>
        <w:instrText>ADDIN RW.CITE{{doc:5cb94c68e4b07e8173da5bad Luca,Maria 2014}}</w:instrText>
      </w:r>
      <w:r w:rsidRPr="00265DF6">
        <w:rPr>
          <w:rFonts w:eastAsiaTheme="minorEastAsia"/>
          <w:lang w:val="es-CO"/>
        </w:rPr>
        <w:fldChar w:fldCharType="separate"/>
      </w:r>
      <w:r w:rsidR="00CC5EC7" w:rsidRPr="00CC5EC7">
        <w:rPr>
          <w:rFonts w:eastAsiaTheme="minorEastAsia"/>
          <w:lang w:val="es-CO"/>
        </w:rPr>
        <w:t>[36]</w:t>
      </w:r>
      <w:r w:rsidRPr="00265DF6">
        <w:rPr>
          <w:rFonts w:eastAsiaTheme="minorEastAsia"/>
          <w:lang w:val="es-CO"/>
        </w:rPr>
        <w:fldChar w:fldCharType="end"/>
      </w:r>
      <w:r w:rsidRPr="00265DF6">
        <w:rPr>
          <w:rFonts w:eastAsiaTheme="minorEastAsia"/>
          <w:lang w:val="es-CO"/>
        </w:rPr>
        <w:t xml:space="preserve">. En Colombia, el Ministerio de Salud de reportó un total de 9.653 casos de enfermedades de naturaleza laboral durante el 2017, manifestados en diferentes actividades económicas como: comercio, hoteles, restaurantes, servicios domésticos, entre otros </w:t>
      </w:r>
      <w:r w:rsidRPr="00265DF6">
        <w:rPr>
          <w:rFonts w:eastAsiaTheme="minorEastAsia"/>
          <w:lang w:val="es-CO"/>
        </w:rPr>
        <w:fldChar w:fldCharType="begin"/>
      </w:r>
      <w:r w:rsidRPr="00265DF6">
        <w:rPr>
          <w:rFonts w:eastAsiaTheme="minorEastAsia"/>
          <w:lang w:val="es-CO"/>
        </w:rPr>
        <w:instrText>ADDIN RW.CITE{{doc:5c997cd6e4b03723cb52b482 Ministeriodesalud 2018}}</w:instrText>
      </w:r>
      <w:r w:rsidRPr="00265DF6">
        <w:rPr>
          <w:rFonts w:eastAsiaTheme="minorEastAsia"/>
          <w:lang w:val="es-CO"/>
        </w:rPr>
        <w:fldChar w:fldCharType="separate"/>
      </w:r>
      <w:r w:rsidR="00CC5EC7" w:rsidRPr="00CC5EC7">
        <w:rPr>
          <w:rFonts w:eastAsiaTheme="minorEastAsia"/>
          <w:lang w:val="es-CO"/>
        </w:rPr>
        <w:t>[37]</w:t>
      </w:r>
      <w:r w:rsidRPr="00265DF6">
        <w:rPr>
          <w:rFonts w:eastAsiaTheme="minorEastAsia"/>
          <w:lang w:val="es-CO"/>
        </w:rPr>
        <w:fldChar w:fldCharType="end"/>
      </w:r>
      <w:r w:rsidRPr="00265DF6">
        <w:rPr>
          <w:rFonts w:eastAsiaTheme="minorEastAsia"/>
          <w:lang w:val="es-CO"/>
        </w:rPr>
        <w:t xml:space="preserve">. Esta problemática crece año a año; como se aprecia en la figura 1,  se registraron un total de 1.078 casos críticos de salud mental por exposición a factores de riesgo ocupacional, de los cuales 165 casos ocurrieron en la ciudad de Bogotá </w:t>
      </w:r>
      <w:r w:rsidRPr="00265DF6">
        <w:rPr>
          <w:rFonts w:eastAsiaTheme="minorEastAsia"/>
          <w:lang w:val="es-CO"/>
        </w:rPr>
        <w:fldChar w:fldCharType="begin"/>
      </w:r>
      <w:r w:rsidRPr="00265DF6">
        <w:rPr>
          <w:rFonts w:eastAsiaTheme="minorEastAsia"/>
          <w:lang w:val="es-CO"/>
        </w:rPr>
        <w:instrText>ADDIN RW.CITE{{doc:5c997e6ae4b0a2c6ef089fbd Ministeriodesalud 2019}}</w:instrText>
      </w:r>
      <w:r w:rsidRPr="00265DF6">
        <w:rPr>
          <w:rFonts w:eastAsiaTheme="minorEastAsia"/>
          <w:lang w:val="es-CO"/>
        </w:rPr>
        <w:fldChar w:fldCharType="separate"/>
      </w:r>
      <w:r w:rsidR="00CC5EC7" w:rsidRPr="00CC5EC7">
        <w:rPr>
          <w:rFonts w:eastAsiaTheme="minorEastAsia"/>
          <w:lang w:val="es-CO"/>
        </w:rPr>
        <w:t>[38]</w:t>
      </w:r>
      <w:r w:rsidRPr="00265DF6">
        <w:rPr>
          <w:rFonts w:eastAsiaTheme="minorEastAsia"/>
          <w:lang w:val="es-CO"/>
        </w:rPr>
        <w:fldChar w:fldCharType="end"/>
      </w:r>
    </w:p>
    <w:p w14:paraId="6B225214" w14:textId="77777777" w:rsidR="00291D2F" w:rsidRDefault="00291D2F" w:rsidP="00291D2F">
      <w:pPr>
        <w:ind w:firstLine="0"/>
        <w:rPr>
          <w:rFonts w:asciiTheme="minorHAnsi" w:eastAsiaTheme="minorEastAsia" w:hAnsiTheme="minorHAnsi" w:cstheme="minorBidi"/>
          <w:lang w:val="es-ES"/>
        </w:rPr>
      </w:pPr>
    </w:p>
    <w:p w14:paraId="1EB3CA25" w14:textId="77777777" w:rsidR="00291D2F" w:rsidRDefault="00291D2F" w:rsidP="00291D2F">
      <w:pPr>
        <w:ind w:firstLine="0"/>
        <w:rPr>
          <w:lang w:val="es-CO"/>
        </w:rPr>
      </w:pPr>
      <w:r>
        <w:rPr>
          <w:noProof/>
          <w:lang w:val="es-CO" w:eastAsia="es-CO"/>
        </w:rPr>
        <w:drawing>
          <wp:inline distT="0" distB="0" distL="0" distR="0" wp14:anchorId="30ACBCEB" wp14:editId="6DD863BA">
            <wp:extent cx="4392930" cy="1790222"/>
            <wp:effectExtent l="0" t="0" r="7620" b="635"/>
            <wp:docPr id="2" name="Gráfico 2">
              <a:extLst xmlns:a="http://schemas.openxmlformats.org/drawingml/2006/main">
                <a:ext uri="{FF2B5EF4-FFF2-40B4-BE49-F238E27FC236}">
                  <a16:creationId xmlns:a16="http://schemas.microsoft.com/office/drawing/2014/main" id="{C343A8C7-6788-47B5-B216-D1A9DF9CCAD8}"/>
                </a:ext>
              </a:extLst>
            </wp:docPr>
            <wp:cNvGraphicFramePr/>
            <a:graphic xmlns:a="http://schemas.openxmlformats.org/drawingml/2006/main">
              <a:graphicData uri="http://schemas.openxmlformats.org/drawingml/2006/chart">
                <c:chart xmlns:c="http://schemas.openxmlformats.org/drawingml/2006/chart" xmlns:r="http://schemas.openxmlformats.org/officeDocument/2006/relationships" r:id="rId9"/>
              </a:graphicData>
            </a:graphic>
          </wp:inline>
        </w:drawing>
      </w:r>
    </w:p>
    <w:p w14:paraId="725EB119" w14:textId="77777777" w:rsidR="00291D2F" w:rsidRDefault="00291D2F" w:rsidP="00291D2F">
      <w:pPr>
        <w:ind w:firstLine="0"/>
        <w:rPr>
          <w:lang w:val="es-CO"/>
        </w:rPr>
      </w:pPr>
    </w:p>
    <w:p w14:paraId="3A898D1A" w14:textId="10C8FEC3" w:rsidR="00E21931" w:rsidRDefault="00463996" w:rsidP="00463996">
      <w:pPr>
        <w:ind w:firstLine="0"/>
        <w:rPr>
          <w:lang w:val="es-CO"/>
        </w:rPr>
      </w:pPr>
      <w:r>
        <w:rPr>
          <w:lang w:val="es-CO"/>
        </w:rPr>
        <w:t>Dentro de los efectos de factores de riesgo psicosocial ocupacional se encuentran las</w:t>
      </w:r>
      <w:r w:rsidR="00291D2F" w:rsidRPr="006C1E04">
        <w:rPr>
          <w:lang w:val="es-CO"/>
        </w:rPr>
        <w:t xml:space="preserve"> condiciones del individuo, del medio extralaboral o del medio laboral, que bajo determinadas condiciones de intensidad y tiempo de exposición generan efectos negativos en el trabajador o trabajadores, en la organización y en los grupos</w:t>
      </w:r>
      <w:r>
        <w:rPr>
          <w:lang w:val="es-CO"/>
        </w:rPr>
        <w:t>. Estas afectaciones se manifiestan alterando</w:t>
      </w:r>
      <w:r w:rsidR="00291D2F" w:rsidRPr="006C1E04">
        <w:rPr>
          <w:lang w:val="es-CO"/>
        </w:rPr>
        <w:t xml:space="preserve"> </w:t>
      </w:r>
      <w:r>
        <w:rPr>
          <w:lang w:val="es-CO"/>
        </w:rPr>
        <w:t xml:space="preserve">aspectos </w:t>
      </w:r>
      <w:r w:rsidR="00291D2F" w:rsidRPr="006C1E04">
        <w:rPr>
          <w:lang w:val="es-CO"/>
        </w:rPr>
        <w:t>a nivel del comportamiento social y laboral y a nivel fisiológico</w:t>
      </w:r>
      <w:r>
        <w:rPr>
          <w:lang w:val="es-CO"/>
        </w:rPr>
        <w:t>.</w:t>
      </w:r>
      <w:r w:rsidR="00E21931">
        <w:rPr>
          <w:lang w:val="es-CO"/>
        </w:rPr>
        <w:t xml:space="preserve"> </w:t>
      </w:r>
      <w:r>
        <w:rPr>
          <w:lang w:val="es-CO"/>
        </w:rPr>
        <w:t>Entre los aspectos más significativos se encuentran los siguientes:</w:t>
      </w:r>
    </w:p>
    <w:p w14:paraId="1B56D5C9" w14:textId="77777777" w:rsidR="0036087F" w:rsidRPr="0036087F" w:rsidRDefault="0036087F" w:rsidP="0036087F">
      <w:pPr>
        <w:rPr>
          <w:lang w:val="es-CO"/>
        </w:rPr>
      </w:pPr>
    </w:p>
    <w:p w14:paraId="4B244C9E" w14:textId="3E460547" w:rsidR="008F2855" w:rsidRDefault="008F2855" w:rsidP="008F2855">
      <w:pPr>
        <w:pStyle w:val="Ttulo3"/>
        <w:spacing w:before="0"/>
        <w:rPr>
          <w:rStyle w:val="heading3"/>
          <w:lang w:val="es-CO"/>
        </w:rPr>
      </w:pPr>
      <w:r w:rsidRPr="00291D2F">
        <w:rPr>
          <w:rStyle w:val="heading3"/>
          <w:lang w:val="es-CO"/>
        </w:rPr>
        <w:t>Físico</w:t>
      </w:r>
    </w:p>
    <w:p w14:paraId="1F453802" w14:textId="77777777" w:rsidR="00463996" w:rsidRPr="00463996" w:rsidRDefault="00463996" w:rsidP="00463996">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36087F" w14:paraId="0CFFBED5" w14:textId="77777777" w:rsidTr="00463996">
        <w:tc>
          <w:tcPr>
            <w:tcW w:w="2302" w:type="dxa"/>
          </w:tcPr>
          <w:p w14:paraId="76315A7A" w14:textId="3CAD13C3" w:rsidR="0036087F" w:rsidRPr="00463996" w:rsidRDefault="0036087F" w:rsidP="00463996">
            <w:pPr>
              <w:pStyle w:val="Prrafodelista"/>
              <w:numPr>
                <w:ilvl w:val="0"/>
                <w:numId w:val="12"/>
              </w:numPr>
              <w:rPr>
                <w:lang w:val="es-CO"/>
              </w:rPr>
            </w:pPr>
            <w:r w:rsidRPr="00463996">
              <w:rPr>
                <w:lang w:val="es-CO"/>
              </w:rPr>
              <w:t>Cansancio</w:t>
            </w:r>
          </w:p>
        </w:tc>
        <w:tc>
          <w:tcPr>
            <w:tcW w:w="2303" w:type="dxa"/>
          </w:tcPr>
          <w:p w14:paraId="5E68F9EC" w14:textId="24A40EEB" w:rsidR="0036087F" w:rsidRPr="00463996" w:rsidRDefault="0036087F" w:rsidP="00463996">
            <w:pPr>
              <w:pStyle w:val="Prrafodelista"/>
              <w:numPr>
                <w:ilvl w:val="0"/>
                <w:numId w:val="12"/>
              </w:numPr>
              <w:rPr>
                <w:lang w:val="es-CO"/>
              </w:rPr>
            </w:pPr>
            <w:r w:rsidRPr="00463996">
              <w:rPr>
                <w:lang w:val="es-CO"/>
              </w:rPr>
              <w:t>Dolor de nuca</w:t>
            </w:r>
          </w:p>
        </w:tc>
        <w:tc>
          <w:tcPr>
            <w:tcW w:w="2303" w:type="dxa"/>
          </w:tcPr>
          <w:p w14:paraId="7C48B975" w14:textId="44DD2291" w:rsidR="0036087F" w:rsidRPr="00463996" w:rsidRDefault="0036087F" w:rsidP="00463996">
            <w:pPr>
              <w:pStyle w:val="Prrafodelista"/>
              <w:numPr>
                <w:ilvl w:val="0"/>
                <w:numId w:val="12"/>
              </w:numPr>
              <w:rPr>
                <w:lang w:val="es-CO"/>
              </w:rPr>
            </w:pPr>
            <w:r w:rsidRPr="00463996">
              <w:rPr>
                <w:lang w:val="es-CO"/>
              </w:rPr>
              <w:t>Envejecimiento</w:t>
            </w:r>
          </w:p>
        </w:tc>
      </w:tr>
      <w:tr w:rsidR="0036087F" w14:paraId="15974169" w14:textId="77777777" w:rsidTr="00463996">
        <w:tc>
          <w:tcPr>
            <w:tcW w:w="2302" w:type="dxa"/>
          </w:tcPr>
          <w:p w14:paraId="4A48B8A3" w14:textId="7283DC4E" w:rsidR="0036087F" w:rsidRPr="00463996" w:rsidRDefault="0036087F" w:rsidP="00463996">
            <w:pPr>
              <w:pStyle w:val="Prrafodelista"/>
              <w:numPr>
                <w:ilvl w:val="0"/>
                <w:numId w:val="12"/>
              </w:numPr>
              <w:rPr>
                <w:lang w:val="es-CO"/>
              </w:rPr>
            </w:pPr>
            <w:r w:rsidRPr="00463996">
              <w:rPr>
                <w:lang w:val="es-CO"/>
              </w:rPr>
              <w:t>Dolor de cabeza</w:t>
            </w:r>
          </w:p>
        </w:tc>
        <w:tc>
          <w:tcPr>
            <w:tcW w:w="2303" w:type="dxa"/>
          </w:tcPr>
          <w:p w14:paraId="62E01516" w14:textId="47A78F0D" w:rsidR="0036087F" w:rsidRPr="00463996" w:rsidRDefault="0036087F" w:rsidP="00463996">
            <w:pPr>
              <w:pStyle w:val="Prrafodelista"/>
              <w:numPr>
                <w:ilvl w:val="0"/>
                <w:numId w:val="12"/>
              </w:numPr>
              <w:rPr>
                <w:lang w:val="es-CO"/>
              </w:rPr>
            </w:pPr>
            <w:r w:rsidRPr="00463996">
              <w:rPr>
                <w:lang w:val="es-CO"/>
              </w:rPr>
              <w:t>Hipertensión</w:t>
            </w:r>
          </w:p>
        </w:tc>
        <w:tc>
          <w:tcPr>
            <w:tcW w:w="2303" w:type="dxa"/>
          </w:tcPr>
          <w:p w14:paraId="4995DEF5" w14:textId="0227C32A" w:rsidR="0036087F" w:rsidRPr="00463996" w:rsidRDefault="00463996" w:rsidP="00463996">
            <w:pPr>
              <w:pStyle w:val="Prrafodelista"/>
              <w:numPr>
                <w:ilvl w:val="0"/>
                <w:numId w:val="12"/>
              </w:numPr>
              <w:rPr>
                <w:lang w:val="es-CO"/>
              </w:rPr>
            </w:pPr>
            <w:r w:rsidRPr="00463996">
              <w:rPr>
                <w:lang w:val="es-CO"/>
              </w:rPr>
              <w:t>Cardiopatía</w:t>
            </w:r>
          </w:p>
        </w:tc>
      </w:tr>
      <w:tr w:rsidR="0036087F" w14:paraId="456F9C12" w14:textId="77777777" w:rsidTr="00463996">
        <w:tc>
          <w:tcPr>
            <w:tcW w:w="2302" w:type="dxa"/>
          </w:tcPr>
          <w:p w14:paraId="66B51BE7" w14:textId="4A76C2C7" w:rsidR="0036087F" w:rsidRPr="00463996" w:rsidRDefault="0036087F" w:rsidP="00463996">
            <w:pPr>
              <w:pStyle w:val="Prrafodelista"/>
              <w:numPr>
                <w:ilvl w:val="0"/>
                <w:numId w:val="12"/>
              </w:numPr>
              <w:rPr>
                <w:lang w:val="es-CO"/>
              </w:rPr>
            </w:pPr>
            <w:r w:rsidRPr="00463996">
              <w:rPr>
                <w:lang w:val="es-CO"/>
              </w:rPr>
              <w:t>Dolor de espalda</w:t>
            </w:r>
          </w:p>
        </w:tc>
        <w:tc>
          <w:tcPr>
            <w:tcW w:w="2303" w:type="dxa"/>
          </w:tcPr>
          <w:p w14:paraId="4CFC670D" w14:textId="77777777" w:rsidR="0036087F" w:rsidRPr="00463996" w:rsidRDefault="0036087F" w:rsidP="00463996">
            <w:pPr>
              <w:ind w:firstLine="0"/>
              <w:rPr>
                <w:lang w:val="es-CO"/>
              </w:rPr>
            </w:pPr>
          </w:p>
        </w:tc>
        <w:tc>
          <w:tcPr>
            <w:tcW w:w="2303" w:type="dxa"/>
          </w:tcPr>
          <w:p w14:paraId="0A0A3A6A" w14:textId="77777777" w:rsidR="0036087F" w:rsidRPr="00463996" w:rsidRDefault="0036087F" w:rsidP="00463996">
            <w:pPr>
              <w:ind w:firstLine="0"/>
              <w:rPr>
                <w:lang w:val="es-CO"/>
              </w:rPr>
            </w:pPr>
          </w:p>
        </w:tc>
      </w:tr>
    </w:tbl>
    <w:p w14:paraId="32B3296E" w14:textId="42ECA1CA" w:rsidR="0046069F" w:rsidRDefault="008F2855" w:rsidP="0046069F">
      <w:pPr>
        <w:pStyle w:val="Ttulo3"/>
        <w:rPr>
          <w:rStyle w:val="heading3"/>
          <w:lang w:val="es-CO"/>
        </w:rPr>
      </w:pPr>
      <w:r w:rsidRPr="00F42D15">
        <w:rPr>
          <w:rStyle w:val="heading3"/>
          <w:lang w:val="es-CO"/>
        </w:rPr>
        <w:t>Psicosomático</w:t>
      </w:r>
      <w:r w:rsidR="00F42D15">
        <w:rPr>
          <w:rStyle w:val="heading3"/>
          <w:lang w:val="es-CO"/>
        </w:rPr>
        <w:t>s</w:t>
      </w:r>
    </w:p>
    <w:p w14:paraId="0B079E06" w14:textId="77777777" w:rsidR="00463996" w:rsidRPr="00463996" w:rsidRDefault="00463996" w:rsidP="00463996">
      <w:pPr>
        <w:rPr>
          <w:lang w:val="es-CO"/>
        </w:rPr>
      </w:pPr>
    </w:p>
    <w:tbl>
      <w:tblPr>
        <w:tblStyle w:val="Tablaconcuadrcula"/>
        <w:tblW w:w="0" w:type="auto"/>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2302"/>
        <w:gridCol w:w="2303"/>
        <w:gridCol w:w="2303"/>
      </w:tblGrid>
      <w:tr w:rsidR="00463996" w14:paraId="5172F2B5" w14:textId="77777777" w:rsidTr="00463996">
        <w:tc>
          <w:tcPr>
            <w:tcW w:w="2302" w:type="dxa"/>
          </w:tcPr>
          <w:p w14:paraId="6ABEF8E9" w14:textId="213478EA" w:rsidR="00463996" w:rsidRPr="00463996" w:rsidRDefault="00463996" w:rsidP="00463996">
            <w:pPr>
              <w:pStyle w:val="Prrafodelista"/>
              <w:numPr>
                <w:ilvl w:val="0"/>
                <w:numId w:val="13"/>
              </w:numPr>
              <w:rPr>
                <w:lang w:val="es-CO"/>
              </w:rPr>
            </w:pPr>
            <w:r w:rsidRPr="00463996">
              <w:rPr>
                <w:lang w:val="es-CO"/>
              </w:rPr>
              <w:t>Drogas</w:t>
            </w:r>
          </w:p>
        </w:tc>
        <w:tc>
          <w:tcPr>
            <w:tcW w:w="2303" w:type="dxa"/>
          </w:tcPr>
          <w:p w14:paraId="3B5FE720" w14:textId="750F6BB1" w:rsidR="00463996" w:rsidRPr="00463996" w:rsidRDefault="00463996" w:rsidP="00463996">
            <w:pPr>
              <w:pStyle w:val="Prrafodelista"/>
              <w:numPr>
                <w:ilvl w:val="0"/>
                <w:numId w:val="13"/>
              </w:numPr>
              <w:rPr>
                <w:lang w:val="es-CO"/>
              </w:rPr>
            </w:pPr>
            <w:r w:rsidRPr="00463996">
              <w:rPr>
                <w:lang w:val="es-CO"/>
              </w:rPr>
              <w:t>Instalación</w:t>
            </w:r>
          </w:p>
        </w:tc>
        <w:tc>
          <w:tcPr>
            <w:tcW w:w="2303" w:type="dxa"/>
          </w:tcPr>
          <w:p w14:paraId="6932805A" w14:textId="3B3F0824" w:rsidR="00463996" w:rsidRPr="00463996" w:rsidRDefault="00463996" w:rsidP="00463996">
            <w:pPr>
              <w:pStyle w:val="Prrafodelista"/>
              <w:numPr>
                <w:ilvl w:val="0"/>
                <w:numId w:val="13"/>
              </w:numPr>
              <w:rPr>
                <w:lang w:val="es-CO"/>
              </w:rPr>
            </w:pPr>
            <w:r w:rsidRPr="00463996">
              <w:rPr>
                <w:lang w:val="es-CO"/>
              </w:rPr>
              <w:t>Ansiedad</w:t>
            </w:r>
          </w:p>
        </w:tc>
      </w:tr>
      <w:tr w:rsidR="00463996" w14:paraId="7D42E649" w14:textId="77777777" w:rsidTr="00463996">
        <w:tc>
          <w:tcPr>
            <w:tcW w:w="2302" w:type="dxa"/>
          </w:tcPr>
          <w:p w14:paraId="41D5E6D1" w14:textId="531C4097" w:rsidR="00463996" w:rsidRPr="00463996" w:rsidRDefault="00463996" w:rsidP="00463996">
            <w:pPr>
              <w:pStyle w:val="Prrafodelista"/>
              <w:numPr>
                <w:ilvl w:val="0"/>
                <w:numId w:val="13"/>
              </w:numPr>
              <w:rPr>
                <w:lang w:val="es-CO"/>
              </w:rPr>
            </w:pPr>
            <w:r w:rsidRPr="00463996">
              <w:rPr>
                <w:lang w:val="es-CO"/>
              </w:rPr>
              <w:t>Alcoholismo</w:t>
            </w:r>
          </w:p>
        </w:tc>
        <w:tc>
          <w:tcPr>
            <w:tcW w:w="2303" w:type="dxa"/>
          </w:tcPr>
          <w:p w14:paraId="4604AA54" w14:textId="7DE6BEAA" w:rsidR="00463996" w:rsidRPr="00463996" w:rsidRDefault="00463996" w:rsidP="00463996">
            <w:pPr>
              <w:pStyle w:val="Prrafodelista"/>
              <w:numPr>
                <w:ilvl w:val="0"/>
                <w:numId w:val="13"/>
              </w:numPr>
              <w:rPr>
                <w:lang w:val="es-CO"/>
              </w:rPr>
            </w:pPr>
            <w:r w:rsidRPr="00463996">
              <w:rPr>
                <w:lang w:val="es-CO"/>
              </w:rPr>
              <w:t>Lentitud</w:t>
            </w:r>
          </w:p>
        </w:tc>
        <w:tc>
          <w:tcPr>
            <w:tcW w:w="2303" w:type="dxa"/>
          </w:tcPr>
          <w:p w14:paraId="3C074084" w14:textId="182D697C" w:rsidR="00463996" w:rsidRPr="00463996" w:rsidRDefault="00463996" w:rsidP="00463996">
            <w:pPr>
              <w:pStyle w:val="Prrafodelista"/>
              <w:numPr>
                <w:ilvl w:val="0"/>
                <w:numId w:val="13"/>
              </w:numPr>
              <w:rPr>
                <w:lang w:val="es-CO"/>
              </w:rPr>
            </w:pPr>
            <w:r w:rsidRPr="00463996">
              <w:rPr>
                <w:lang w:val="es-CO"/>
              </w:rPr>
              <w:t>Agresividad</w:t>
            </w:r>
          </w:p>
        </w:tc>
      </w:tr>
      <w:tr w:rsidR="00463996" w14:paraId="5DE6A059" w14:textId="77777777" w:rsidTr="00463996">
        <w:tc>
          <w:tcPr>
            <w:tcW w:w="2302" w:type="dxa"/>
          </w:tcPr>
          <w:p w14:paraId="0A8972A9" w14:textId="41BB8CFB" w:rsidR="00463996" w:rsidRPr="00463996" w:rsidRDefault="00463996" w:rsidP="00463996">
            <w:pPr>
              <w:pStyle w:val="Prrafodelista"/>
              <w:numPr>
                <w:ilvl w:val="0"/>
                <w:numId w:val="13"/>
              </w:numPr>
              <w:rPr>
                <w:lang w:val="es-CO"/>
              </w:rPr>
            </w:pPr>
            <w:r w:rsidRPr="00463996">
              <w:rPr>
                <w:lang w:val="es-CO"/>
              </w:rPr>
              <w:t>Pasividad</w:t>
            </w:r>
          </w:p>
        </w:tc>
        <w:tc>
          <w:tcPr>
            <w:tcW w:w="2303" w:type="dxa"/>
          </w:tcPr>
          <w:p w14:paraId="560085D9" w14:textId="7F05264E" w:rsidR="00463996" w:rsidRPr="00463996" w:rsidRDefault="00463996" w:rsidP="00463996">
            <w:pPr>
              <w:pStyle w:val="Prrafodelista"/>
              <w:numPr>
                <w:ilvl w:val="0"/>
                <w:numId w:val="13"/>
              </w:numPr>
              <w:rPr>
                <w:lang w:val="es-CO"/>
              </w:rPr>
            </w:pPr>
            <w:r w:rsidRPr="00463996">
              <w:rPr>
                <w:lang w:val="es-CO"/>
              </w:rPr>
              <w:t>Depresión</w:t>
            </w:r>
          </w:p>
        </w:tc>
        <w:tc>
          <w:tcPr>
            <w:tcW w:w="2303" w:type="dxa"/>
          </w:tcPr>
          <w:p w14:paraId="6D1BC878" w14:textId="23099590" w:rsidR="00463996" w:rsidRPr="00463996" w:rsidRDefault="00463996" w:rsidP="00463996">
            <w:pPr>
              <w:pStyle w:val="Prrafodelista"/>
              <w:numPr>
                <w:ilvl w:val="0"/>
                <w:numId w:val="13"/>
              </w:numPr>
              <w:rPr>
                <w:lang w:val="es-CO"/>
              </w:rPr>
            </w:pPr>
            <w:r w:rsidRPr="00463996">
              <w:rPr>
                <w:lang w:val="es-CO"/>
              </w:rPr>
              <w:t>Hostilidad</w:t>
            </w:r>
          </w:p>
        </w:tc>
      </w:tr>
    </w:tbl>
    <w:p w14:paraId="4839A8C3" w14:textId="3D825595" w:rsidR="008F2855" w:rsidRDefault="008F2855" w:rsidP="0046069F">
      <w:pPr>
        <w:pStyle w:val="heading1"/>
        <w:rPr>
          <w:lang w:val="es-CO"/>
        </w:rPr>
      </w:pPr>
      <w:r w:rsidRPr="00F42D15">
        <w:rPr>
          <w:lang w:val="es-CO"/>
        </w:rPr>
        <w:t xml:space="preserve">Métodos </w:t>
      </w:r>
      <w:r w:rsidR="0046069F">
        <w:rPr>
          <w:lang w:val="es-CO"/>
        </w:rPr>
        <w:t xml:space="preserve">Convencionales </w:t>
      </w:r>
      <w:r w:rsidRPr="00F42D15">
        <w:rPr>
          <w:lang w:val="es-CO"/>
        </w:rPr>
        <w:t xml:space="preserve">de </w:t>
      </w:r>
      <w:r w:rsidR="0046069F">
        <w:rPr>
          <w:lang w:val="es-CO"/>
        </w:rPr>
        <w:t>E</w:t>
      </w:r>
      <w:r w:rsidRPr="00F42D15">
        <w:rPr>
          <w:lang w:val="es-CO"/>
        </w:rPr>
        <w:t>valuación FRPO</w:t>
      </w:r>
      <w:r w:rsidR="00F42D15" w:rsidRPr="00F42D15">
        <w:rPr>
          <w:lang w:val="es-CO"/>
        </w:rPr>
        <w:t xml:space="preserve"> (M</w:t>
      </w:r>
      <w:r w:rsidR="0046069F">
        <w:rPr>
          <w:lang w:val="es-CO"/>
        </w:rPr>
        <w:t>CE</w:t>
      </w:r>
      <w:r w:rsidR="00F42D15" w:rsidRPr="00F42D15">
        <w:rPr>
          <w:lang w:val="es-CO"/>
        </w:rPr>
        <w:t>FRPO)</w:t>
      </w:r>
    </w:p>
    <w:p w14:paraId="173B1C8F" w14:textId="3534C80E" w:rsidR="00265DF6" w:rsidRPr="00265DF6" w:rsidRDefault="00265DF6" w:rsidP="00265DF6">
      <w:pPr>
        <w:pStyle w:val="p1a"/>
        <w:rPr>
          <w:rFonts w:eastAsiaTheme="minorEastAsia"/>
          <w:lang w:val="es-ES"/>
        </w:rPr>
      </w:pPr>
      <w:r w:rsidRPr="00265DF6">
        <w:rPr>
          <w:rFonts w:eastAsiaTheme="minorEastAsia"/>
          <w:lang w:val="es-ES"/>
        </w:rPr>
        <w:t xml:space="preserve">En la actualidad, existen métodos que facilitan la evaluación de FRPO y que se han desarrollado a partir de la integración de modelos, que explican los mecanismos de generación de estrés asociados al trabajo. </w:t>
      </w:r>
      <w:proofErr w:type="spellStart"/>
      <w:r w:rsidRPr="00265DF6">
        <w:rPr>
          <w:rFonts w:eastAsiaTheme="minorEastAsia"/>
          <w:lang w:val="es-ES"/>
        </w:rPr>
        <w:t>Blach</w:t>
      </w:r>
      <w:proofErr w:type="spellEnd"/>
      <w:r w:rsidRPr="00265DF6">
        <w:rPr>
          <w:rFonts w:eastAsiaTheme="minorEastAsia"/>
          <w:lang w:val="es-ES"/>
        </w:rPr>
        <w:t xml:space="preserve">, </w:t>
      </w:r>
      <w:proofErr w:type="spellStart"/>
      <w:r w:rsidRPr="00265DF6">
        <w:rPr>
          <w:rFonts w:eastAsiaTheme="minorEastAsia"/>
          <w:lang w:val="es-ES"/>
        </w:rPr>
        <w:t>Sahagun</w:t>
      </w:r>
      <w:proofErr w:type="spellEnd"/>
      <w:r w:rsidRPr="00265DF6">
        <w:rPr>
          <w:rFonts w:eastAsiaTheme="minorEastAsia"/>
          <w:lang w:val="es-ES"/>
        </w:rPr>
        <w:t xml:space="preserve"> y Cervantes, exponen un trabajo en el que consolidan los principales cuestionarios para la evaluación de FRPO </w:t>
      </w:r>
      <w:r w:rsidRPr="00265DF6">
        <w:rPr>
          <w:rFonts w:eastAsiaTheme="minorEastAsia"/>
          <w:lang w:val="es-ES"/>
        </w:rPr>
        <w:fldChar w:fldCharType="begin"/>
      </w:r>
      <w:r w:rsidRPr="00265DF6">
        <w:rPr>
          <w:rFonts w:eastAsiaTheme="minorEastAsia"/>
          <w:lang w:val="es-ES"/>
        </w:rPr>
        <w:instrText>ADDIN RW.CITE{{doc:5cdcdb5be4b0afcfed75cffe VíctorH.CharriaO 2011}}</w:instrText>
      </w:r>
      <w:r w:rsidRPr="00265DF6">
        <w:rPr>
          <w:rFonts w:eastAsiaTheme="minorEastAsia"/>
          <w:lang w:val="es-ES"/>
        </w:rPr>
        <w:fldChar w:fldCharType="separate"/>
      </w:r>
      <w:r w:rsidR="00CC5EC7" w:rsidRPr="00CC5EC7">
        <w:rPr>
          <w:rFonts w:eastAsiaTheme="minorEastAsia"/>
          <w:lang w:val="es-ES"/>
        </w:rPr>
        <w:t>[39]</w:t>
      </w:r>
      <w:r w:rsidRPr="00265DF6">
        <w:rPr>
          <w:rFonts w:eastAsiaTheme="minorEastAsia"/>
          <w:lang w:val="es-ES"/>
        </w:rPr>
        <w:fldChar w:fldCharType="end"/>
      </w:r>
      <w:r w:rsidR="00D70FD4">
        <w:rPr>
          <w:rFonts w:eastAsiaTheme="minorEastAsia"/>
          <w:lang w:val="es-ES"/>
        </w:rPr>
        <w:t xml:space="preserve">. Estos mecanismos son </w:t>
      </w:r>
      <w:r w:rsidR="00C772EE">
        <w:rPr>
          <w:rFonts w:eastAsiaTheme="minorEastAsia"/>
          <w:lang w:val="es-ES"/>
        </w:rPr>
        <w:t>clasificados en tres categorías:</w:t>
      </w:r>
    </w:p>
    <w:p w14:paraId="11D5E62F" w14:textId="77777777" w:rsidR="00C772EE" w:rsidRDefault="00C772EE" w:rsidP="00BC043C">
      <w:pPr>
        <w:pStyle w:val="p1a"/>
        <w:rPr>
          <w:lang w:val="es-ES"/>
        </w:rPr>
      </w:pPr>
    </w:p>
    <w:p w14:paraId="7BB3EFD6" w14:textId="35065913" w:rsidR="00BC043C" w:rsidRDefault="00C772EE" w:rsidP="00BC043C">
      <w:pPr>
        <w:pStyle w:val="p1a"/>
        <w:rPr>
          <w:lang w:val="es-CO"/>
        </w:rPr>
      </w:pPr>
      <w:r>
        <w:rPr>
          <w:lang w:val="es-CO"/>
        </w:rPr>
        <w:t xml:space="preserve">Dentro de la </w:t>
      </w:r>
      <w:r w:rsidR="00BC043C" w:rsidRPr="00BC043C">
        <w:rPr>
          <w:lang w:val="es-CO"/>
        </w:rPr>
        <w:t xml:space="preserve">primera categoría, se </w:t>
      </w:r>
      <w:r>
        <w:rPr>
          <w:lang w:val="es-CO"/>
        </w:rPr>
        <w:t xml:space="preserve">pueden encontrar aquellos instrumentos y mecanismos que </w:t>
      </w:r>
      <w:r w:rsidR="00BC043C" w:rsidRPr="00BC043C">
        <w:rPr>
          <w:lang w:val="es-CO"/>
        </w:rPr>
        <w:t xml:space="preserve"> se derivan del enfoque tradicional de la higiene industrial</w:t>
      </w:r>
      <w:r w:rsidR="00367B48">
        <w:rPr>
          <w:lang w:val="es-CO"/>
        </w:rPr>
        <w:t xml:space="preserve"> </w:t>
      </w:r>
      <w:r>
        <w:rPr>
          <w:lang w:val="es-CO"/>
        </w:rPr>
        <w:t xml:space="preserve">los cuales buscan brindar </w:t>
      </w:r>
      <w:r w:rsidR="00BC043C" w:rsidRPr="00BC043C">
        <w:rPr>
          <w:lang w:val="es-CO"/>
        </w:rPr>
        <w:t>información general sobre las condiciones</w:t>
      </w:r>
      <w:r w:rsidR="00367B48">
        <w:rPr>
          <w:lang w:val="es-CO"/>
        </w:rPr>
        <w:t xml:space="preserve"> </w:t>
      </w:r>
      <w:r w:rsidR="00BC043C" w:rsidRPr="00BC043C">
        <w:rPr>
          <w:lang w:val="es-CO"/>
        </w:rPr>
        <w:t>del trabajo</w:t>
      </w:r>
      <w:r>
        <w:rPr>
          <w:lang w:val="es-CO"/>
        </w:rPr>
        <w:t xml:space="preserve"> </w:t>
      </w:r>
      <w:r w:rsidRPr="00BC043C">
        <w:rPr>
          <w:lang w:val="es-CO"/>
        </w:rPr>
        <w:t>(tiempos de exposición, probabilidades, efectos específicos)</w:t>
      </w:r>
      <w:r>
        <w:rPr>
          <w:lang w:val="es-CO"/>
        </w:rPr>
        <w:t xml:space="preserve"> </w:t>
      </w:r>
      <w:r w:rsidRPr="00BC043C">
        <w:rPr>
          <w:lang w:val="es-CO"/>
        </w:rPr>
        <w:t>y tiene en cuenta la influencia de entornos materiales</w:t>
      </w:r>
      <w:r>
        <w:rPr>
          <w:lang w:val="es-CO"/>
        </w:rPr>
        <w:t xml:space="preserve"> </w:t>
      </w:r>
      <w:r w:rsidRPr="00BC043C">
        <w:rPr>
          <w:lang w:val="es-CO"/>
        </w:rPr>
        <w:t xml:space="preserve">y circunstancias normativas </w:t>
      </w:r>
      <w:r>
        <w:rPr>
          <w:lang w:val="es-CO"/>
        </w:rPr>
        <w:t xml:space="preserve">que rigen la actividad laboral como los  </w:t>
      </w:r>
      <w:r w:rsidRPr="00BC043C">
        <w:rPr>
          <w:lang w:val="es-CO"/>
        </w:rPr>
        <w:t>contratos, puestos,</w:t>
      </w:r>
      <w:r>
        <w:rPr>
          <w:lang w:val="es-CO"/>
        </w:rPr>
        <w:t xml:space="preserve"> remuneraciones, horarios, entre otros</w:t>
      </w:r>
      <w:r w:rsidR="00BC043C" w:rsidRPr="00BC043C">
        <w:rPr>
          <w:lang w:val="es-CO"/>
        </w:rPr>
        <w:t>.</w:t>
      </w:r>
      <w:r>
        <w:rPr>
          <w:lang w:val="es-CO"/>
        </w:rPr>
        <w:t xml:space="preserve"> Sin embargo, no tienen en cuenta variables de la percepción del trabajador y los aspectos sociodemográficos.</w:t>
      </w:r>
      <w:r w:rsidR="00BC043C" w:rsidRPr="00BC043C">
        <w:rPr>
          <w:lang w:val="es-CO"/>
        </w:rPr>
        <w:t xml:space="preserve"> </w:t>
      </w:r>
      <w:r>
        <w:rPr>
          <w:lang w:val="es-CO"/>
        </w:rPr>
        <w:t xml:space="preserve">Ejemplos significativos dentro de esta categoría, se encuentran </w:t>
      </w:r>
      <w:r w:rsidR="00BC043C" w:rsidRPr="00BC043C">
        <w:rPr>
          <w:lang w:val="es-CO"/>
        </w:rPr>
        <w:t xml:space="preserve">el </w:t>
      </w:r>
      <w:proofErr w:type="spellStart"/>
      <w:r w:rsidR="00BC043C" w:rsidRPr="00BC043C">
        <w:rPr>
          <w:lang w:val="es-CO"/>
        </w:rPr>
        <w:t>Questionnaire</w:t>
      </w:r>
      <w:proofErr w:type="spellEnd"/>
      <w:r w:rsidR="00367B48">
        <w:rPr>
          <w:lang w:val="es-CO"/>
        </w:rPr>
        <w:t xml:space="preserve"> </w:t>
      </w:r>
      <w:r w:rsidR="00BC043C" w:rsidRPr="00367B48">
        <w:rPr>
          <w:lang w:val="es-CO"/>
        </w:rPr>
        <w:t xml:space="preserve">for the </w:t>
      </w:r>
      <w:proofErr w:type="spellStart"/>
      <w:r w:rsidR="00BC043C" w:rsidRPr="00367B48">
        <w:rPr>
          <w:lang w:val="es-CO"/>
        </w:rPr>
        <w:t>Fifth</w:t>
      </w:r>
      <w:proofErr w:type="spellEnd"/>
      <w:r w:rsidR="00BC043C" w:rsidRPr="00367B48">
        <w:rPr>
          <w:lang w:val="es-CO"/>
        </w:rPr>
        <w:t xml:space="preserve"> </w:t>
      </w:r>
      <w:proofErr w:type="spellStart"/>
      <w:r w:rsidR="00BC043C" w:rsidRPr="00367B48">
        <w:rPr>
          <w:lang w:val="es-CO"/>
        </w:rPr>
        <w:t>European</w:t>
      </w:r>
      <w:proofErr w:type="spellEnd"/>
      <w:r w:rsidR="00BC043C" w:rsidRPr="00367B48">
        <w:rPr>
          <w:lang w:val="es-CO"/>
        </w:rPr>
        <w:t xml:space="preserve"> Survey </w:t>
      </w:r>
      <w:proofErr w:type="spellStart"/>
      <w:r w:rsidR="00BC043C" w:rsidRPr="00367B48">
        <w:rPr>
          <w:lang w:val="es-CO"/>
        </w:rPr>
        <w:t>on</w:t>
      </w:r>
      <w:proofErr w:type="spellEnd"/>
      <w:r w:rsidR="00BC043C" w:rsidRPr="00367B48">
        <w:rPr>
          <w:lang w:val="es-CO"/>
        </w:rPr>
        <w:t xml:space="preserve"> Working </w:t>
      </w:r>
      <w:proofErr w:type="spellStart"/>
      <w:r w:rsidR="00BC043C" w:rsidRPr="00367B48">
        <w:rPr>
          <w:lang w:val="es-CO"/>
        </w:rPr>
        <w:t>Conditions</w:t>
      </w:r>
      <w:proofErr w:type="spellEnd"/>
      <w:r>
        <w:rPr>
          <w:lang w:val="es-CO"/>
        </w:rPr>
        <w:t xml:space="preserve"> []</w:t>
      </w:r>
      <w:r w:rsidR="00BC043C" w:rsidRPr="00BC043C">
        <w:rPr>
          <w:lang w:val="es-CO"/>
        </w:rPr>
        <w:t xml:space="preserve"> y el Cuestionario Encuesta de Calidad de Vida en el</w:t>
      </w:r>
      <w:r w:rsidR="00367B48">
        <w:rPr>
          <w:lang w:val="es-CO"/>
        </w:rPr>
        <w:t xml:space="preserve"> </w:t>
      </w:r>
      <w:r w:rsidR="00BC043C" w:rsidRPr="00BC043C">
        <w:rPr>
          <w:lang w:val="es-CO"/>
        </w:rPr>
        <w:t>Trabajo</w:t>
      </w:r>
      <w:r w:rsidR="00A00C22">
        <w:rPr>
          <w:lang w:val="es-CO"/>
        </w:rPr>
        <w:t xml:space="preserve"> </w:t>
      </w:r>
      <w:r>
        <w:rPr>
          <w:lang w:val="es-CO"/>
        </w:rPr>
        <w:t>[]</w:t>
      </w:r>
      <w:r w:rsidR="00BC043C" w:rsidRPr="00BC043C">
        <w:rPr>
          <w:lang w:val="es-CO"/>
        </w:rPr>
        <w:t xml:space="preserve">, </w:t>
      </w:r>
      <w:r>
        <w:rPr>
          <w:lang w:val="es-CO"/>
        </w:rPr>
        <w:t>empleado por el Ministerio de Trabajo e Inmigración del gobierno de</w:t>
      </w:r>
      <w:r w:rsidR="00BC043C" w:rsidRPr="00BC043C">
        <w:rPr>
          <w:lang w:val="es-CO"/>
        </w:rPr>
        <w:t xml:space="preserve"> España.</w:t>
      </w:r>
    </w:p>
    <w:p w14:paraId="3F8EB3B1" w14:textId="60907154" w:rsidR="00367B48" w:rsidRDefault="00367B48" w:rsidP="00367B48">
      <w:pPr>
        <w:ind w:firstLine="0"/>
        <w:rPr>
          <w:lang w:val="es-CO"/>
        </w:rPr>
      </w:pPr>
    </w:p>
    <w:p w14:paraId="57DF6C84" w14:textId="5FD96143" w:rsidR="008806A6" w:rsidRPr="00367B48" w:rsidRDefault="00C772EE" w:rsidP="008806A6">
      <w:pPr>
        <w:pStyle w:val="p1a"/>
        <w:rPr>
          <w:lang w:val="es-CO"/>
        </w:rPr>
      </w:pPr>
      <w:r>
        <w:rPr>
          <w:lang w:val="es-CO"/>
        </w:rPr>
        <w:t xml:space="preserve">Dentro de la segunda </w:t>
      </w:r>
      <w:r w:rsidR="00367B48" w:rsidRPr="00367B48">
        <w:rPr>
          <w:lang w:val="es-CO"/>
        </w:rPr>
        <w:t xml:space="preserve">categoría, se </w:t>
      </w:r>
      <w:r>
        <w:rPr>
          <w:lang w:val="es-CO"/>
        </w:rPr>
        <w:t>encuentran aquellos mecanismos que</w:t>
      </w:r>
      <w:r w:rsidR="00367B48" w:rsidRPr="00367B48">
        <w:rPr>
          <w:lang w:val="es-CO"/>
        </w:rPr>
        <w:t xml:space="preserve"> proporcionan información sobre la expo</w:t>
      </w:r>
      <w:r>
        <w:rPr>
          <w:lang w:val="es-CO"/>
        </w:rPr>
        <w:t>sición a factores psicosociales como</w:t>
      </w:r>
      <w:r w:rsidR="00367B48" w:rsidRPr="00367B48">
        <w:rPr>
          <w:lang w:val="es-CO"/>
        </w:rPr>
        <w:t xml:space="preserve"> estrés ocupacional, el síndrome de </w:t>
      </w:r>
      <w:r>
        <w:rPr>
          <w:lang w:val="es-CO"/>
        </w:rPr>
        <w:t>fatiga de</w:t>
      </w:r>
      <w:r w:rsidR="00367B48" w:rsidRPr="00367B48">
        <w:rPr>
          <w:lang w:val="es-CO"/>
        </w:rPr>
        <w:t xml:space="preserve"> trabajo (</w:t>
      </w:r>
      <w:r>
        <w:rPr>
          <w:lang w:val="es-CO"/>
        </w:rPr>
        <w:t>del inglés</w:t>
      </w:r>
      <w:r w:rsidR="00367B48" w:rsidRPr="00367B48">
        <w:rPr>
          <w:lang w:val="es-CO"/>
        </w:rPr>
        <w:t xml:space="preserve"> burnout), satisfacción laboral, </w:t>
      </w:r>
      <w:r w:rsidR="00C87321">
        <w:rPr>
          <w:lang w:val="es-CO"/>
        </w:rPr>
        <w:t>violencia, acoso</w:t>
      </w:r>
      <w:r w:rsidR="00367B48" w:rsidRPr="00367B48">
        <w:rPr>
          <w:lang w:val="es-CO"/>
        </w:rPr>
        <w:t xml:space="preserve">, entre otros. </w:t>
      </w:r>
      <w:r w:rsidR="00C87321">
        <w:rPr>
          <w:lang w:val="es-CO"/>
        </w:rPr>
        <w:t>Algunos ejemplos importantes de esta categoría son el c</w:t>
      </w:r>
      <w:r w:rsidR="00367B48" w:rsidRPr="00367B48">
        <w:rPr>
          <w:lang w:val="es-CO"/>
        </w:rPr>
        <w:t xml:space="preserve">uestionario para la </w:t>
      </w:r>
      <w:r w:rsidR="00C87321">
        <w:rPr>
          <w:lang w:val="es-CO"/>
        </w:rPr>
        <w:lastRenderedPageBreak/>
        <w:t>evaluación del es</w:t>
      </w:r>
      <w:r w:rsidR="00367B48" w:rsidRPr="00367B48">
        <w:rPr>
          <w:lang w:val="es-CO"/>
        </w:rPr>
        <w:t xml:space="preserve">trés, que hace parte de la batería para la evaluación de factores de riesgo psicosocial </w:t>
      </w:r>
      <w:r w:rsidR="00C87321">
        <w:rPr>
          <w:lang w:val="es-CO"/>
        </w:rPr>
        <w:t>expuesta en la página oficial</w:t>
      </w:r>
      <w:r w:rsidR="00367B48" w:rsidRPr="00367B48">
        <w:rPr>
          <w:lang w:val="es-CO"/>
        </w:rPr>
        <w:t xml:space="preserve"> </w:t>
      </w:r>
      <w:r w:rsidR="00C87321">
        <w:rPr>
          <w:lang w:val="es-CO"/>
        </w:rPr>
        <w:t xml:space="preserve">del </w:t>
      </w:r>
      <w:r w:rsidR="00367B48" w:rsidRPr="00367B48">
        <w:rPr>
          <w:lang w:val="es-CO"/>
        </w:rPr>
        <w:t>Ministerio de l</w:t>
      </w:r>
      <w:r w:rsidR="00C87321">
        <w:rPr>
          <w:lang w:val="es-CO"/>
        </w:rPr>
        <w:t>a Protección Social en Colombia</w:t>
      </w:r>
      <w:r w:rsidR="00A00C22">
        <w:rPr>
          <w:lang w:val="es-CO"/>
        </w:rPr>
        <w:t xml:space="preserve"> </w:t>
      </w:r>
      <w:r w:rsidR="00C87321">
        <w:rPr>
          <w:lang w:val="es-CO"/>
        </w:rPr>
        <w:t xml:space="preserve">[]; </w:t>
      </w:r>
      <w:r w:rsidR="00367B48" w:rsidRPr="00367B48">
        <w:rPr>
          <w:lang w:val="es-CO"/>
        </w:rPr>
        <w:t>la Escala de Desgaste Ocupacional</w:t>
      </w:r>
      <w:r w:rsidR="00367B48">
        <w:rPr>
          <w:lang w:val="es-CO"/>
        </w:rPr>
        <w:t xml:space="preserve"> </w:t>
      </w:r>
      <w:r w:rsidR="00C87321">
        <w:rPr>
          <w:lang w:val="es-CO"/>
        </w:rPr>
        <w:t xml:space="preserve">que permite evaluar el </w:t>
      </w:r>
      <w:r w:rsidR="00367B48" w:rsidRPr="00367B48">
        <w:rPr>
          <w:lang w:val="es-CO"/>
        </w:rPr>
        <w:t xml:space="preserve">síndrome de </w:t>
      </w:r>
      <w:r w:rsidR="00C87321">
        <w:rPr>
          <w:lang w:val="es-CO"/>
        </w:rPr>
        <w:t>fatiga</w:t>
      </w:r>
      <w:r w:rsidR="00367B48" w:rsidRPr="00367B48">
        <w:rPr>
          <w:lang w:val="es-CO"/>
        </w:rPr>
        <w:t xml:space="preserve"> en el trabajo (burnout)</w:t>
      </w:r>
      <w:r w:rsidR="008806A6">
        <w:rPr>
          <w:lang w:val="es-CO"/>
        </w:rPr>
        <w:t>;</w:t>
      </w:r>
      <w:r w:rsidR="008806A6" w:rsidRPr="008806A6">
        <w:rPr>
          <w:lang w:val="es-CO"/>
        </w:rPr>
        <w:t xml:space="preserve"> </w:t>
      </w:r>
      <w:r w:rsidR="008806A6" w:rsidRPr="00367B48">
        <w:rPr>
          <w:lang w:val="es-CO"/>
        </w:rPr>
        <w:t>el Inventario</w:t>
      </w:r>
      <w:r w:rsidR="008806A6">
        <w:rPr>
          <w:lang w:val="es-CO"/>
        </w:rPr>
        <w:t xml:space="preserve"> </w:t>
      </w:r>
      <w:r w:rsidR="008806A6" w:rsidRPr="00367B48">
        <w:rPr>
          <w:lang w:val="es-CO"/>
        </w:rPr>
        <w:t>de Violencia y Acoso Psicológico en el Trabajo</w:t>
      </w:r>
      <w:r w:rsidR="0014567E">
        <w:rPr>
          <w:lang w:val="es-CO"/>
        </w:rPr>
        <w:t xml:space="preserve"> </w:t>
      </w:r>
      <w:r w:rsidR="0014567E" w:rsidRPr="00EE432D">
        <w:rPr>
          <w:rFonts w:asciiTheme="minorHAnsi" w:eastAsiaTheme="minorEastAsia" w:hAnsiTheme="minorHAnsi" w:cstheme="minorBidi"/>
          <w:lang w:val="es-ES"/>
        </w:rPr>
        <w:fldChar w:fldCharType="begin"/>
      </w:r>
      <w:r w:rsidR="0014567E" w:rsidRPr="00EE432D">
        <w:rPr>
          <w:rFonts w:asciiTheme="minorHAnsi" w:eastAsiaTheme="minorEastAsia" w:hAnsiTheme="minorHAnsi" w:cstheme="minorBidi"/>
          <w:lang w:val="es-ES"/>
        </w:rPr>
        <w:instrText>ADDIN RW.CITE{{doc:5cdfe82ae4b030c92f1644a1 SMRC 2012}}</w:instrText>
      </w:r>
      <w:r w:rsidR="0014567E" w:rsidRPr="00EE432D">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[40]</w:t>
      </w:r>
      <w:r w:rsidR="0014567E" w:rsidRPr="00EE432D">
        <w:rPr>
          <w:rFonts w:asciiTheme="minorHAnsi" w:eastAsiaTheme="minorEastAsia" w:hAnsiTheme="minorHAnsi" w:cstheme="minorBidi"/>
          <w:lang w:val="es-ES"/>
        </w:rPr>
        <w:fldChar w:fldCharType="end"/>
      </w:r>
      <w:r w:rsidR="00081E51">
        <w:rPr>
          <w:lang w:val="es-CO"/>
        </w:rPr>
        <w:t xml:space="preserve"> y</w:t>
      </w:r>
      <w:r w:rsidR="00367B48">
        <w:rPr>
          <w:lang w:val="es-CO"/>
        </w:rPr>
        <w:t xml:space="preserve"> </w:t>
      </w:r>
      <w:r w:rsidR="00367B48" w:rsidRPr="00367B48">
        <w:rPr>
          <w:lang w:val="es-CO"/>
        </w:rPr>
        <w:t xml:space="preserve">la Utrecht </w:t>
      </w:r>
      <w:proofErr w:type="spellStart"/>
      <w:r w:rsidR="00367B48" w:rsidRPr="00367B48">
        <w:rPr>
          <w:lang w:val="es-CO"/>
        </w:rPr>
        <w:t>Work</w:t>
      </w:r>
      <w:proofErr w:type="spellEnd"/>
      <w:r w:rsidR="00367B48" w:rsidRPr="00367B48">
        <w:rPr>
          <w:lang w:val="es-CO"/>
        </w:rPr>
        <w:t xml:space="preserve"> Engagement </w:t>
      </w:r>
      <w:proofErr w:type="spellStart"/>
      <w:r w:rsidR="00367B48" w:rsidRPr="00367B48">
        <w:rPr>
          <w:lang w:val="es-CO"/>
        </w:rPr>
        <w:t>Scale</w:t>
      </w:r>
      <w:proofErr w:type="spellEnd"/>
      <w:r w:rsidR="0014567E">
        <w:rPr>
          <w:rFonts w:asciiTheme="minorHAnsi" w:eastAsiaTheme="minorEastAsia" w:hAnsiTheme="minorHAnsi" w:cstheme="minorBidi"/>
          <w:lang w:val="es-ES"/>
        </w:rPr>
        <w:t xml:space="preserve"> </w:t>
      </w:r>
      <w:r w:rsidR="0014567E" w:rsidRPr="00EE432D">
        <w:rPr>
          <w:rFonts w:asciiTheme="minorHAnsi" w:eastAsiaTheme="minorEastAsia" w:hAnsiTheme="minorHAnsi" w:cstheme="minorBidi"/>
          <w:lang w:val="es-ES"/>
        </w:rPr>
        <w:fldChar w:fldCharType="begin"/>
      </w:r>
      <w:r w:rsidR="0014567E" w:rsidRPr="00EE432D">
        <w:rPr>
          <w:rFonts w:asciiTheme="minorHAnsi" w:eastAsiaTheme="minorEastAsia" w:hAnsiTheme="minorHAnsi" w:cstheme="minorBidi"/>
          <w:lang w:val="es-ES"/>
        </w:rPr>
        <w:instrText>ADDIN RW.CITE{{doc:5cdfe82ae4b030c92f1644a1 SMRC 2012}}</w:instrText>
      </w:r>
      <w:r w:rsidR="0014567E" w:rsidRPr="00EE432D">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[40]</w:t>
      </w:r>
      <w:r w:rsidR="0014567E" w:rsidRPr="00EE432D">
        <w:rPr>
          <w:rFonts w:asciiTheme="minorHAnsi" w:eastAsiaTheme="minorEastAsia" w:hAnsiTheme="minorHAnsi" w:cstheme="minorBidi"/>
          <w:lang w:val="es-ES"/>
        </w:rPr>
        <w:fldChar w:fldCharType="end"/>
      </w:r>
      <w:r w:rsidR="00367B48" w:rsidRPr="00367B48">
        <w:rPr>
          <w:lang w:val="es-CO"/>
        </w:rPr>
        <w:t>, que evalúa</w:t>
      </w:r>
      <w:r w:rsidR="00367B48">
        <w:rPr>
          <w:lang w:val="es-CO"/>
        </w:rPr>
        <w:t xml:space="preserve"> </w:t>
      </w:r>
      <w:r w:rsidR="00C87321">
        <w:rPr>
          <w:lang w:val="es-CO"/>
        </w:rPr>
        <w:t>la experiencia y</w:t>
      </w:r>
      <w:r w:rsidR="00367B48" w:rsidRPr="00367B48">
        <w:rPr>
          <w:lang w:val="es-CO"/>
        </w:rPr>
        <w:t xml:space="preserve"> bienestar</w:t>
      </w:r>
      <w:r w:rsidR="00C87321">
        <w:rPr>
          <w:lang w:val="es-CO"/>
        </w:rPr>
        <w:t xml:space="preserve"> de los trabajadores</w:t>
      </w:r>
      <w:r w:rsidR="008806A6">
        <w:rPr>
          <w:lang w:val="es-CO"/>
        </w:rPr>
        <w:t>.</w:t>
      </w:r>
    </w:p>
    <w:p w14:paraId="7A253025" w14:textId="2C6DA0AF" w:rsidR="00367B48" w:rsidRDefault="00367B48" w:rsidP="0014567E">
      <w:pPr>
        <w:pStyle w:val="p1a"/>
        <w:rPr>
          <w:lang w:val="es-CO"/>
        </w:rPr>
      </w:pPr>
    </w:p>
    <w:p w14:paraId="400F6412" w14:textId="31752AEC" w:rsidR="00367B48" w:rsidRPr="00367B48" w:rsidRDefault="00367B48" w:rsidP="00367B48">
      <w:pPr>
        <w:ind w:firstLine="0"/>
        <w:rPr>
          <w:lang w:val="es-CO"/>
        </w:rPr>
      </w:pPr>
      <w:r w:rsidRPr="00367B48">
        <w:rPr>
          <w:lang w:val="es-CO"/>
        </w:rPr>
        <w:t>En la tercera categoría,</w:t>
      </w:r>
      <w:r w:rsidR="0014567E">
        <w:rPr>
          <w:lang w:val="es-CO"/>
        </w:rPr>
        <w:t xml:space="preserve"> se enmarcan</w:t>
      </w:r>
      <w:r w:rsidR="008806A6">
        <w:rPr>
          <w:lang w:val="es-CO"/>
        </w:rPr>
        <w:t xml:space="preserve"> los cuestionaros que asumen el formato </w:t>
      </w:r>
      <w:r w:rsidRPr="00367B48">
        <w:rPr>
          <w:lang w:val="es-CO"/>
        </w:rPr>
        <w:t>de auto</w:t>
      </w:r>
      <w:r w:rsidR="00081E51">
        <w:rPr>
          <w:lang w:val="es-CO"/>
        </w:rPr>
        <w:t>-</w:t>
      </w:r>
      <w:r w:rsidRPr="00367B48">
        <w:rPr>
          <w:lang w:val="es-CO"/>
        </w:rPr>
        <w:t xml:space="preserve">informe. </w:t>
      </w:r>
      <w:r w:rsidR="008806A6">
        <w:rPr>
          <w:lang w:val="es-CO"/>
        </w:rPr>
        <w:t>En este tipo de mecanismos</w:t>
      </w:r>
      <w:r w:rsidR="0014567E">
        <w:rPr>
          <w:lang w:val="es-CO"/>
        </w:rPr>
        <w:t>,</w:t>
      </w:r>
      <w:r w:rsidR="008806A6">
        <w:rPr>
          <w:lang w:val="es-CO"/>
        </w:rPr>
        <w:t xml:space="preserve"> es importante</w:t>
      </w:r>
      <w:r w:rsidRPr="00367B48">
        <w:rPr>
          <w:lang w:val="es-CO"/>
        </w:rPr>
        <w:t xml:space="preserve"> la percepción del trabajador</w:t>
      </w:r>
      <w:r>
        <w:rPr>
          <w:lang w:val="es-CO"/>
        </w:rPr>
        <w:t xml:space="preserve"> </w:t>
      </w:r>
      <w:r w:rsidRPr="00367B48">
        <w:rPr>
          <w:lang w:val="es-CO"/>
        </w:rPr>
        <w:t>para la comprensión de los procesos generadores de</w:t>
      </w:r>
      <w:r>
        <w:rPr>
          <w:lang w:val="es-CO"/>
        </w:rPr>
        <w:t xml:space="preserve"> </w:t>
      </w:r>
      <w:r w:rsidR="008806A6">
        <w:rPr>
          <w:lang w:val="es-CO"/>
        </w:rPr>
        <w:t xml:space="preserve">estrés. Adicionalmente, </w:t>
      </w:r>
      <w:r w:rsidRPr="00367B48">
        <w:rPr>
          <w:lang w:val="es-CO"/>
        </w:rPr>
        <w:t>buscan captar la experiencia laboral del</w:t>
      </w:r>
      <w:r>
        <w:rPr>
          <w:lang w:val="es-CO"/>
        </w:rPr>
        <w:t xml:space="preserve"> </w:t>
      </w:r>
      <w:r w:rsidRPr="00367B48">
        <w:rPr>
          <w:lang w:val="es-CO"/>
        </w:rPr>
        <w:t>trabajador, considerando la relación entre aspectos individuales,</w:t>
      </w:r>
      <w:r w:rsidR="0035503D">
        <w:rPr>
          <w:lang w:val="es-CO"/>
        </w:rPr>
        <w:t xml:space="preserve"> </w:t>
      </w:r>
      <w:r w:rsidRPr="00367B48">
        <w:rPr>
          <w:lang w:val="es-CO"/>
        </w:rPr>
        <w:t>sociales y laborales para la comprensión de la</w:t>
      </w:r>
      <w:r>
        <w:rPr>
          <w:lang w:val="es-CO"/>
        </w:rPr>
        <w:t xml:space="preserve"> </w:t>
      </w:r>
      <w:r w:rsidRPr="00367B48">
        <w:rPr>
          <w:lang w:val="es-CO"/>
        </w:rPr>
        <w:t>relación salud –</w:t>
      </w:r>
      <w:r w:rsidR="0014567E">
        <w:rPr>
          <w:lang w:val="es-CO"/>
        </w:rPr>
        <w:t xml:space="preserve"> enfermedad. En esta categoría se caracterizan</w:t>
      </w:r>
      <w:r w:rsidRPr="00367B48">
        <w:rPr>
          <w:lang w:val="es-CO"/>
        </w:rPr>
        <w:t xml:space="preserve"> el modelo</w:t>
      </w:r>
      <w:r>
        <w:rPr>
          <w:lang w:val="es-CO"/>
        </w:rPr>
        <w:t xml:space="preserve"> </w:t>
      </w:r>
      <w:r w:rsidRPr="00367B48">
        <w:rPr>
          <w:lang w:val="es-CO"/>
        </w:rPr>
        <w:t>Demanda – Control y el modelo Desequilibrio</w:t>
      </w:r>
      <w:r>
        <w:rPr>
          <w:lang w:val="es-CO"/>
        </w:rPr>
        <w:t xml:space="preserve"> </w:t>
      </w:r>
      <w:r w:rsidRPr="00367B48">
        <w:rPr>
          <w:lang w:val="es-CO"/>
        </w:rPr>
        <w:t>Esfuerzo – Recompensa</w:t>
      </w:r>
      <w:r w:rsidR="0014567E">
        <w:rPr>
          <w:lang w:val="es-CO"/>
        </w:rPr>
        <w:t xml:space="preserve"> </w:t>
      </w:r>
      <w:r w:rsidR="0014567E" w:rsidRPr="00EE432D">
        <w:rPr>
          <w:rFonts w:asciiTheme="minorHAnsi" w:eastAsiaTheme="minorEastAsia" w:hAnsiTheme="minorHAnsi" w:cstheme="minorBidi"/>
          <w:lang w:val="es-ES"/>
        </w:rPr>
        <w:fldChar w:fldCharType="begin"/>
      </w:r>
      <w:r w:rsidR="0014567E" w:rsidRPr="00EE432D">
        <w:rPr>
          <w:rFonts w:asciiTheme="minorHAnsi" w:eastAsiaTheme="minorEastAsia" w:hAnsiTheme="minorHAnsi" w:cstheme="minorBidi"/>
          <w:lang w:val="es-ES"/>
        </w:rPr>
        <w:instrText>ADDIN RW.CITE{{doc:5ce09426e4b030c92f168f78 CalvodeMoraMartínez,Javier 1991; doc:5ce09421e4b0407a3a23380e Pekrun,Reinhard 2011}}</w:instrText>
      </w:r>
      <w:r w:rsidR="0014567E" w:rsidRPr="00EE432D">
        <w:rPr>
          <w:rFonts w:asciiTheme="minorHAnsi" w:eastAsiaTheme="minorEastAsia" w:hAnsiTheme="minorHAnsi" w:cstheme="minorBidi"/>
          <w:lang w:val="es-ES"/>
        </w:rPr>
        <w:fldChar w:fldCharType="separate"/>
      </w:r>
      <w:r w:rsidR="00CC5EC7" w:rsidRPr="00CC5EC7">
        <w:rPr>
          <w:rFonts w:asciiTheme="minorHAnsi" w:eastAsiaTheme="minorEastAsia" w:hAnsiTheme="minorHAnsi" w:cstheme="minorBidi"/>
          <w:lang w:val="es-ES"/>
        </w:rPr>
        <w:t>[41], [42]</w:t>
      </w:r>
      <w:r w:rsidR="0014567E" w:rsidRPr="00EE432D">
        <w:rPr>
          <w:rFonts w:asciiTheme="minorHAnsi" w:eastAsiaTheme="minorEastAsia" w:hAnsiTheme="minorHAnsi" w:cstheme="minorBidi"/>
          <w:lang w:val="es-ES"/>
        </w:rPr>
        <w:fldChar w:fldCharType="end"/>
      </w:r>
      <w:r w:rsidR="0014567E">
        <w:rPr>
          <w:lang w:val="es-CO"/>
        </w:rPr>
        <w:t xml:space="preserve">. </w:t>
      </w:r>
      <w:r w:rsidRPr="00367B48">
        <w:rPr>
          <w:lang w:val="es-CO"/>
        </w:rPr>
        <w:t>El modelo Demanda – Control explica el estrés en</w:t>
      </w:r>
      <w:r>
        <w:rPr>
          <w:lang w:val="es-CO"/>
        </w:rPr>
        <w:t xml:space="preserve"> </w:t>
      </w:r>
      <w:r w:rsidRPr="00367B48">
        <w:rPr>
          <w:lang w:val="es-CO"/>
        </w:rPr>
        <w:t>función de la interacción entre las características específicas</w:t>
      </w:r>
      <w:r>
        <w:rPr>
          <w:lang w:val="es-CO"/>
        </w:rPr>
        <w:t xml:space="preserve"> </w:t>
      </w:r>
      <w:r w:rsidRPr="00367B48">
        <w:rPr>
          <w:lang w:val="es-CO"/>
        </w:rPr>
        <w:t>del puesto de trabajo, las demandas psicológicas y</w:t>
      </w:r>
      <w:r>
        <w:rPr>
          <w:lang w:val="es-CO"/>
        </w:rPr>
        <w:t xml:space="preserve"> </w:t>
      </w:r>
      <w:r w:rsidRPr="00367B48">
        <w:rPr>
          <w:lang w:val="es-CO"/>
        </w:rPr>
        <w:t>el grado de control sobre las tareas. Así, plantea cuatro</w:t>
      </w:r>
      <w:r>
        <w:rPr>
          <w:lang w:val="es-CO"/>
        </w:rPr>
        <w:t xml:space="preserve"> </w:t>
      </w:r>
      <w:r w:rsidRPr="00367B48">
        <w:rPr>
          <w:lang w:val="es-CO"/>
        </w:rPr>
        <w:t>grupos: alta tensión (altas demandas y bajo control) baja</w:t>
      </w:r>
      <w:r>
        <w:rPr>
          <w:lang w:val="es-CO"/>
        </w:rPr>
        <w:t xml:space="preserve"> </w:t>
      </w:r>
      <w:r w:rsidRPr="00367B48">
        <w:rPr>
          <w:lang w:val="es-CO"/>
        </w:rPr>
        <w:t>tensión (bajas demandas y alto control), trabajadores activos</w:t>
      </w:r>
      <w:r>
        <w:rPr>
          <w:lang w:val="es-CO"/>
        </w:rPr>
        <w:t xml:space="preserve"> </w:t>
      </w:r>
      <w:r w:rsidRPr="00367B48">
        <w:rPr>
          <w:lang w:val="es-CO"/>
        </w:rPr>
        <w:t>(altas demandas y alto control) y pasivos (bajas demandas</w:t>
      </w:r>
      <w:r>
        <w:rPr>
          <w:lang w:val="es-CO"/>
        </w:rPr>
        <w:t xml:space="preserve"> </w:t>
      </w:r>
      <w:r w:rsidRPr="00367B48">
        <w:rPr>
          <w:lang w:val="es-CO"/>
        </w:rPr>
        <w:t>y bajo control). Además, integra el apoyo social</w:t>
      </w:r>
      <w:r>
        <w:rPr>
          <w:lang w:val="es-CO"/>
        </w:rPr>
        <w:t xml:space="preserve"> </w:t>
      </w:r>
      <w:r w:rsidRPr="00367B48">
        <w:rPr>
          <w:lang w:val="es-CO"/>
        </w:rPr>
        <w:t>como un elemento moderador de la relación entre las</w:t>
      </w:r>
      <w:r>
        <w:rPr>
          <w:lang w:val="es-CO"/>
        </w:rPr>
        <w:t xml:space="preserve"> </w:t>
      </w:r>
      <w:r w:rsidRPr="00367B48">
        <w:rPr>
          <w:lang w:val="es-CO"/>
        </w:rPr>
        <w:t>anteriores variables.</w:t>
      </w:r>
    </w:p>
    <w:p w14:paraId="60492287" w14:textId="4C6BDD43" w:rsidR="0046069F" w:rsidRDefault="0046069F" w:rsidP="0046069F">
      <w:pPr>
        <w:pStyle w:val="heading1"/>
        <w:rPr>
          <w:lang w:val="es-CO"/>
        </w:rPr>
      </w:pPr>
      <w:r>
        <w:rPr>
          <w:lang w:val="es-CO"/>
        </w:rPr>
        <w:t>Métodos Tecnológicos de Evaluación de FRPO (MTEFRPO)</w:t>
      </w:r>
    </w:p>
    <w:p w14:paraId="56F3A724" w14:textId="54B3A39D" w:rsidR="008F2855" w:rsidRDefault="003022B5" w:rsidP="008F2855">
      <w:pPr>
        <w:pStyle w:val="heading2"/>
        <w:rPr>
          <w:lang w:val="es-CO"/>
        </w:rPr>
      </w:pPr>
      <w:r>
        <w:rPr>
          <w:lang w:val="es-CO"/>
        </w:rPr>
        <w:t>O</w:t>
      </w:r>
      <w:r w:rsidR="008F2855" w:rsidRPr="008F2855">
        <w:rPr>
          <w:lang w:val="es-CO"/>
        </w:rPr>
        <w:t xml:space="preserve">rientados </w:t>
      </w:r>
      <w:r w:rsidR="008F2855">
        <w:rPr>
          <w:lang w:val="es-CO"/>
        </w:rPr>
        <w:t>a la condición física</w:t>
      </w:r>
      <w:r w:rsidR="00F42D15">
        <w:rPr>
          <w:lang w:val="es-CO"/>
        </w:rPr>
        <w:t xml:space="preserve"> (OCFI)</w:t>
      </w:r>
    </w:p>
    <w:p w14:paraId="0A98B074" w14:textId="1CE9EB52" w:rsidR="003022B5" w:rsidRPr="003022B5" w:rsidRDefault="00265DF6" w:rsidP="00CC5EC7">
      <w:pPr>
        <w:ind w:firstLine="0"/>
        <w:rPr>
          <w:lang w:val="es-CO"/>
        </w:rPr>
      </w:pPr>
      <w:r w:rsidRPr="00CC5EC7">
        <w:rPr>
          <w:lang w:val="es-CO"/>
        </w:rPr>
        <w:t xml:space="preserve">Existen referentes que han abordado algunos aspectos relacionados con la salud mental de las personas en el entorno laboral </w:t>
      </w:r>
      <w:r w:rsidRPr="00CC5EC7">
        <w:rPr>
          <w:lang w:val="es-CO"/>
        </w:rPr>
        <w:fldChar w:fldCharType="begin"/>
      </w:r>
      <w:r w:rsidRPr="00CC5EC7">
        <w:rPr>
          <w:lang w:val="es-CO"/>
        </w:rPr>
        <w:instrText>ADDIN RW.CITE{{doc:5ca198aee4b03723cb54d0b6 Choi,Sehoon 2018; doc:5cbbab16e4b0a584f9b6a60c Golonka,Krystyna 2019}}</w:instrText>
      </w:r>
      <w:r w:rsidRPr="00CC5EC7">
        <w:rPr>
          <w:lang w:val="es-CO"/>
        </w:rPr>
        <w:fldChar w:fldCharType="separate"/>
      </w:r>
      <w:r w:rsidR="00CC5EC7" w:rsidRPr="00CC5EC7">
        <w:rPr>
          <w:lang w:val="es-CO"/>
        </w:rPr>
        <w:t>[43], [44]</w:t>
      </w:r>
      <w:r w:rsidRPr="00CC5EC7">
        <w:rPr>
          <w:lang w:val="es-CO"/>
        </w:rPr>
        <w:fldChar w:fldCharType="end"/>
      </w:r>
      <w:r w:rsidRPr="00CC5EC7">
        <w:rPr>
          <w:lang w:val="es-CO"/>
        </w:rPr>
        <w:t xml:space="preserve">. Algunos de estos trabajos, han dado como resultado, soluciones tecnológicas para el monitoreo de algunos aspectos específicos de los FRPO que van desde la implementación de controles de carga en las extremidades y otras partes del cuerpo a partir de sensores </w:t>
      </w:r>
      <w:r w:rsidRPr="00CC5EC7">
        <w:rPr>
          <w:lang w:val="es-CO"/>
        </w:rPr>
        <w:fldChar w:fldCharType="begin"/>
      </w:r>
      <w:r w:rsidRPr="00CC5EC7">
        <w:rPr>
          <w:lang w:val="es-CO"/>
        </w:rPr>
        <w:instrText>ADDIN RW.CITE{{doc:5cbb96a0e4b06bbb8aabeda7 Yong-RenHuang Oct 2012}}</w:instrText>
      </w:r>
      <w:r w:rsidRPr="00CC5EC7">
        <w:rPr>
          <w:lang w:val="es-CO"/>
        </w:rPr>
        <w:fldChar w:fldCharType="separate"/>
      </w:r>
      <w:r w:rsidR="00CC5EC7" w:rsidRPr="00CC5EC7">
        <w:rPr>
          <w:lang w:val="es-CO"/>
        </w:rPr>
        <w:t>[45]</w:t>
      </w:r>
      <w:r w:rsidRPr="00CC5EC7">
        <w:rPr>
          <w:lang w:val="es-CO"/>
        </w:rPr>
        <w:fldChar w:fldCharType="end"/>
      </w:r>
      <w:r w:rsidR="00CC5EC7">
        <w:rPr>
          <w:lang w:val="es-CO"/>
        </w:rPr>
        <w:t xml:space="preserve">. </w:t>
      </w:r>
      <w:r w:rsidRPr="00CC5EC7">
        <w:rPr>
          <w:lang w:val="es-CO"/>
        </w:rPr>
        <w:t xml:space="preserve"> </w:t>
      </w:r>
      <w:r w:rsidR="00CC5EC7">
        <w:rPr>
          <w:lang w:val="es-CO"/>
        </w:rPr>
        <w:t xml:space="preserve">Otras aproximaciones están orientadas a disminuir los accidentes detectando elementos  u obstáculos que pueden generar un accidente. Entre estas aproximaciones se pueden notar trabajos que identifican derrames de líquidos o herramientas </w:t>
      </w:r>
      <w:r w:rsidR="0035503D">
        <w:rPr>
          <w:lang w:val="es-CO"/>
        </w:rPr>
        <w:t xml:space="preserve">orientados al entorno </w:t>
      </w:r>
      <w:r w:rsidR="0035503D">
        <w:rPr>
          <w:lang w:val="es-CO"/>
        </w:rPr>
        <w:fldChar w:fldCharType="begin"/>
      </w:r>
      <w:r w:rsidR="00803B9E">
        <w:rPr>
          <w:lang w:val="es-CO"/>
        </w:rPr>
        <w:instrText>ADDIN RW.CITE{{doc:5cbd4802e4b0fd29d1c5ac8b CNET 2017; doc:5cbd6188e4b07e8173dacfaf MaxMartin 2018; doc:5ca97e20e4b0523bc525891b Seo,JoonOh 2015; doc:5cbd5affe4b0873afb8d7890 SafetyCompany 2017}}</w:instrText>
      </w:r>
      <w:r w:rsidR="0035503D">
        <w:rPr>
          <w:lang w:val="es-CO"/>
        </w:rPr>
        <w:fldChar w:fldCharType="separate"/>
      </w:r>
      <w:r w:rsidR="00803B9E" w:rsidRPr="00803B9E">
        <w:rPr>
          <w:lang w:val="es-CO"/>
        </w:rPr>
        <w:t>[46]-[49]</w:t>
      </w:r>
      <w:r w:rsidR="0035503D">
        <w:rPr>
          <w:lang w:val="es-CO"/>
        </w:rPr>
        <w:fldChar w:fldCharType="end"/>
      </w:r>
    </w:p>
    <w:p w14:paraId="19D84D05" w14:textId="16175D9B" w:rsidR="008F2855" w:rsidRDefault="003022B5" w:rsidP="008F2855">
      <w:pPr>
        <w:pStyle w:val="heading2"/>
        <w:rPr>
          <w:lang w:val="es-CO"/>
        </w:rPr>
      </w:pPr>
      <w:r>
        <w:rPr>
          <w:lang w:val="es-CO"/>
        </w:rPr>
        <w:t>O</w:t>
      </w:r>
      <w:r w:rsidR="008F2855">
        <w:rPr>
          <w:lang w:val="es-CO"/>
        </w:rPr>
        <w:t>rientados a la condición mental</w:t>
      </w:r>
      <w:r w:rsidR="00F42D15">
        <w:rPr>
          <w:lang w:val="es-CO"/>
        </w:rPr>
        <w:t xml:space="preserve"> (OCME)</w:t>
      </w:r>
    </w:p>
    <w:p w14:paraId="323EB674" w14:textId="036B16AA" w:rsidR="00265DF6" w:rsidRPr="00BB613B" w:rsidRDefault="00CC5EC7" w:rsidP="00265DF6">
      <w:pPr>
        <w:ind w:firstLine="0"/>
        <w:rPr>
          <w:lang w:val="es-CO"/>
        </w:rPr>
      </w:pPr>
      <w:r w:rsidRPr="00803B9E">
        <w:rPr>
          <w:lang w:val="es-CO"/>
        </w:rPr>
        <w:t xml:space="preserve">Con el fin de identificar aspectos relacionados con la condición mental en las personas, se han conformado aproximaciones mediante el uso de inteligencia artificial y visión por computado. En algunas de estas aproximaciones se emplean instrumentos </w:t>
      </w:r>
      <w:r w:rsidR="00803B9E" w:rsidRPr="00803B9E">
        <w:rPr>
          <w:lang w:val="es-CO"/>
        </w:rPr>
        <w:t>médicos orientados</w:t>
      </w:r>
      <w:r w:rsidRPr="00803B9E">
        <w:rPr>
          <w:lang w:val="es-CO"/>
        </w:rPr>
        <w:t xml:space="preserve"> </w:t>
      </w:r>
      <w:r w:rsidR="00803B9E" w:rsidRPr="00803B9E">
        <w:rPr>
          <w:lang w:val="es-CO"/>
        </w:rPr>
        <w:t>a la</w:t>
      </w:r>
      <w:r w:rsidR="00265DF6" w:rsidRPr="00803B9E">
        <w:rPr>
          <w:lang w:val="es-CO"/>
        </w:rPr>
        <w:t xml:space="preserve"> evaluación de estrés en personas, empleando imágenes de electroencefalograma </w:t>
      </w:r>
      <w:r w:rsidR="00265DF6" w:rsidRPr="00803B9E">
        <w:rPr>
          <w:lang w:val="es-CO"/>
        </w:rPr>
        <w:fldChar w:fldCharType="begin"/>
      </w:r>
      <w:r w:rsidR="00265DF6" w:rsidRPr="00803B9E">
        <w:rPr>
          <w:lang w:val="es-CO"/>
        </w:rPr>
        <w:instrText>ADDIN RW.CITE{{doc:5ca214bbe4b03723cb551985 Jebelli,Houtan 2018}}</w:instrText>
      </w:r>
      <w:r w:rsidR="00265DF6" w:rsidRPr="00803B9E">
        <w:rPr>
          <w:lang w:val="es-CO"/>
        </w:rPr>
        <w:fldChar w:fldCharType="separate"/>
      </w:r>
      <w:r w:rsidRPr="00803B9E">
        <w:rPr>
          <w:lang w:val="es-CO"/>
        </w:rPr>
        <w:t>[50]</w:t>
      </w:r>
      <w:r w:rsidR="00265DF6" w:rsidRPr="00803B9E">
        <w:rPr>
          <w:lang w:val="es-CO"/>
        </w:rPr>
        <w:fldChar w:fldCharType="end"/>
      </w:r>
      <w:r w:rsidR="00265DF6" w:rsidRPr="00803B9E">
        <w:rPr>
          <w:lang w:val="es-CO"/>
        </w:rPr>
        <w:t>.</w:t>
      </w:r>
      <w:r w:rsidR="00803B9E">
        <w:rPr>
          <w:lang w:val="es-CO"/>
        </w:rPr>
        <w:t xml:space="preserve"> </w:t>
      </w:r>
      <w:r w:rsidR="00A00C22">
        <w:rPr>
          <w:lang w:val="es-CO"/>
        </w:rPr>
        <w:t xml:space="preserve">Otros trabajos se enfocan en el reconocimiento y clasificación de emociones, principalmente a partir de las expresiones faciales </w:t>
      </w:r>
      <w:r w:rsidR="00265DF6">
        <w:rPr>
          <w:rFonts w:eastAsiaTheme="minorEastAsia"/>
          <w:lang w:val="es-ES"/>
        </w:rPr>
        <w:fldChar w:fldCharType="begin"/>
      </w:r>
      <w:r w:rsidR="00265DF6">
        <w:rPr>
          <w:rFonts w:eastAsiaTheme="minorEastAsia"/>
          <w:lang w:val="es-ES"/>
        </w:rPr>
        <w:instrText>ADDIN RW.CITE{{doc:5ca19966e4b029ba3645f19c Bevilacqua,Fernando 2018; doc:5ca19981e4b0e0b8f7c77d2c Abbas,Qaisar 2018; doc:5ca198c2e4b029ba3645f176 Campos,Victor 2016; doc:5ca198d9e4b029ba3645f17d Jain,Neha 2018; doc:5ca214bbe4b03723cb551983 Jain,DeepakKumar 2019; doc:5ca198dce4b0572cdb6dffd9 Ko,ByoungChul 2018}}</w:instrText>
      </w:r>
      <w:r w:rsidR="00265DF6">
        <w:rPr>
          <w:rFonts w:eastAsiaTheme="minorEastAsia"/>
          <w:lang w:val="es-ES"/>
        </w:rPr>
        <w:fldChar w:fldCharType="separate"/>
      </w:r>
      <w:r w:rsidRPr="00CC5EC7">
        <w:rPr>
          <w:rFonts w:eastAsiaTheme="minorEastAsia"/>
          <w:bCs/>
          <w:lang w:val="es-ES"/>
        </w:rPr>
        <w:t>[51]-[56]</w:t>
      </w:r>
      <w:r w:rsidR="00265DF6">
        <w:rPr>
          <w:rFonts w:eastAsiaTheme="minorEastAsia"/>
          <w:lang w:val="es-ES"/>
        </w:rPr>
        <w:fldChar w:fldCharType="end"/>
      </w:r>
      <w:r w:rsidR="00BB613B">
        <w:rPr>
          <w:lang w:val="es-CO"/>
        </w:rPr>
        <w:t xml:space="preserve">. Algunas aproximaciones propenden la detección específica de efectos de FRPO como el </w:t>
      </w:r>
      <w:r w:rsidR="00BB613B">
        <w:rPr>
          <w:rFonts w:eastAsiaTheme="minorEastAsia"/>
          <w:lang w:val="es-ES"/>
        </w:rPr>
        <w:t>e</w:t>
      </w:r>
      <w:r w:rsidR="00265DF6">
        <w:rPr>
          <w:rFonts w:eastAsiaTheme="minorEastAsia"/>
          <w:lang w:val="es-ES"/>
        </w:rPr>
        <w:t>strés</w:t>
      </w:r>
      <w:r w:rsidR="00BE70B9">
        <w:rPr>
          <w:rFonts w:eastAsiaTheme="minorEastAsia"/>
          <w:lang w:val="es-ES"/>
        </w:rPr>
        <w:t xml:space="preserve"> </w:t>
      </w:r>
      <w:r w:rsidR="00265DF6">
        <w:rPr>
          <w:rFonts w:eastAsiaTheme="minorEastAsia"/>
          <w:lang w:val="es-ES"/>
        </w:rPr>
        <w:fldChar w:fldCharType="begin"/>
      </w:r>
      <w:r w:rsidR="00265DF6">
        <w:rPr>
          <w:rFonts w:eastAsiaTheme="minorEastAsia"/>
          <w:lang w:val="es-ES"/>
        </w:rPr>
        <w:instrText>ADDIN RW.CITE{{doc:5ca214bbe4b03723cb551985 Jebelli,Houtan 2018; doc:5ca20ce8e4b0db42a2e65f7c Dinges,DavidF 2005}}</w:instrText>
      </w:r>
      <w:r w:rsidR="00265DF6">
        <w:rPr>
          <w:rFonts w:eastAsiaTheme="minorEastAsia"/>
          <w:lang w:val="es-ES"/>
        </w:rPr>
        <w:fldChar w:fldCharType="separate"/>
      </w:r>
      <w:r w:rsidRPr="00CC5EC7">
        <w:rPr>
          <w:rFonts w:eastAsiaTheme="minorEastAsia"/>
          <w:bCs/>
          <w:lang w:val="es-ES"/>
        </w:rPr>
        <w:t>[50], [57]</w:t>
      </w:r>
      <w:r w:rsidR="00265DF6">
        <w:rPr>
          <w:rFonts w:eastAsiaTheme="minorEastAsia"/>
          <w:lang w:val="es-ES"/>
        </w:rPr>
        <w:fldChar w:fldCharType="end"/>
      </w:r>
      <w:r w:rsidR="00BB613B">
        <w:rPr>
          <w:rFonts w:eastAsiaTheme="minorEastAsia"/>
          <w:lang w:val="es-ES"/>
        </w:rPr>
        <w:t xml:space="preserve"> y la</w:t>
      </w:r>
      <w:r w:rsidR="00BB613B">
        <w:rPr>
          <w:lang w:val="es-CO"/>
        </w:rPr>
        <w:t xml:space="preserve"> </w:t>
      </w:r>
      <w:r w:rsidR="00BB613B">
        <w:rPr>
          <w:rFonts w:eastAsiaTheme="minorEastAsia"/>
          <w:lang w:val="es-ES"/>
        </w:rPr>
        <w:t>depresió</w:t>
      </w:r>
      <w:r w:rsidR="00265DF6">
        <w:rPr>
          <w:rFonts w:eastAsiaTheme="minorEastAsia"/>
          <w:lang w:val="es-ES"/>
        </w:rPr>
        <w:t>n</w:t>
      </w:r>
      <w:r w:rsidR="00BB613B">
        <w:rPr>
          <w:rFonts w:eastAsiaTheme="minorEastAsia"/>
          <w:lang w:val="es-ES"/>
        </w:rPr>
        <w:t xml:space="preserve"> </w:t>
      </w:r>
      <w:r w:rsidR="00BE70B9">
        <w:rPr>
          <w:rFonts w:eastAsiaTheme="minorEastAsia"/>
          <w:lang w:val="es-ES"/>
        </w:rPr>
        <w:fldChar w:fldCharType="begin"/>
      </w:r>
      <w:r w:rsidR="00BE70B9">
        <w:rPr>
          <w:rFonts w:eastAsiaTheme="minorEastAsia"/>
          <w:lang w:val="es-ES"/>
        </w:rPr>
        <w:instrText>ADDIN RW.CITE{{doc:5ca98b75e4b0f9b1370b77ee Jan,Asim Nov 7, 2014; doc:5cbbab18e4b01a690cf0ecda Kim,SunS 2017; doc:5cbbab16e4b04c969d29751e Rhee,TaehoGreg|Capistrant,BenjaminD.|Schommer,JonC.|Hadsall,RonaldS.|Uden,DonaldL 2016; doc:5ca97a99e4b06dc308676baa Winsor,Tahlia 2016}}</w:instrText>
      </w:r>
      <w:r w:rsidR="00BE70B9">
        <w:rPr>
          <w:rFonts w:eastAsiaTheme="minorEastAsia"/>
          <w:lang w:val="es-ES"/>
        </w:rPr>
        <w:fldChar w:fldCharType="separate"/>
      </w:r>
      <w:r w:rsidRPr="00CC5EC7">
        <w:rPr>
          <w:rFonts w:eastAsiaTheme="minorEastAsia"/>
          <w:bCs/>
          <w:lang w:val="es-ES"/>
        </w:rPr>
        <w:t>[58]-[61]</w:t>
      </w:r>
      <w:r w:rsidR="00BE70B9">
        <w:rPr>
          <w:rFonts w:eastAsiaTheme="minorEastAsia"/>
          <w:lang w:val="es-ES"/>
        </w:rPr>
        <w:fldChar w:fldCharType="end"/>
      </w:r>
    </w:p>
    <w:p w14:paraId="5AE1A7DC" w14:textId="1DF18FA5" w:rsidR="00265DF6" w:rsidRDefault="00265DF6" w:rsidP="00265DF6">
      <w:pPr>
        <w:ind w:firstLine="0"/>
        <w:rPr>
          <w:lang w:val="es-ES"/>
        </w:rPr>
      </w:pPr>
    </w:p>
    <w:p w14:paraId="572075EC" w14:textId="3E5132A7" w:rsidR="00265DF6" w:rsidRPr="00BE70B9" w:rsidRDefault="00265DF6" w:rsidP="00265DF6">
      <w:pPr>
        <w:ind w:firstLine="0"/>
        <w:rPr>
          <w:lang w:val="es-CO"/>
        </w:rPr>
      </w:pPr>
      <w:r w:rsidRPr="00BE70B9">
        <w:rPr>
          <w:rFonts w:eastAsiaTheme="minorEastAsia"/>
          <w:lang w:val="es-CO"/>
        </w:rPr>
        <w:t>Otras aproximaciones</w:t>
      </w:r>
      <w:r w:rsidR="00BB613B">
        <w:rPr>
          <w:rFonts w:eastAsiaTheme="minorEastAsia"/>
          <w:lang w:val="es-CO"/>
        </w:rPr>
        <w:t xml:space="preserve"> recientes</w:t>
      </w:r>
      <w:r w:rsidRPr="00BE70B9">
        <w:rPr>
          <w:rFonts w:eastAsiaTheme="minorEastAsia"/>
          <w:lang w:val="es-CO"/>
        </w:rPr>
        <w:t xml:space="preserve">, abordan la captura e integración con otras fuentes de datos, dando como resultado arquitecturas multimodales </w:t>
      </w:r>
      <w:r w:rsidRPr="00BE70B9">
        <w:rPr>
          <w:rFonts w:eastAsiaTheme="minorEastAsia"/>
          <w:lang w:val="es-CO"/>
        </w:rPr>
        <w:fldChar w:fldCharType="begin"/>
      </w:r>
      <w:r w:rsidRPr="00BE70B9">
        <w:rPr>
          <w:rFonts w:eastAsiaTheme="minorEastAsia"/>
          <w:lang w:val="es-CO"/>
        </w:rPr>
        <w:instrText>ADDIN RW.CITE{{doc:5ca19906e4b0572cdb6dffdb Magdin,M. 2016; doc:5ca26bc1e4b03723cb557a43 Soleymani,Mohammad 2017}}</w:instrText>
      </w:r>
      <w:r w:rsidRPr="00BE70B9">
        <w:rPr>
          <w:rFonts w:eastAsiaTheme="minorEastAsia"/>
          <w:lang w:val="es-CO"/>
        </w:rPr>
        <w:fldChar w:fldCharType="separate"/>
      </w:r>
      <w:r w:rsidR="00CC5EC7" w:rsidRPr="00CC5EC7">
        <w:rPr>
          <w:rFonts w:eastAsiaTheme="minorEastAsia"/>
          <w:lang w:val="es-CO"/>
        </w:rPr>
        <w:t>[62], [63]</w:t>
      </w:r>
      <w:r w:rsidRPr="00BE70B9">
        <w:rPr>
          <w:rFonts w:eastAsiaTheme="minorEastAsia"/>
          <w:lang w:val="es-CO"/>
        </w:rPr>
        <w:fldChar w:fldCharType="end"/>
      </w:r>
      <w:r w:rsidRPr="00BE70B9">
        <w:rPr>
          <w:rFonts w:eastAsiaTheme="minorEastAsia"/>
          <w:lang w:val="es-CO"/>
        </w:rPr>
        <w:t>, en los que se aprovecha el procesamiento de imágenes de video, texto, señales, entre otros, para soportar el</w:t>
      </w:r>
      <w:r w:rsidRPr="00BE70B9">
        <w:rPr>
          <w:rFonts w:asciiTheme="minorHAnsi" w:eastAsiaTheme="minorEastAsia" w:hAnsiTheme="minorHAnsi" w:cstheme="minorBidi"/>
          <w:lang w:val="es-CO"/>
        </w:rPr>
        <w:t xml:space="preserve"> </w:t>
      </w:r>
      <w:r w:rsidRPr="00BE70B9">
        <w:rPr>
          <w:rFonts w:eastAsiaTheme="minorEastAsia"/>
          <w:lang w:val="es-CO"/>
        </w:rPr>
        <w:t xml:space="preserve">diagnóstico de emociones </w:t>
      </w:r>
      <w:r w:rsidRPr="00BE70B9">
        <w:rPr>
          <w:rFonts w:eastAsiaTheme="minorEastAsia"/>
          <w:lang w:val="es-CO"/>
        </w:rPr>
        <w:fldChar w:fldCharType="begin"/>
      </w:r>
      <w:r w:rsidRPr="00BE70B9">
        <w:rPr>
          <w:rFonts w:eastAsiaTheme="minorEastAsia"/>
          <w:lang w:val="es-CO"/>
        </w:rPr>
        <w:instrText>ADDIN RW.CITE{{doc:5ce094bfe4b0407a3a233811 Harley,JasonM 2015}}</w:instrText>
      </w:r>
      <w:r w:rsidRPr="00BE70B9">
        <w:rPr>
          <w:rFonts w:eastAsiaTheme="minorEastAsia"/>
          <w:lang w:val="es-CO"/>
        </w:rPr>
        <w:fldChar w:fldCharType="separate"/>
      </w:r>
      <w:r w:rsidR="00CC5EC7" w:rsidRPr="00CC5EC7">
        <w:rPr>
          <w:rFonts w:eastAsiaTheme="minorEastAsia"/>
          <w:lang w:val="es-CO"/>
        </w:rPr>
        <w:t>[64]</w:t>
      </w:r>
      <w:r w:rsidRPr="00BE70B9">
        <w:rPr>
          <w:rFonts w:eastAsiaTheme="minorEastAsia"/>
          <w:lang w:val="es-CO"/>
        </w:rPr>
        <w:fldChar w:fldCharType="end"/>
      </w:r>
      <w:r w:rsidRPr="00BE70B9">
        <w:rPr>
          <w:rFonts w:eastAsiaTheme="minorEastAsia"/>
          <w:lang w:val="es-CO"/>
        </w:rPr>
        <w:t xml:space="preserve">. Trabajos como el de Le Yang </w:t>
      </w:r>
      <w:r w:rsidRPr="00BE70B9">
        <w:rPr>
          <w:rFonts w:eastAsiaTheme="minorEastAsia"/>
          <w:lang w:val="es-CO"/>
        </w:rPr>
        <w:fldChar w:fldCharType="begin"/>
      </w:r>
      <w:r w:rsidRPr="00BE70B9">
        <w:rPr>
          <w:rFonts w:eastAsiaTheme="minorEastAsia"/>
          <w:lang w:val="es-CO"/>
        </w:rPr>
        <w:instrText>ADDIN RW.CITE{{doc:5ca98c0de4b08b36d926870d Yang,Le Oct 23, 2017}}</w:instrText>
      </w:r>
      <w:r w:rsidRPr="00BE70B9">
        <w:rPr>
          <w:rFonts w:eastAsiaTheme="minorEastAsia"/>
          <w:lang w:val="es-CO"/>
        </w:rPr>
        <w:fldChar w:fldCharType="separate"/>
      </w:r>
      <w:r w:rsidR="00CC5EC7" w:rsidRPr="00CC5EC7">
        <w:rPr>
          <w:rFonts w:eastAsiaTheme="minorEastAsia"/>
          <w:lang w:val="es-CO"/>
        </w:rPr>
        <w:t>[65]</w:t>
      </w:r>
      <w:r w:rsidRPr="00BE70B9">
        <w:rPr>
          <w:rFonts w:eastAsiaTheme="minorEastAsia"/>
          <w:lang w:val="es-CO"/>
        </w:rPr>
        <w:fldChar w:fldCharType="end"/>
      </w:r>
      <w:r w:rsidRPr="00BE70B9">
        <w:rPr>
          <w:rFonts w:eastAsiaTheme="minorEastAsia"/>
          <w:lang w:val="es-CO"/>
        </w:rPr>
        <w:t xml:space="preserve"> y </w:t>
      </w:r>
      <w:proofErr w:type="spellStart"/>
      <w:r w:rsidRPr="00BE70B9">
        <w:rPr>
          <w:rFonts w:eastAsiaTheme="minorEastAsia"/>
          <w:lang w:val="es-CO"/>
        </w:rPr>
        <w:t>Poria</w:t>
      </w:r>
      <w:proofErr w:type="spellEnd"/>
      <w:r w:rsidRPr="00BE70B9">
        <w:rPr>
          <w:rFonts w:eastAsiaTheme="minorEastAsia"/>
          <w:lang w:val="es-CO"/>
        </w:rPr>
        <w:t xml:space="preserve"> </w:t>
      </w:r>
      <w:proofErr w:type="spellStart"/>
      <w:r w:rsidRPr="00BE70B9">
        <w:rPr>
          <w:rFonts w:eastAsiaTheme="minorEastAsia"/>
          <w:lang w:val="es-CO"/>
        </w:rPr>
        <w:t>Soujana</w:t>
      </w:r>
      <w:proofErr w:type="spellEnd"/>
      <w:r w:rsidRPr="00BE70B9">
        <w:rPr>
          <w:rFonts w:eastAsiaTheme="minorEastAsia"/>
          <w:lang w:val="es-CO"/>
        </w:rPr>
        <w:t xml:space="preserve"> </w:t>
      </w:r>
      <w:r w:rsidRPr="00BE70B9">
        <w:rPr>
          <w:rFonts w:eastAsiaTheme="minorEastAsia"/>
          <w:lang w:val="es-CO"/>
        </w:rPr>
        <w:fldChar w:fldCharType="begin"/>
      </w:r>
      <w:r w:rsidRPr="00BE70B9">
        <w:rPr>
          <w:rFonts w:eastAsiaTheme="minorEastAsia"/>
          <w:lang w:val="es-CO"/>
        </w:rPr>
        <w:instrText>ADDIN RW.CITE{{doc:5ca19928e4b0e0b8f7c77d12 Poria,Soujanya 2017}}</w:instrText>
      </w:r>
      <w:r w:rsidRPr="00BE70B9">
        <w:rPr>
          <w:rFonts w:eastAsiaTheme="minorEastAsia"/>
          <w:lang w:val="es-CO"/>
        </w:rPr>
        <w:fldChar w:fldCharType="separate"/>
      </w:r>
      <w:r w:rsidR="00CC5EC7" w:rsidRPr="00CC5EC7">
        <w:rPr>
          <w:rFonts w:eastAsiaTheme="minorEastAsia"/>
          <w:lang w:val="es-CO"/>
        </w:rPr>
        <w:t>[66]</w:t>
      </w:r>
      <w:r w:rsidRPr="00BE70B9">
        <w:rPr>
          <w:rFonts w:eastAsiaTheme="minorEastAsia"/>
          <w:lang w:val="es-CO"/>
        </w:rPr>
        <w:fldChar w:fldCharType="end"/>
      </w:r>
      <w:r w:rsidRPr="00BE70B9">
        <w:rPr>
          <w:rFonts w:eastAsiaTheme="minorEastAsia"/>
          <w:lang w:val="es-CO"/>
        </w:rPr>
        <w:t xml:space="preserve"> sugieren la fusión de análisis de la paralingüística, la captura de respuesta de entrevistas, características del rostro que ha sido abordada ampliamente </w:t>
      </w:r>
      <w:r w:rsidRPr="00BE70B9">
        <w:rPr>
          <w:rFonts w:eastAsiaTheme="minorEastAsia"/>
          <w:lang w:val="es-CO"/>
        </w:rPr>
        <w:fldChar w:fldCharType="begin"/>
      </w:r>
      <w:r w:rsidRPr="00BE70B9">
        <w:rPr>
          <w:rFonts w:eastAsiaTheme="minorEastAsia"/>
          <w:lang w:val="es-CO"/>
        </w:rPr>
        <w:instrText>ADDIN RW.CITE{{doc:5ca198c2e4b029ba3645f176 Campos,Victor 2016; doc:5ca198d9e4b029ba3645f17d Jain,Neha 2018; doc:5ca20ce8e4b0db42a2e65f7c Dinges,DavidF 2005; doc:5ca19958e4b0e0b8f7c77d1e Zhu,Yu 2018}}</w:instrText>
      </w:r>
      <w:r w:rsidRPr="00BE70B9">
        <w:rPr>
          <w:rFonts w:eastAsiaTheme="minorEastAsia"/>
          <w:lang w:val="es-CO"/>
        </w:rPr>
        <w:fldChar w:fldCharType="separate"/>
      </w:r>
      <w:r w:rsidR="00CC5EC7" w:rsidRPr="00CC5EC7">
        <w:rPr>
          <w:rFonts w:eastAsiaTheme="minorEastAsia"/>
          <w:lang w:val="es-CO"/>
        </w:rPr>
        <w:t>[53], [54], [57], [67]</w:t>
      </w:r>
      <w:r w:rsidRPr="00BE70B9">
        <w:rPr>
          <w:rFonts w:eastAsiaTheme="minorEastAsia"/>
          <w:lang w:val="es-CO"/>
        </w:rPr>
        <w:fldChar w:fldCharType="end"/>
      </w:r>
      <w:r w:rsidRPr="00BE70B9">
        <w:rPr>
          <w:rFonts w:eastAsiaTheme="minorEastAsia"/>
          <w:lang w:val="es-CO"/>
        </w:rPr>
        <w:t xml:space="preserve">, y el movimiento de los ojos </w:t>
      </w:r>
      <w:r w:rsidRPr="00BE70B9">
        <w:rPr>
          <w:rFonts w:eastAsiaTheme="minorEastAsia"/>
          <w:lang w:val="es-CO"/>
        </w:rPr>
        <w:fldChar w:fldCharType="begin"/>
      </w:r>
      <w:r w:rsidRPr="00BE70B9">
        <w:rPr>
          <w:rFonts w:eastAsiaTheme="minorEastAsia"/>
          <w:lang w:val="es-CO"/>
        </w:rPr>
        <w:instrText>ADDIN RW.CITE{{doc:5ce09c79e4b0661506be9e57 Alghowinem,Sharifa 2018}}</w:instrText>
      </w:r>
      <w:r w:rsidRPr="00BE70B9">
        <w:rPr>
          <w:rFonts w:eastAsiaTheme="minorEastAsia"/>
          <w:lang w:val="es-CO"/>
        </w:rPr>
        <w:fldChar w:fldCharType="separate"/>
      </w:r>
      <w:r w:rsidR="00CC5EC7" w:rsidRPr="00CC5EC7">
        <w:rPr>
          <w:rFonts w:eastAsiaTheme="minorEastAsia"/>
          <w:lang w:val="es-CO"/>
        </w:rPr>
        <w:t>[68]</w:t>
      </w:r>
      <w:r w:rsidRPr="00BE70B9">
        <w:rPr>
          <w:rFonts w:eastAsiaTheme="minorEastAsia"/>
          <w:lang w:val="es-CO"/>
        </w:rPr>
        <w:fldChar w:fldCharType="end"/>
      </w:r>
      <w:r w:rsidRPr="00BE70B9">
        <w:rPr>
          <w:rFonts w:eastAsiaTheme="minorEastAsia"/>
          <w:lang w:val="es-CO"/>
        </w:rPr>
        <w:t>.</w:t>
      </w:r>
    </w:p>
    <w:p w14:paraId="53E251C2" w14:textId="62D1FD3C" w:rsidR="00F42D15" w:rsidRDefault="00F42D15" w:rsidP="00F42D15">
      <w:pPr>
        <w:pStyle w:val="heading1"/>
        <w:rPr>
          <w:lang w:val="es-CO"/>
        </w:rPr>
      </w:pPr>
      <w:r w:rsidRPr="0036087F">
        <w:rPr>
          <w:lang w:val="es-CO"/>
        </w:rPr>
        <w:t>Limitaciones</w:t>
      </w:r>
      <w:r>
        <w:t xml:space="preserve"> de los </w:t>
      </w:r>
      <w:r w:rsidRPr="00F42D15">
        <w:rPr>
          <w:lang w:val="es-CO"/>
        </w:rPr>
        <w:t>MEFRPO</w:t>
      </w:r>
    </w:p>
    <w:p w14:paraId="173CDD2D" w14:textId="77777777" w:rsidR="00081E51" w:rsidRDefault="00CC5EC7" w:rsidP="00081E51">
      <w:pPr>
        <w:pStyle w:val="p1a"/>
        <w:rPr>
          <w:rFonts w:eastAsiaTheme="minorEastAsia"/>
          <w:lang w:val="es-CO"/>
        </w:rPr>
      </w:pPr>
      <w:r w:rsidRPr="00081E51">
        <w:rPr>
          <w:rFonts w:eastAsiaTheme="minorEastAsia"/>
          <w:lang w:val="es-CO"/>
        </w:rPr>
        <w:t xml:space="preserve">Si bien </w:t>
      </w:r>
      <w:r w:rsidR="00081E51">
        <w:rPr>
          <w:rFonts w:eastAsiaTheme="minorEastAsia"/>
          <w:lang w:val="es-CO"/>
        </w:rPr>
        <w:t>los método tecnológicos</w:t>
      </w:r>
      <w:r w:rsidRPr="00081E51">
        <w:rPr>
          <w:rFonts w:eastAsiaTheme="minorEastAsia"/>
          <w:lang w:val="es-CO"/>
        </w:rPr>
        <w:t xml:space="preserve"> representan un gran potencial para la industria de manufactura, </w:t>
      </w:r>
      <w:r w:rsidR="00081E51" w:rsidRPr="00081E51">
        <w:rPr>
          <w:rFonts w:eastAsiaTheme="minorEastAsia"/>
          <w:lang w:val="es-CO"/>
        </w:rPr>
        <w:t xml:space="preserve">o </w:t>
      </w:r>
      <w:r w:rsidRPr="00081E51">
        <w:rPr>
          <w:rFonts w:eastAsiaTheme="minorEastAsia"/>
          <w:lang w:val="es-CO"/>
        </w:rPr>
        <w:t xml:space="preserve">la construcción, </w:t>
      </w:r>
      <w:r w:rsidRPr="00081E51">
        <w:rPr>
          <w:rFonts w:eastAsiaTheme="minorEastAsia"/>
          <w:lang w:val="es-CO"/>
        </w:rPr>
        <w:fldChar w:fldCharType="begin"/>
      </w:r>
      <w:r w:rsidRPr="00081E51">
        <w:rPr>
          <w:rFonts w:eastAsiaTheme="minorEastAsia"/>
          <w:lang w:val="es-CO"/>
        </w:rPr>
        <w:instrText>ADDIN RW.CITE{{doc:5c998d48e4b0a2c6ef08c387 Reid,ChristopherR 2017}}</w:instrText>
      </w:r>
      <w:r w:rsidRPr="00081E51">
        <w:rPr>
          <w:rFonts w:eastAsiaTheme="minorEastAsia"/>
          <w:lang w:val="es-CO"/>
        </w:rPr>
        <w:fldChar w:fldCharType="separate"/>
      </w:r>
      <w:r w:rsidRPr="00081E51">
        <w:rPr>
          <w:rFonts w:eastAsiaTheme="minorEastAsia"/>
          <w:lang w:val="es-CO"/>
        </w:rPr>
        <w:t>[69]</w:t>
      </w:r>
      <w:r w:rsidRPr="00081E51">
        <w:rPr>
          <w:rFonts w:eastAsiaTheme="minorEastAsia"/>
          <w:lang w:val="es-CO"/>
        </w:rPr>
        <w:fldChar w:fldCharType="end"/>
      </w:r>
      <w:r w:rsidRPr="00081E51">
        <w:rPr>
          <w:rFonts w:eastAsiaTheme="minorEastAsia"/>
          <w:lang w:val="es-CO"/>
        </w:rPr>
        <w:t xml:space="preserve">. </w:t>
      </w:r>
      <w:r w:rsidR="00081E51">
        <w:rPr>
          <w:rFonts w:eastAsiaTheme="minorEastAsia"/>
          <w:lang w:val="es-CO"/>
        </w:rPr>
        <w:t xml:space="preserve">Los métodos mencionados en la sección 4 </w:t>
      </w:r>
      <w:r w:rsidR="00265DF6" w:rsidRPr="00BE70B9">
        <w:rPr>
          <w:rFonts w:eastAsiaTheme="minorEastAsia"/>
          <w:lang w:val="es-CO"/>
        </w:rPr>
        <w:t xml:space="preserve">son susceptibles a la variabilidad e incluso subjetividad en las medidas </w:t>
      </w:r>
      <w:r w:rsidR="00265DF6" w:rsidRPr="00BE70B9">
        <w:rPr>
          <w:rFonts w:eastAsiaTheme="minorEastAsia"/>
          <w:lang w:val="es-CO"/>
        </w:rPr>
        <w:fldChar w:fldCharType="begin"/>
      </w:r>
      <w:r w:rsidR="00265DF6" w:rsidRPr="00BE70B9">
        <w:rPr>
          <w:rFonts w:eastAsiaTheme="minorEastAsia"/>
          <w:lang w:val="es-CO"/>
        </w:rPr>
        <w:instrText>ADDIN RW.CITE{{doc:5cdcd9aee4b02cf23c279bb9 M.Caicoya 2004}}</w:instrText>
      </w:r>
      <w:r w:rsidR="00265DF6" w:rsidRPr="00BE70B9">
        <w:rPr>
          <w:rFonts w:eastAsiaTheme="minorEastAsia"/>
          <w:lang w:val="es-CO"/>
        </w:rPr>
        <w:fldChar w:fldCharType="separate"/>
      </w:r>
      <w:r w:rsidRPr="00CC5EC7">
        <w:rPr>
          <w:rFonts w:eastAsiaTheme="minorEastAsia"/>
          <w:lang w:val="es-CO"/>
        </w:rPr>
        <w:t>[70]</w:t>
      </w:r>
      <w:r w:rsidR="00265DF6" w:rsidRPr="00BE70B9">
        <w:rPr>
          <w:rFonts w:eastAsiaTheme="minorEastAsia"/>
          <w:lang w:val="es-CO"/>
        </w:rPr>
        <w:fldChar w:fldCharType="end"/>
      </w:r>
      <w:r w:rsidR="00265DF6" w:rsidRPr="00BE70B9">
        <w:rPr>
          <w:rFonts w:eastAsiaTheme="minorEastAsia"/>
          <w:lang w:val="es-CO"/>
        </w:rPr>
        <w:t xml:space="preserve">, ya que la evaluación se realiza mediante cuestionarios relacionados a aspectos y/o procesos laborales, que no son observados directamente por los especialistas en Seguridad y Salud en el Trabajo (SST), sino que son referidos por los trabajadores </w:t>
      </w:r>
      <w:r w:rsidR="00265DF6" w:rsidRPr="00BE70B9">
        <w:rPr>
          <w:rFonts w:eastAsiaTheme="minorEastAsia"/>
          <w:lang w:val="es-CO"/>
        </w:rPr>
        <w:fldChar w:fldCharType="begin"/>
      </w:r>
      <w:r w:rsidR="00265DF6" w:rsidRPr="00BE70B9">
        <w:rPr>
          <w:rFonts w:eastAsiaTheme="minorEastAsia"/>
          <w:lang w:val="es-CO"/>
        </w:rPr>
        <w:instrText>ADDIN RW.CITE{{doc:5cdcd234e4b02cf23c279acf Benavides,F.G 2002}}</w:instrText>
      </w:r>
      <w:r w:rsidR="00265DF6" w:rsidRPr="00BE70B9">
        <w:rPr>
          <w:rFonts w:eastAsiaTheme="minorEastAsia"/>
          <w:lang w:val="es-CO"/>
        </w:rPr>
        <w:fldChar w:fldCharType="separate"/>
      </w:r>
      <w:r w:rsidRPr="00CC5EC7">
        <w:rPr>
          <w:rFonts w:eastAsiaTheme="minorEastAsia"/>
          <w:lang w:val="es-CO"/>
        </w:rPr>
        <w:t>[71]</w:t>
      </w:r>
      <w:r w:rsidR="00265DF6" w:rsidRPr="00BE70B9">
        <w:rPr>
          <w:rFonts w:eastAsiaTheme="minorEastAsia"/>
          <w:lang w:val="es-CO"/>
        </w:rPr>
        <w:fldChar w:fldCharType="end"/>
      </w:r>
      <w:r w:rsidR="00081E51">
        <w:rPr>
          <w:rFonts w:eastAsiaTheme="minorEastAsia"/>
          <w:lang w:val="es-CO"/>
        </w:rPr>
        <w:t xml:space="preserve">. </w:t>
      </w:r>
    </w:p>
    <w:p w14:paraId="65D8181B" w14:textId="77777777" w:rsidR="00081E51" w:rsidRDefault="00081E51" w:rsidP="00081E51">
      <w:pPr>
        <w:pStyle w:val="p1a"/>
        <w:rPr>
          <w:rFonts w:eastAsiaTheme="minorEastAsia"/>
          <w:lang w:val="es-CO"/>
        </w:rPr>
      </w:pPr>
    </w:p>
    <w:p w14:paraId="2CECE547" w14:textId="094CCF7B" w:rsidR="00265DF6" w:rsidRPr="006E6514" w:rsidRDefault="00081E51" w:rsidP="00265DF6">
      <w:pPr>
        <w:pStyle w:val="p1a"/>
        <w:rPr>
          <w:rFonts w:eastAsiaTheme="minorEastAsia"/>
          <w:lang w:val="es-CO"/>
        </w:rPr>
      </w:pPr>
      <w:r>
        <w:rPr>
          <w:rFonts w:eastAsiaTheme="minorEastAsia"/>
          <w:lang w:val="es-CO"/>
        </w:rPr>
        <w:t xml:space="preserve">Por otra parte, </w:t>
      </w:r>
      <w:r w:rsidR="00265DF6">
        <w:rPr>
          <w:rFonts w:eastAsiaTheme="minorEastAsia"/>
          <w:lang w:val="es-ES"/>
        </w:rPr>
        <w:t>E</w:t>
      </w:r>
      <w:r w:rsidR="00265DF6" w:rsidRPr="000E7E82">
        <w:rPr>
          <w:rFonts w:eastAsiaTheme="minorEastAsia"/>
          <w:lang w:val="es-ES"/>
        </w:rPr>
        <w:t xml:space="preserve">xisten estudios como el de </w:t>
      </w:r>
      <w:proofErr w:type="spellStart"/>
      <w:r w:rsidR="00265DF6" w:rsidRPr="000E7E82">
        <w:rPr>
          <w:rFonts w:eastAsiaTheme="minorEastAsia"/>
          <w:lang w:val="es-ES"/>
        </w:rPr>
        <w:t>Shall</w:t>
      </w:r>
      <w:proofErr w:type="spellEnd"/>
      <w:r w:rsidR="00265DF6" w:rsidRPr="000E7E82">
        <w:rPr>
          <w:rFonts w:eastAsiaTheme="minorEastAsia"/>
          <w:lang w:val="es-ES"/>
        </w:rPr>
        <w:t xml:space="preserve"> Mark </w:t>
      </w:r>
      <w:r w:rsidR="00265DF6" w:rsidRPr="000E7E82">
        <w:rPr>
          <w:rFonts w:eastAsiaTheme="minorEastAsia"/>
          <w:lang w:val="es-ES"/>
        </w:rPr>
        <w:fldChar w:fldCharType="begin"/>
      </w:r>
      <w:r w:rsidR="00265DF6" w:rsidRPr="000E7E82">
        <w:rPr>
          <w:rFonts w:eastAsiaTheme="minorEastAsia"/>
          <w:lang w:val="es-ES"/>
        </w:rPr>
        <w:instrText>ADDIN RW.CITE{{doc:5c998e05e4b03723cb52b70c Schall,MarkC 2018}}</w:instrText>
      </w:r>
      <w:r w:rsidR="00265DF6" w:rsidRPr="000E7E82">
        <w:rPr>
          <w:rFonts w:eastAsiaTheme="minorEastAsia"/>
          <w:lang w:val="es-ES"/>
        </w:rPr>
        <w:fldChar w:fldCharType="separate"/>
      </w:r>
      <w:r w:rsidR="00CC5EC7" w:rsidRPr="00CC5EC7">
        <w:rPr>
          <w:rFonts w:eastAsiaTheme="minorEastAsia"/>
          <w:lang w:val="es-ES"/>
        </w:rPr>
        <w:t>[72]</w:t>
      </w:r>
      <w:r w:rsidR="00265DF6" w:rsidRPr="000E7E82">
        <w:rPr>
          <w:rFonts w:eastAsiaTheme="minorEastAsia"/>
          <w:lang w:val="es-ES"/>
        </w:rPr>
        <w:fldChar w:fldCharType="end"/>
      </w:r>
      <w:r w:rsidR="00265DF6" w:rsidRPr="000E7E82">
        <w:rPr>
          <w:rFonts w:eastAsiaTheme="minorEastAsia"/>
          <w:lang w:val="es-ES"/>
        </w:rPr>
        <w:t>, en el que se manifiestan como limitaciones para su adopción, las implicaciones de costo; la interrupción de las actividades laborales, el carácter intrusivo representado en  la incomodidad con los dispositivos y la privacidad de las personas.</w:t>
      </w:r>
    </w:p>
    <w:p w14:paraId="114754E4" w14:textId="0308ACB9" w:rsidR="00BE70B9" w:rsidRPr="00CA066E" w:rsidRDefault="0033393E" w:rsidP="00265DF6">
      <w:pPr>
        <w:pStyle w:val="heading1"/>
        <w:rPr>
          <w:lang w:val="es-CO"/>
        </w:rPr>
      </w:pPr>
      <w:r>
        <w:rPr>
          <w:lang w:val="es-CO"/>
        </w:rPr>
        <w:t>Discusión</w:t>
      </w:r>
    </w:p>
    <w:p w14:paraId="4C9C4E84" w14:textId="65B50F53" w:rsidR="00BE70B9" w:rsidRPr="006E6514" w:rsidRDefault="006E6514" w:rsidP="006E6514">
      <w:pPr>
        <w:pStyle w:val="p1a"/>
        <w:rPr>
          <w:rFonts w:eastAsiaTheme="minorEastAsia"/>
          <w:lang w:val="es-ES"/>
        </w:rPr>
      </w:pPr>
      <w:r>
        <w:rPr>
          <w:rFonts w:eastAsiaTheme="minorEastAsia"/>
          <w:lang w:val="es-ES"/>
        </w:rPr>
        <w:t>Se hacen e</w:t>
      </w:r>
      <w:r w:rsidR="00CA066E">
        <w:rPr>
          <w:rFonts w:eastAsiaTheme="minorEastAsia"/>
          <w:lang w:val="es-ES"/>
        </w:rPr>
        <w:t>videntes las contribuciones de los métodos tecnológicos que apoyan a la detección de efectos físicos y psicosomáticos</w:t>
      </w:r>
      <w:r>
        <w:rPr>
          <w:rFonts w:eastAsiaTheme="minorEastAsia"/>
          <w:lang w:val="es-ES"/>
        </w:rPr>
        <w:t xml:space="preserve"> </w:t>
      </w:r>
      <w:r w:rsidR="00BE70B9" w:rsidRPr="000E7E82">
        <w:rPr>
          <w:rFonts w:eastAsiaTheme="minorEastAsia"/>
          <w:lang w:val="es-ES"/>
        </w:rPr>
        <w:t>en</w:t>
      </w:r>
      <w:r w:rsidR="00CA066E">
        <w:rPr>
          <w:rFonts w:eastAsiaTheme="minorEastAsia"/>
          <w:lang w:val="es-ES"/>
        </w:rPr>
        <w:t xml:space="preserve"> las personas y que tienen un potencial en la aplicación para la salud ocupacional. Sin embargo, en las diferentes aproximaciones,</w:t>
      </w:r>
      <w:r w:rsidR="00BE70B9" w:rsidRPr="000E7E82">
        <w:rPr>
          <w:rFonts w:eastAsiaTheme="minorEastAsia"/>
          <w:lang w:val="es-ES"/>
        </w:rPr>
        <w:t xml:space="preserve"> se manifiestan como limitaciones para su adopción, las implicaciones de costo; la interrupción de las actividades laborales, el carácter intrusivo representado en  la incomodidad con los dispositivos y la privacidad de las personas</w:t>
      </w:r>
      <w:r w:rsidR="00CA066E">
        <w:rPr>
          <w:rFonts w:eastAsiaTheme="minorEastAsia"/>
          <w:lang w:val="es-ES"/>
        </w:rPr>
        <w:t>. El</w:t>
      </w:r>
      <w:r w:rsidR="00BE70B9" w:rsidRPr="006E6514">
        <w:rPr>
          <w:rFonts w:eastAsiaTheme="minorEastAsia"/>
          <w:lang w:val="es-ES"/>
        </w:rPr>
        <w:t xml:space="preserve"> modo de video utilizado en las publicaciones mencionadas, se enfocan sólo en el reconocimiento facial, requiriendo la captura de primer plano del rostro de las personas y el uso de sensores, cuya implementación tiene algunas limitaciones como se mencionó anteriormente. Adicionalmente, no se incluyen mecanismos en el que se realice un monitoreo constante. </w:t>
      </w:r>
    </w:p>
    <w:p w14:paraId="535004C7" w14:textId="3FD418B7" w:rsidR="00BE70B9" w:rsidRPr="006E6514" w:rsidRDefault="00BE70B9" w:rsidP="006E6514">
      <w:pPr>
        <w:pStyle w:val="p1a"/>
        <w:rPr>
          <w:rFonts w:eastAsiaTheme="minorEastAsia"/>
          <w:lang w:val="es-ES"/>
        </w:rPr>
      </w:pPr>
    </w:p>
    <w:p w14:paraId="61B44855" w14:textId="77777777" w:rsidR="007F4762" w:rsidRDefault="00CA066E" w:rsidP="006E6514">
      <w:pPr>
        <w:pStyle w:val="p1a"/>
        <w:rPr>
          <w:rFonts w:eastAsiaTheme="minorEastAsia"/>
          <w:lang w:val="es-ES"/>
        </w:rPr>
      </w:pPr>
      <w:r>
        <w:rPr>
          <w:rFonts w:eastAsiaTheme="minorEastAsia"/>
          <w:lang w:val="es-ES"/>
        </w:rPr>
        <w:t xml:space="preserve">Por otra parte, se puede evidenciar un alcance significativo en las aproximaciones </w:t>
      </w:r>
      <w:proofErr w:type="spellStart"/>
      <w:r w:rsidR="007F4762">
        <w:rPr>
          <w:rFonts w:eastAsiaTheme="minorEastAsia"/>
          <w:lang w:val="es-ES"/>
        </w:rPr>
        <w:t>mono-modales</w:t>
      </w:r>
      <w:proofErr w:type="spellEnd"/>
      <w:r w:rsidR="007F4762">
        <w:rPr>
          <w:rFonts w:eastAsiaTheme="minorEastAsia"/>
          <w:lang w:val="es-ES"/>
        </w:rPr>
        <w:t xml:space="preserve"> y </w:t>
      </w:r>
      <w:proofErr w:type="spellStart"/>
      <w:r w:rsidR="007F4762">
        <w:rPr>
          <w:rFonts w:eastAsiaTheme="minorEastAsia"/>
          <w:lang w:val="es-ES"/>
        </w:rPr>
        <w:t>multi-modales</w:t>
      </w:r>
      <w:proofErr w:type="spellEnd"/>
      <w:r w:rsidR="007F4762">
        <w:rPr>
          <w:rFonts w:eastAsiaTheme="minorEastAsia"/>
          <w:lang w:val="es-ES"/>
        </w:rPr>
        <w:t>. No obstante el uso de estos canales podría estar subutilizado en la medida que se puede extraer información adicional de uno o varios canales.</w:t>
      </w:r>
      <w:r w:rsidR="00BE70B9" w:rsidRPr="006E6514">
        <w:rPr>
          <w:rFonts w:eastAsiaTheme="minorEastAsia"/>
          <w:lang w:val="es-ES"/>
        </w:rPr>
        <w:t xml:space="preserve"> </w:t>
      </w:r>
      <w:r w:rsidR="007F4762">
        <w:rPr>
          <w:rFonts w:eastAsiaTheme="minorEastAsia"/>
          <w:lang w:val="es-ES"/>
        </w:rPr>
        <w:t>Si el contexto de la investigación estuviese enfocada en la detección de FRPO, teniendo en cuenta los aspectos que se enuncian comúnmente en las entrevistas y cuestionarios, se puede apreciar un potencial de conjugación de datos que pueden dar lugar a indicadores. Estos indicadores pueden representar información de relevancia para la evaluación de FRPO.</w:t>
      </w:r>
    </w:p>
    <w:p w14:paraId="22820E05" w14:textId="30F8CC37" w:rsidR="001902DB" w:rsidRPr="006E6514" w:rsidRDefault="00BE70B9" w:rsidP="006E6514">
      <w:pPr>
        <w:pStyle w:val="p1a"/>
        <w:rPr>
          <w:rFonts w:eastAsiaTheme="minorEastAsia"/>
          <w:lang w:val="es-ES"/>
        </w:rPr>
      </w:pPr>
      <w:r w:rsidRPr="006E6514">
        <w:rPr>
          <w:rFonts w:eastAsiaTheme="minorEastAsia"/>
          <w:lang w:val="es-ES"/>
        </w:rPr>
        <w:lastRenderedPageBreak/>
        <w:t xml:space="preserve">El reto tecnológico, </w:t>
      </w:r>
      <w:r w:rsidR="004F70F9">
        <w:rPr>
          <w:rFonts w:eastAsiaTheme="minorEastAsia"/>
          <w:lang w:val="es-ES"/>
        </w:rPr>
        <w:t>en este tipo de aproximaciones estaría</w:t>
      </w:r>
      <w:r w:rsidRPr="006E6514">
        <w:rPr>
          <w:rFonts w:eastAsiaTheme="minorEastAsia"/>
          <w:lang w:val="es-ES"/>
        </w:rPr>
        <w:t xml:space="preserve"> representado en tres aspectos principales: El primero, corresponde al procesamiento de imágenes provenientes de cámaras convencionales, que son susceptibles a limitaciones como la posición y los datos que pueden proporcionar. El segundo, implica el seguimiento continuo e inteligente para la extracción de características y el cálculo de indicadores relacionados con estado de ánimo y las actividades</w:t>
      </w:r>
      <w:r w:rsidR="004F70F9">
        <w:rPr>
          <w:rFonts w:eastAsiaTheme="minorEastAsia"/>
          <w:lang w:val="es-ES"/>
        </w:rPr>
        <w:t>. El tercer aspecto, correspondería</w:t>
      </w:r>
      <w:r w:rsidRPr="006E6514">
        <w:rPr>
          <w:rFonts w:eastAsiaTheme="minorEastAsia"/>
          <w:lang w:val="es-ES"/>
        </w:rPr>
        <w:t xml:space="preserve"> a la integración de la información mencionada anteriormente, para la conformación de indicadores de hábitos relacionados con trastornos psicológicos y la materialización de riesgos ocupacionales. </w:t>
      </w:r>
    </w:p>
    <w:p w14:paraId="2D076A0C" w14:textId="60897152" w:rsidR="0033393E" w:rsidRPr="0033393E" w:rsidRDefault="0033393E" w:rsidP="0033393E">
      <w:pPr>
        <w:pStyle w:val="heading1"/>
        <w:rPr>
          <w:lang w:val="es-CO"/>
        </w:rPr>
      </w:pPr>
      <w:r>
        <w:rPr>
          <w:lang w:val="es-CO"/>
        </w:rPr>
        <w:t>Referencias y bibliografía</w:t>
      </w:r>
    </w:p>
    <w:p w14:paraId="7DD73C43" w14:textId="753727B4" w:rsidR="00BB613B" w:rsidRPr="00BB613B" w:rsidRDefault="00291D2F" w:rsidP="006E6514">
      <w:pPr>
        <w:pStyle w:val="NormalWeb"/>
        <w:spacing w:before="0" w:beforeAutospacing="0" w:after="0" w:afterAutospacing="0"/>
        <w:jc w:val="center"/>
        <w:rPr>
          <w:sz w:val="16"/>
        </w:rPr>
      </w:pPr>
      <w:r w:rsidRPr="001902DB">
        <w:rPr>
          <w:sz w:val="16"/>
          <w:szCs w:val="16"/>
        </w:rPr>
        <w:fldChar w:fldCharType="begin"/>
      </w:r>
      <w:r w:rsidR="00BB613B">
        <w:rPr>
          <w:sz w:val="16"/>
          <w:szCs w:val="16"/>
        </w:rPr>
        <w:instrText>ADDIN RW.BIB</w:instrText>
      </w:r>
      <w:r w:rsidRPr="001902DB">
        <w:rPr>
          <w:sz w:val="16"/>
          <w:szCs w:val="16"/>
        </w:rPr>
        <w:fldChar w:fldCharType="separate"/>
      </w:r>
    </w:p>
    <w:p w14:paraId="452FD1E6" w14:textId="77777777" w:rsidR="00BB613B" w:rsidRPr="00BB613B" w:rsidRDefault="00BB613B" w:rsidP="006E6514">
      <w:pPr>
        <w:pStyle w:val="NormalWeb"/>
        <w:spacing w:before="0" w:beforeAutospacing="0" w:after="0" w:afterAutospacing="0"/>
        <w:rPr>
          <w:sz w:val="16"/>
        </w:rPr>
      </w:pPr>
      <w:r w:rsidRPr="00BB613B">
        <w:rPr>
          <w:sz w:val="16"/>
        </w:rPr>
        <w:t xml:space="preserve">[1] (). </w:t>
      </w:r>
      <w:r w:rsidRPr="00BB613B">
        <w:rPr>
          <w:i/>
          <w:iCs/>
          <w:sz w:val="16"/>
        </w:rPr>
        <w:t>Organización Internacional del Trabajo</w:t>
      </w:r>
      <w:r w:rsidRPr="00BB613B">
        <w:rPr>
          <w:sz w:val="16"/>
        </w:rPr>
        <w:t xml:space="preserve">. Available: </w:t>
      </w:r>
      <w:hyperlink r:id="rId10" w:tgtFrame="_blank" w:history="1">
        <w:r w:rsidRPr="00BB613B">
          <w:rPr>
            <w:rStyle w:val="Hipervnculo"/>
            <w:sz w:val="16"/>
          </w:rPr>
          <w:t>https://www.ilo.org/global/lang--es/index.htm</w:t>
        </w:r>
      </w:hyperlink>
      <w:r w:rsidRPr="00BB613B">
        <w:rPr>
          <w:sz w:val="16"/>
        </w:rPr>
        <w:t>.</w:t>
      </w:r>
    </w:p>
    <w:p w14:paraId="56942C43" w14:textId="77777777" w:rsidR="00BB613B" w:rsidRPr="00BB613B" w:rsidRDefault="00BB613B" w:rsidP="006E6514">
      <w:pPr>
        <w:pStyle w:val="NormalWeb"/>
        <w:spacing w:before="0" w:beforeAutospacing="0" w:after="0" w:afterAutospacing="0"/>
        <w:rPr>
          <w:sz w:val="16"/>
        </w:rPr>
      </w:pPr>
      <w:r w:rsidRPr="00BB613B">
        <w:rPr>
          <w:sz w:val="16"/>
        </w:rPr>
        <w:t xml:space="preserve">[2] J. Tudón, "La medicina del trabajo y la “salud ocupacional”," vol. 4, </w:t>
      </w:r>
      <w:r w:rsidRPr="00BB613B">
        <w:rPr>
          <w:i/>
          <w:iCs/>
          <w:sz w:val="16"/>
        </w:rPr>
        <w:t xml:space="preserve">(2), </w:t>
      </w:r>
      <w:r w:rsidRPr="00BB613B">
        <w:rPr>
          <w:sz w:val="16"/>
        </w:rPr>
        <w:t xml:space="preserve">2004. Available: </w:t>
      </w:r>
      <w:hyperlink r:id="rId11" w:tgtFrame="_blank" w:history="1">
        <w:r w:rsidRPr="00BB613B">
          <w:rPr>
            <w:rStyle w:val="Hipervnculo"/>
            <w:sz w:val="16"/>
          </w:rPr>
          <w:t>https://ebookcentral.proquest.com/lib/[SITE_ID</w:t>
        </w:r>
      </w:hyperlink>
      <w:r w:rsidRPr="00BB613B">
        <w:rPr>
          <w:sz w:val="16"/>
        </w:rPr>
        <w:t>]/detail.action?docID=3196007.</w:t>
      </w:r>
    </w:p>
    <w:p w14:paraId="0D72D9AA" w14:textId="77777777" w:rsidR="00BB613B" w:rsidRPr="00BB613B" w:rsidRDefault="00BB613B" w:rsidP="006E6514">
      <w:pPr>
        <w:pStyle w:val="NormalWeb"/>
        <w:spacing w:before="0" w:beforeAutospacing="0" w:after="0" w:afterAutospacing="0"/>
        <w:rPr>
          <w:sz w:val="16"/>
        </w:rPr>
      </w:pPr>
      <w:r w:rsidRPr="00BB613B">
        <w:rPr>
          <w:sz w:val="16"/>
        </w:rPr>
        <w:t xml:space="preserve">[3] R. Gomero, C. Zevallos and C. LLAP, "Medicina del Trabajo, Medicina Ocupacional y del Medio Ambiente y Salud Ocupacional," </w:t>
      </w:r>
      <w:r w:rsidRPr="00BB613B">
        <w:rPr>
          <w:i/>
          <w:iCs/>
          <w:sz w:val="16"/>
        </w:rPr>
        <w:t xml:space="preserve">Revista Medica Herediana, </w:t>
      </w:r>
      <w:r w:rsidRPr="00BB613B">
        <w:rPr>
          <w:sz w:val="16"/>
        </w:rPr>
        <w:t xml:space="preserve">vol. 17, </w:t>
      </w:r>
      <w:r w:rsidRPr="00BB613B">
        <w:rPr>
          <w:i/>
          <w:iCs/>
          <w:sz w:val="16"/>
        </w:rPr>
        <w:t xml:space="preserve">(2), </w:t>
      </w:r>
      <w:r w:rsidRPr="00BB613B">
        <w:rPr>
          <w:sz w:val="16"/>
        </w:rPr>
        <w:t xml:space="preserve">pp. 105-108, 2006. Available: </w:t>
      </w:r>
      <w:hyperlink r:id="rId12" w:tgtFrame="_blank" w:history="1">
        <w:r w:rsidRPr="00BB613B">
          <w:rPr>
            <w:rStyle w:val="Hipervnculo"/>
            <w:sz w:val="16"/>
          </w:rPr>
          <w:t>http://www.scielo.org.pe/scielo.php?script=sci_arttext&amp;pid=S1018-130X2006000200008&amp;lng=en&amp;tlng=en</w:t>
        </w:r>
      </w:hyperlink>
      <w:r w:rsidRPr="00BB613B">
        <w:rPr>
          <w:sz w:val="16"/>
        </w:rPr>
        <w:t>.</w:t>
      </w:r>
    </w:p>
    <w:p w14:paraId="0A1501A3" w14:textId="77777777" w:rsidR="00BB613B" w:rsidRPr="00BB613B" w:rsidRDefault="00BB613B" w:rsidP="006E6514">
      <w:pPr>
        <w:pStyle w:val="NormalWeb"/>
        <w:spacing w:before="0" w:beforeAutospacing="0" w:after="0" w:afterAutospacing="0"/>
        <w:rPr>
          <w:sz w:val="16"/>
        </w:rPr>
      </w:pPr>
      <w:r w:rsidRPr="00BB613B">
        <w:rPr>
          <w:sz w:val="16"/>
        </w:rPr>
        <w:t xml:space="preserve">[4] K. Jerezy, "Multidisciplinary Model Of Occupational Health Services," </w:t>
      </w:r>
      <w:r w:rsidRPr="00BB613B">
        <w:rPr>
          <w:i/>
          <w:iCs/>
          <w:sz w:val="16"/>
        </w:rPr>
        <w:t xml:space="preserve">International Journal of Occupational Medicine and Environmental Health, </w:t>
      </w:r>
      <w:r w:rsidRPr="00BB613B">
        <w:rPr>
          <w:sz w:val="16"/>
        </w:rPr>
        <w:t xml:space="preserve">vol. 14, </w:t>
      </w:r>
      <w:r w:rsidRPr="00BB613B">
        <w:rPr>
          <w:i/>
          <w:iCs/>
          <w:sz w:val="16"/>
        </w:rPr>
        <w:t xml:space="preserve">(1), </w:t>
      </w:r>
      <w:r w:rsidRPr="00BB613B">
        <w:rPr>
          <w:sz w:val="16"/>
        </w:rPr>
        <w:t xml:space="preserve">pp. 23-28, 2001. </w:t>
      </w:r>
    </w:p>
    <w:p w14:paraId="62EC8A80" w14:textId="77777777" w:rsidR="00BB613B" w:rsidRPr="00BB613B" w:rsidRDefault="00BB613B" w:rsidP="006E6514">
      <w:pPr>
        <w:pStyle w:val="NormalWeb"/>
        <w:spacing w:before="0" w:beforeAutospacing="0" w:after="0" w:afterAutospacing="0"/>
        <w:rPr>
          <w:sz w:val="16"/>
        </w:rPr>
      </w:pPr>
      <w:r w:rsidRPr="00BB613B">
        <w:rPr>
          <w:sz w:val="16"/>
        </w:rPr>
        <w:t xml:space="preserve">[5] INSHT and ITP, </w:t>
      </w:r>
      <w:r w:rsidRPr="00BB613B">
        <w:rPr>
          <w:i/>
          <w:iCs/>
          <w:sz w:val="16"/>
        </w:rPr>
        <w:t xml:space="preserve">Tratado Sobre Las Enfermedades De Los Trabajadores. </w:t>
      </w:r>
      <w:r w:rsidRPr="00BB613B">
        <w:rPr>
          <w:sz w:val="16"/>
        </w:rPr>
        <w:t>Instituto Nacional de Seguridad e Higiene en el Trabajo &amp; Asociación Instituto Técnico de Prevención, 2011.</w:t>
      </w:r>
    </w:p>
    <w:p w14:paraId="278A4ADC" w14:textId="77777777" w:rsidR="00BB613B" w:rsidRPr="00BB613B" w:rsidRDefault="00BB613B" w:rsidP="006E6514">
      <w:pPr>
        <w:pStyle w:val="NormalWeb"/>
        <w:spacing w:before="0" w:beforeAutospacing="0" w:after="0" w:afterAutospacing="0"/>
        <w:rPr>
          <w:sz w:val="16"/>
        </w:rPr>
      </w:pPr>
      <w:r w:rsidRPr="00BB613B">
        <w:rPr>
          <w:sz w:val="16"/>
        </w:rPr>
        <w:t xml:space="preserve">[6] H. Nava, </w:t>
      </w:r>
      <w:r w:rsidRPr="00BB613B">
        <w:rPr>
          <w:i/>
          <w:iCs/>
          <w:sz w:val="16"/>
        </w:rPr>
        <w:t xml:space="preserve">Antecedentes Históricos De La Salud En El Trabajo. </w:t>
      </w:r>
      <w:r w:rsidRPr="00BB613B">
        <w:rPr>
          <w:sz w:val="16"/>
        </w:rPr>
        <w:t>México: Méndez Editores, 1994.</w:t>
      </w:r>
    </w:p>
    <w:p w14:paraId="7F66A525" w14:textId="77777777" w:rsidR="00BB613B" w:rsidRPr="00BB613B" w:rsidRDefault="00BB613B" w:rsidP="006E6514">
      <w:pPr>
        <w:pStyle w:val="NormalWeb"/>
        <w:spacing w:before="0" w:beforeAutospacing="0" w:after="0" w:afterAutospacing="0"/>
        <w:rPr>
          <w:sz w:val="16"/>
        </w:rPr>
      </w:pPr>
      <w:r w:rsidRPr="00BB613B">
        <w:rPr>
          <w:sz w:val="16"/>
        </w:rPr>
        <w:t xml:space="preserve">[7] M. Cullen, M. Cherniack and L. Rosenstock, "Occupational Medicine," </w:t>
      </w:r>
      <w:r w:rsidRPr="00BB613B">
        <w:rPr>
          <w:i/>
          <w:iCs/>
          <w:sz w:val="16"/>
        </w:rPr>
        <w:t xml:space="preserve">The New England Journal of Medicine, (322), </w:t>
      </w:r>
      <w:r w:rsidRPr="00BB613B">
        <w:rPr>
          <w:sz w:val="16"/>
        </w:rPr>
        <w:t xml:space="preserve">pp. 594-601, 1990. Available: </w:t>
      </w:r>
      <w:hyperlink r:id="rId13" w:tgtFrame="_blank" w:history="1">
        <w:r w:rsidRPr="00BB613B">
          <w:rPr>
            <w:rStyle w:val="Hipervnculo"/>
            <w:sz w:val="16"/>
          </w:rPr>
          <w:t>https://www.nejm.org/doi/full/10.1056/NEJM199003013220905</w:t>
        </w:r>
      </w:hyperlink>
      <w:r w:rsidRPr="00BB613B">
        <w:rPr>
          <w:sz w:val="16"/>
        </w:rPr>
        <w:t>.</w:t>
      </w:r>
    </w:p>
    <w:p w14:paraId="1FDA8ABC" w14:textId="77777777" w:rsidR="00BB613B" w:rsidRPr="00BB613B" w:rsidRDefault="00BB613B" w:rsidP="006E6514">
      <w:pPr>
        <w:pStyle w:val="NormalWeb"/>
        <w:spacing w:before="0" w:beforeAutospacing="0" w:after="0" w:afterAutospacing="0"/>
        <w:rPr>
          <w:sz w:val="16"/>
        </w:rPr>
      </w:pPr>
      <w:r w:rsidRPr="00BB613B">
        <w:rPr>
          <w:sz w:val="16"/>
        </w:rPr>
        <w:t xml:space="preserve">[8] J. González Sánchez, "Código Europeo Contra el Cáncer y Salud Laboral: Actuación de la Enfermería del Trabajo," </w:t>
      </w:r>
      <w:r w:rsidRPr="00BB613B">
        <w:rPr>
          <w:i/>
          <w:iCs/>
          <w:sz w:val="16"/>
        </w:rPr>
        <w:t xml:space="preserve">Medicina Y Seguridad Del Trabajo, </w:t>
      </w:r>
      <w:r w:rsidRPr="00BB613B">
        <w:rPr>
          <w:sz w:val="16"/>
        </w:rPr>
        <w:t xml:space="preserve">vol. 58, </w:t>
      </w:r>
      <w:r w:rsidRPr="00BB613B">
        <w:rPr>
          <w:i/>
          <w:iCs/>
          <w:sz w:val="16"/>
        </w:rPr>
        <w:t xml:space="preserve">(228), </w:t>
      </w:r>
      <w:r w:rsidRPr="00BB613B">
        <w:rPr>
          <w:sz w:val="16"/>
        </w:rPr>
        <w:t>pp. 282-290, 2012. . DOI: 10.4321/S0465-546X2012000300012.</w:t>
      </w:r>
    </w:p>
    <w:p w14:paraId="1E08FF61" w14:textId="77777777" w:rsidR="00BB613B" w:rsidRPr="00BB613B" w:rsidRDefault="00BB613B" w:rsidP="006E6514">
      <w:pPr>
        <w:pStyle w:val="NormalWeb"/>
        <w:spacing w:before="0" w:beforeAutospacing="0" w:after="0" w:afterAutospacing="0"/>
        <w:rPr>
          <w:sz w:val="16"/>
        </w:rPr>
      </w:pPr>
      <w:r w:rsidRPr="00BB613B">
        <w:rPr>
          <w:sz w:val="16"/>
        </w:rPr>
        <w:t xml:space="preserve">[9] J. Harrington, </w:t>
      </w:r>
      <w:r w:rsidRPr="00BB613B">
        <w:rPr>
          <w:i/>
          <w:iCs/>
          <w:sz w:val="16"/>
        </w:rPr>
        <w:t xml:space="preserve">Occupational Health. </w:t>
      </w:r>
      <w:r w:rsidRPr="00BB613B">
        <w:rPr>
          <w:sz w:val="16"/>
        </w:rPr>
        <w:t>(4. ed. ed.) Oxford [u.a.]: Blackwell Science, 1998.</w:t>
      </w:r>
    </w:p>
    <w:p w14:paraId="5A39DEBD" w14:textId="77777777" w:rsidR="00BB613B" w:rsidRPr="00BB613B" w:rsidRDefault="00BB613B" w:rsidP="006E6514">
      <w:pPr>
        <w:pStyle w:val="NormalWeb"/>
        <w:spacing w:before="0" w:beforeAutospacing="0" w:after="0" w:afterAutospacing="0"/>
        <w:rPr>
          <w:sz w:val="16"/>
        </w:rPr>
      </w:pPr>
      <w:r w:rsidRPr="00BB613B">
        <w:rPr>
          <w:sz w:val="16"/>
        </w:rPr>
        <w:t xml:space="preserve">[10] W. Kirch, "Encyclopedia of public health," in </w:t>
      </w:r>
      <w:r w:rsidRPr="00BB613B">
        <w:rPr>
          <w:i/>
          <w:iCs/>
          <w:sz w:val="16"/>
        </w:rPr>
        <w:t>Encyclopedia of Public Health</w:t>
      </w:r>
      <w:r w:rsidRPr="00BB613B">
        <w:rPr>
          <w:sz w:val="16"/>
        </w:rPr>
        <w:t>, W. Kirch, Ed. Dordrecht: Springer Netherlands, 2008, pp. 1025.</w:t>
      </w:r>
    </w:p>
    <w:p w14:paraId="7922E2D5" w14:textId="77777777" w:rsidR="00BB613B" w:rsidRPr="00BB613B" w:rsidRDefault="00BB613B" w:rsidP="006E6514">
      <w:pPr>
        <w:pStyle w:val="NormalWeb"/>
        <w:spacing w:before="0" w:beforeAutospacing="0" w:after="0" w:afterAutospacing="0"/>
        <w:rPr>
          <w:sz w:val="16"/>
        </w:rPr>
      </w:pPr>
      <w:r w:rsidRPr="00BB613B">
        <w:rPr>
          <w:sz w:val="16"/>
        </w:rPr>
        <w:t xml:space="preserve">[11] (). </w:t>
      </w:r>
      <w:r w:rsidRPr="00BB613B">
        <w:rPr>
          <w:i/>
          <w:iCs/>
          <w:sz w:val="16"/>
        </w:rPr>
        <w:t>Occupational disease</w:t>
      </w:r>
      <w:r w:rsidRPr="00BB613B">
        <w:rPr>
          <w:sz w:val="16"/>
        </w:rPr>
        <w:t xml:space="preserve">. Available: </w:t>
      </w:r>
      <w:hyperlink r:id="rId14" w:tgtFrame="_blank" w:history="1">
        <w:r w:rsidRPr="00BB613B">
          <w:rPr>
            <w:rStyle w:val="Hipervnculo"/>
            <w:sz w:val="16"/>
          </w:rPr>
          <w:t>https://www.britannica.com</w:t>
        </w:r>
      </w:hyperlink>
      <w:r w:rsidRPr="00BB613B">
        <w:rPr>
          <w:sz w:val="16"/>
        </w:rPr>
        <w:t>.</w:t>
      </w:r>
    </w:p>
    <w:p w14:paraId="4A64EDFA" w14:textId="77777777" w:rsidR="00BB613B" w:rsidRPr="00BB613B" w:rsidRDefault="00BB613B" w:rsidP="006E6514">
      <w:pPr>
        <w:pStyle w:val="NormalWeb"/>
        <w:spacing w:before="0" w:beforeAutospacing="0" w:after="0" w:afterAutospacing="0"/>
        <w:rPr>
          <w:sz w:val="16"/>
        </w:rPr>
      </w:pPr>
      <w:r w:rsidRPr="00BB613B">
        <w:rPr>
          <w:sz w:val="16"/>
        </w:rPr>
        <w:t xml:space="preserve">[12] M. Rodríguez, "Factores Psicosociales de Riesgo Laboral: ¿Nuevos tiempos, nuevos riesgos?" </w:t>
      </w:r>
      <w:r w:rsidRPr="00BB613B">
        <w:rPr>
          <w:i/>
          <w:iCs/>
          <w:sz w:val="16"/>
        </w:rPr>
        <w:t xml:space="preserve">Observatorio Laboral Revista Venezolana, </w:t>
      </w:r>
      <w:r w:rsidRPr="00BB613B">
        <w:rPr>
          <w:sz w:val="16"/>
        </w:rPr>
        <w:t xml:space="preserve">vol. 2, </w:t>
      </w:r>
      <w:r w:rsidRPr="00BB613B">
        <w:rPr>
          <w:i/>
          <w:iCs/>
          <w:sz w:val="16"/>
        </w:rPr>
        <w:t xml:space="preserve">(3), </w:t>
      </w:r>
      <w:r w:rsidRPr="00BB613B">
        <w:rPr>
          <w:sz w:val="16"/>
        </w:rPr>
        <w:t xml:space="preserve">pp. 127-141, 2009. Available: </w:t>
      </w:r>
      <w:hyperlink r:id="rId15" w:tgtFrame="_blank" w:history="1">
        <w:r w:rsidRPr="00BB613B">
          <w:rPr>
            <w:rStyle w:val="Hipervnculo"/>
            <w:sz w:val="16"/>
          </w:rPr>
          <w:t>http://dialnet.unirioja.es/servlet/oaiart?codigo=2995368</w:t>
        </w:r>
      </w:hyperlink>
      <w:r w:rsidRPr="00BB613B">
        <w:rPr>
          <w:sz w:val="16"/>
        </w:rPr>
        <w:t>.</w:t>
      </w:r>
    </w:p>
    <w:p w14:paraId="1D0A7F8A" w14:textId="77777777" w:rsidR="00BB613B" w:rsidRPr="00BB613B" w:rsidRDefault="00BB613B" w:rsidP="006E6514">
      <w:pPr>
        <w:pStyle w:val="NormalWeb"/>
        <w:spacing w:before="0" w:beforeAutospacing="0" w:after="0" w:afterAutospacing="0"/>
        <w:rPr>
          <w:sz w:val="16"/>
        </w:rPr>
      </w:pPr>
      <w:r w:rsidRPr="00BB613B">
        <w:rPr>
          <w:sz w:val="16"/>
        </w:rPr>
        <w:t xml:space="preserve">[13] Ministerio de la protección social, "Resolución 2646 de 2008," 2008. </w:t>
      </w:r>
    </w:p>
    <w:p w14:paraId="36CBA44E" w14:textId="77777777" w:rsidR="00BB613B" w:rsidRPr="00BB613B" w:rsidRDefault="00BB613B" w:rsidP="006E6514">
      <w:pPr>
        <w:pStyle w:val="NormalWeb"/>
        <w:spacing w:before="0" w:beforeAutospacing="0" w:after="0" w:afterAutospacing="0"/>
        <w:rPr>
          <w:sz w:val="16"/>
        </w:rPr>
      </w:pPr>
      <w:r w:rsidRPr="00BB613B">
        <w:rPr>
          <w:sz w:val="16"/>
        </w:rPr>
        <w:t>[14] Raúl Mirza</w:t>
      </w:r>
      <w:r w:rsidRPr="00BB613B">
        <w:rPr>
          <w:i/>
          <w:iCs/>
          <w:sz w:val="16"/>
        </w:rPr>
        <w:t xml:space="preserve"> et al</w:t>
      </w:r>
      <w:r w:rsidRPr="00BB613B">
        <w:rPr>
          <w:sz w:val="16"/>
        </w:rPr>
        <w:t xml:space="preserve">, "Occupational Noise-Induced Hearing Loss," </w:t>
      </w:r>
      <w:r w:rsidRPr="00BB613B">
        <w:rPr>
          <w:i/>
          <w:iCs/>
          <w:sz w:val="16"/>
        </w:rPr>
        <w:t xml:space="preserve">Journal of Occupational and Environmental Medicine, </w:t>
      </w:r>
      <w:r w:rsidRPr="00BB613B">
        <w:rPr>
          <w:sz w:val="16"/>
        </w:rPr>
        <w:t xml:space="preserve">vol. 60, </w:t>
      </w:r>
      <w:r w:rsidRPr="00BB613B">
        <w:rPr>
          <w:i/>
          <w:iCs/>
          <w:sz w:val="16"/>
        </w:rPr>
        <w:t xml:space="preserve">(9), </w:t>
      </w:r>
      <w:r w:rsidRPr="00BB613B">
        <w:rPr>
          <w:sz w:val="16"/>
        </w:rPr>
        <w:t xml:space="preserve">pp. e501, 2018. Available: </w:t>
      </w:r>
      <w:hyperlink r:id="rId16" w:tgtFrame="_blank" w:history="1">
        <w:r w:rsidRPr="00BB613B">
          <w:rPr>
            <w:rStyle w:val="Hipervnculo"/>
            <w:sz w:val="16"/>
          </w:rPr>
          <w:t>https://www.ncbi.nlm.nih.gov/pubmed/30095587</w:t>
        </w:r>
      </w:hyperlink>
      <w:r w:rsidRPr="00BB613B">
        <w:rPr>
          <w:sz w:val="16"/>
        </w:rPr>
        <w:t>. DOI: 10.1097/JOM.0000000000001423.</w:t>
      </w:r>
    </w:p>
    <w:p w14:paraId="3D6B0FA4" w14:textId="77777777" w:rsidR="00BB613B" w:rsidRPr="00BB613B" w:rsidRDefault="00BB613B" w:rsidP="006E6514">
      <w:pPr>
        <w:pStyle w:val="NormalWeb"/>
        <w:spacing w:before="0" w:beforeAutospacing="0" w:after="0" w:afterAutospacing="0"/>
        <w:rPr>
          <w:sz w:val="16"/>
        </w:rPr>
      </w:pPr>
      <w:r w:rsidRPr="00BB613B">
        <w:rPr>
          <w:sz w:val="16"/>
        </w:rPr>
        <w:t>[15] H. B. Nielsen</w:t>
      </w:r>
      <w:r w:rsidRPr="00BB613B">
        <w:rPr>
          <w:i/>
          <w:iCs/>
          <w:sz w:val="16"/>
        </w:rPr>
        <w:t xml:space="preserve"> et al</w:t>
      </w:r>
      <w:r w:rsidRPr="00BB613B">
        <w:rPr>
          <w:sz w:val="16"/>
        </w:rPr>
        <w:t xml:space="preserve">, "Risk of injury after evening and night work - findings from the Danish Working Hour Database," </w:t>
      </w:r>
      <w:r w:rsidRPr="00BB613B">
        <w:rPr>
          <w:i/>
          <w:iCs/>
          <w:sz w:val="16"/>
        </w:rPr>
        <w:t xml:space="preserve">Scandinavian Journal of Work, Environment &amp; Health, </w:t>
      </w:r>
      <w:r w:rsidRPr="00BB613B">
        <w:rPr>
          <w:sz w:val="16"/>
        </w:rPr>
        <w:t xml:space="preserve">vol. 44, </w:t>
      </w:r>
      <w:r w:rsidRPr="00BB613B">
        <w:rPr>
          <w:i/>
          <w:iCs/>
          <w:sz w:val="16"/>
        </w:rPr>
        <w:t xml:space="preserve">(4), </w:t>
      </w:r>
      <w:r w:rsidRPr="00BB613B">
        <w:rPr>
          <w:sz w:val="16"/>
        </w:rPr>
        <w:t xml:space="preserve">pp. 385-393, 2018. Available: </w:t>
      </w:r>
      <w:hyperlink r:id="rId17" w:tgtFrame="_blank" w:history="1">
        <w:r w:rsidRPr="00BB613B">
          <w:rPr>
            <w:rStyle w:val="Hipervnculo"/>
            <w:sz w:val="16"/>
          </w:rPr>
          <w:t>https://www.ncbi.nlm.nih.gov/pubmed/29777613</w:t>
        </w:r>
      </w:hyperlink>
      <w:r w:rsidRPr="00BB613B">
        <w:rPr>
          <w:sz w:val="16"/>
        </w:rPr>
        <w:t>. DOI: 10.5271/sjweh.3737.</w:t>
      </w:r>
    </w:p>
    <w:p w14:paraId="4F43CF1C" w14:textId="77777777" w:rsidR="00BB613B" w:rsidRPr="00BB613B" w:rsidRDefault="00BB613B" w:rsidP="006E6514">
      <w:pPr>
        <w:pStyle w:val="NormalWeb"/>
        <w:spacing w:before="0" w:beforeAutospacing="0" w:after="0" w:afterAutospacing="0"/>
        <w:rPr>
          <w:sz w:val="16"/>
        </w:rPr>
      </w:pPr>
      <w:r w:rsidRPr="00BB613B">
        <w:rPr>
          <w:sz w:val="16"/>
        </w:rPr>
        <w:t>[16] R. Malkin</w:t>
      </w:r>
      <w:r w:rsidRPr="00BB613B">
        <w:rPr>
          <w:i/>
          <w:iCs/>
          <w:sz w:val="16"/>
        </w:rPr>
        <w:t xml:space="preserve"> et al</w:t>
      </w:r>
      <w:r w:rsidRPr="00BB613B">
        <w:rPr>
          <w:sz w:val="16"/>
        </w:rPr>
        <w:t xml:space="preserve">, "Ergonomics," </w:t>
      </w:r>
      <w:r w:rsidRPr="00BB613B">
        <w:rPr>
          <w:i/>
          <w:iCs/>
          <w:sz w:val="16"/>
        </w:rPr>
        <w:t xml:space="preserve">Journal of Occupational and Environmental Hygiene, </w:t>
      </w:r>
      <w:r w:rsidRPr="00BB613B">
        <w:rPr>
          <w:sz w:val="16"/>
        </w:rPr>
        <w:t xml:space="preserve">vol. 2, </w:t>
      </w:r>
      <w:r w:rsidRPr="00BB613B">
        <w:rPr>
          <w:i/>
          <w:iCs/>
          <w:sz w:val="16"/>
        </w:rPr>
        <w:t xml:space="preserve">(4), </w:t>
      </w:r>
      <w:r w:rsidRPr="00BB613B">
        <w:rPr>
          <w:sz w:val="16"/>
        </w:rPr>
        <w:t xml:space="preserve">pp. D21, 2005. Available: </w:t>
      </w:r>
      <w:hyperlink r:id="rId18" w:tgtFrame="_blank" w:history="1">
        <w:r w:rsidRPr="00BB613B">
          <w:rPr>
            <w:rStyle w:val="Hipervnculo"/>
            <w:sz w:val="16"/>
          </w:rPr>
          <w:t>http://www.tandfonline.com/doi/abs/10.1080/15459620590921499</w:t>
        </w:r>
      </w:hyperlink>
      <w:r w:rsidRPr="00BB613B">
        <w:rPr>
          <w:sz w:val="16"/>
        </w:rPr>
        <w:t>. DOI: 10.1080/15459620590921499.</w:t>
      </w:r>
    </w:p>
    <w:p w14:paraId="776D386A" w14:textId="77777777" w:rsidR="00BB613B" w:rsidRPr="00BB613B" w:rsidRDefault="00BB613B" w:rsidP="006E6514">
      <w:pPr>
        <w:pStyle w:val="NormalWeb"/>
        <w:spacing w:before="0" w:beforeAutospacing="0" w:after="0" w:afterAutospacing="0"/>
        <w:rPr>
          <w:sz w:val="16"/>
        </w:rPr>
      </w:pPr>
      <w:r w:rsidRPr="00BB613B">
        <w:rPr>
          <w:sz w:val="16"/>
        </w:rPr>
        <w:t xml:space="preserve">[17] H. E. Landberg, H. Westberg and H. Tinnerberg, "Evaluation of risk assessment approaches of occupational chemical exposures based on models in comparison with measurements," </w:t>
      </w:r>
      <w:r w:rsidRPr="00BB613B">
        <w:rPr>
          <w:i/>
          <w:iCs/>
          <w:sz w:val="16"/>
        </w:rPr>
        <w:t xml:space="preserve">Safety Science, </w:t>
      </w:r>
      <w:r w:rsidRPr="00BB613B">
        <w:rPr>
          <w:sz w:val="16"/>
        </w:rPr>
        <w:t xml:space="preserve">vol. 109, pp. 412-420, 2018. Available: </w:t>
      </w:r>
      <w:hyperlink r:id="rId19" w:tgtFrame="_blank" w:history="1">
        <w:r w:rsidRPr="00BB613B">
          <w:rPr>
            <w:rStyle w:val="Hipervnculo"/>
            <w:sz w:val="16"/>
          </w:rPr>
          <w:t>https://www.sciencedirect.com/science/article/pii/S0925753517315631</w:t>
        </w:r>
      </w:hyperlink>
      <w:r w:rsidRPr="00BB613B">
        <w:rPr>
          <w:sz w:val="16"/>
        </w:rPr>
        <w:t>. DOI: 10.1016/j.ssci.2018.06.006.</w:t>
      </w:r>
    </w:p>
    <w:p w14:paraId="341A3325" w14:textId="77777777" w:rsidR="00BB613B" w:rsidRPr="00BB613B" w:rsidRDefault="00BB613B" w:rsidP="006E6514">
      <w:pPr>
        <w:pStyle w:val="NormalWeb"/>
        <w:spacing w:before="0" w:beforeAutospacing="0" w:after="0" w:afterAutospacing="0"/>
        <w:rPr>
          <w:sz w:val="16"/>
        </w:rPr>
      </w:pPr>
      <w:r w:rsidRPr="00BB613B">
        <w:rPr>
          <w:sz w:val="16"/>
        </w:rPr>
        <w:t>[18] S. Shin</w:t>
      </w:r>
      <w:r w:rsidRPr="00BB613B">
        <w:rPr>
          <w:i/>
          <w:iCs/>
          <w:sz w:val="16"/>
        </w:rPr>
        <w:t xml:space="preserve"> et al</w:t>
      </w:r>
      <w:r w:rsidRPr="00BB613B">
        <w:rPr>
          <w:sz w:val="16"/>
        </w:rPr>
        <w:t xml:space="preserve">, "A Chemical Risk Ranking and Scoring Method for the Selection of Harmful Substances to be Specially Controlled in Occupational Environments," </w:t>
      </w:r>
      <w:r w:rsidRPr="00BB613B">
        <w:rPr>
          <w:i/>
          <w:iCs/>
          <w:sz w:val="16"/>
        </w:rPr>
        <w:t xml:space="preserve">International Journal of Environmental Research and Public Health, </w:t>
      </w:r>
      <w:r w:rsidRPr="00BB613B">
        <w:rPr>
          <w:sz w:val="16"/>
        </w:rPr>
        <w:t xml:space="preserve">vol. 11, </w:t>
      </w:r>
      <w:r w:rsidRPr="00BB613B">
        <w:rPr>
          <w:i/>
          <w:iCs/>
          <w:sz w:val="16"/>
        </w:rPr>
        <w:t xml:space="preserve">(11), </w:t>
      </w:r>
      <w:r w:rsidRPr="00BB613B">
        <w:rPr>
          <w:sz w:val="16"/>
        </w:rPr>
        <w:t xml:space="preserve">pp. 12001-12014, 2014. Available: </w:t>
      </w:r>
      <w:hyperlink r:id="rId20" w:tgtFrame="_blank" w:history="1">
        <w:r w:rsidRPr="00BB613B">
          <w:rPr>
            <w:rStyle w:val="Hipervnculo"/>
            <w:sz w:val="16"/>
          </w:rPr>
          <w:t>https://www.ncbi.nlm.nih.gov/pubmed/25419874</w:t>
        </w:r>
      </w:hyperlink>
      <w:r w:rsidRPr="00BB613B">
        <w:rPr>
          <w:sz w:val="16"/>
        </w:rPr>
        <w:t>. DOI: 10.3390/ijerph111112001.</w:t>
      </w:r>
    </w:p>
    <w:p w14:paraId="6C28D700" w14:textId="77777777" w:rsidR="00BB613B" w:rsidRPr="00BB613B" w:rsidRDefault="00BB613B" w:rsidP="006E6514">
      <w:pPr>
        <w:pStyle w:val="NormalWeb"/>
        <w:spacing w:before="0" w:beforeAutospacing="0" w:after="0" w:afterAutospacing="0"/>
        <w:rPr>
          <w:sz w:val="16"/>
        </w:rPr>
      </w:pPr>
      <w:r w:rsidRPr="00BB613B">
        <w:rPr>
          <w:sz w:val="16"/>
        </w:rPr>
        <w:lastRenderedPageBreak/>
        <w:t>[19] E. Tjoe-Nij</w:t>
      </w:r>
      <w:r w:rsidRPr="00BB613B">
        <w:rPr>
          <w:i/>
          <w:iCs/>
          <w:sz w:val="16"/>
        </w:rPr>
        <w:t xml:space="preserve"> et al</w:t>
      </w:r>
      <w:r w:rsidRPr="00BB613B">
        <w:rPr>
          <w:sz w:val="16"/>
        </w:rPr>
        <w:t xml:space="preserve">, "Chemical Risk Assessment Screening Tool of a Global Chemical Company," </w:t>
      </w:r>
      <w:r w:rsidRPr="00BB613B">
        <w:rPr>
          <w:i/>
          <w:iCs/>
          <w:sz w:val="16"/>
        </w:rPr>
        <w:t xml:space="preserve">Safety and Health at Work, </w:t>
      </w:r>
      <w:r w:rsidRPr="00BB613B">
        <w:rPr>
          <w:sz w:val="16"/>
        </w:rPr>
        <w:t xml:space="preserve">vol. 9, </w:t>
      </w:r>
      <w:r w:rsidRPr="00BB613B">
        <w:rPr>
          <w:i/>
          <w:iCs/>
          <w:sz w:val="16"/>
        </w:rPr>
        <w:t xml:space="preserve">(1), </w:t>
      </w:r>
      <w:r w:rsidRPr="00BB613B">
        <w:rPr>
          <w:sz w:val="16"/>
        </w:rPr>
        <w:t xml:space="preserve">pp. 84-94, 2018. Available: </w:t>
      </w:r>
      <w:hyperlink r:id="rId21" w:tgtFrame="_blank" w:history="1">
        <w:r w:rsidRPr="00BB613B">
          <w:rPr>
            <w:rStyle w:val="Hipervnculo"/>
            <w:sz w:val="16"/>
          </w:rPr>
          <w:t>https://www.sciencedirect.com/science/article/pii/S2093791117303141</w:t>
        </w:r>
      </w:hyperlink>
      <w:r w:rsidRPr="00BB613B">
        <w:rPr>
          <w:sz w:val="16"/>
        </w:rPr>
        <w:t>. DOI: 10.1016/j.shaw.2017.06.012.</w:t>
      </w:r>
    </w:p>
    <w:p w14:paraId="75CCFC8E" w14:textId="77777777" w:rsidR="00BB613B" w:rsidRPr="00BB613B" w:rsidRDefault="00BB613B" w:rsidP="006E6514">
      <w:pPr>
        <w:pStyle w:val="NormalWeb"/>
        <w:spacing w:before="0" w:beforeAutospacing="0" w:after="0" w:afterAutospacing="0"/>
        <w:rPr>
          <w:sz w:val="16"/>
        </w:rPr>
      </w:pPr>
      <w:r w:rsidRPr="00BB613B">
        <w:rPr>
          <w:sz w:val="16"/>
        </w:rPr>
        <w:t>[20] C. R. N. CORRAO</w:t>
      </w:r>
      <w:r w:rsidRPr="00BB613B">
        <w:rPr>
          <w:i/>
          <w:iCs/>
          <w:sz w:val="16"/>
        </w:rPr>
        <w:t xml:space="preserve"> et al</w:t>
      </w:r>
      <w:r w:rsidRPr="00BB613B">
        <w:rPr>
          <w:sz w:val="16"/>
        </w:rPr>
        <w:t xml:space="preserve">, "Biological Risk and Occupational Health," </w:t>
      </w:r>
      <w:r w:rsidRPr="00BB613B">
        <w:rPr>
          <w:i/>
          <w:iCs/>
          <w:sz w:val="16"/>
        </w:rPr>
        <w:t xml:space="preserve">Industrial Health, </w:t>
      </w:r>
      <w:r w:rsidRPr="00BB613B">
        <w:rPr>
          <w:sz w:val="16"/>
        </w:rPr>
        <w:t xml:space="preserve">vol. 50, </w:t>
      </w:r>
      <w:r w:rsidRPr="00BB613B">
        <w:rPr>
          <w:i/>
          <w:iCs/>
          <w:sz w:val="16"/>
        </w:rPr>
        <w:t xml:space="preserve">(4), </w:t>
      </w:r>
      <w:r w:rsidRPr="00BB613B">
        <w:rPr>
          <w:sz w:val="16"/>
        </w:rPr>
        <w:t xml:space="preserve">pp. 326-337, 2012. Available: </w:t>
      </w:r>
      <w:hyperlink r:id="rId22" w:tgtFrame="_blank" w:history="1">
        <w:r w:rsidRPr="00BB613B">
          <w:rPr>
            <w:rStyle w:val="Hipervnculo"/>
            <w:sz w:val="16"/>
          </w:rPr>
          <w:t>https://jlc.jst.go.jp/DN/JALC/10007643537?from=SUMMON</w:t>
        </w:r>
      </w:hyperlink>
      <w:r w:rsidRPr="00BB613B">
        <w:rPr>
          <w:sz w:val="16"/>
        </w:rPr>
        <w:t>. DOI: 10.2486/indhealth.MS1324.</w:t>
      </w:r>
    </w:p>
    <w:p w14:paraId="5401C09B" w14:textId="77777777" w:rsidR="00BB613B" w:rsidRPr="00BB613B" w:rsidRDefault="00BB613B" w:rsidP="006E6514">
      <w:pPr>
        <w:pStyle w:val="NormalWeb"/>
        <w:spacing w:before="0" w:beforeAutospacing="0" w:after="0" w:afterAutospacing="0"/>
        <w:rPr>
          <w:sz w:val="16"/>
        </w:rPr>
      </w:pPr>
      <w:r w:rsidRPr="00BB613B">
        <w:rPr>
          <w:sz w:val="16"/>
        </w:rPr>
        <w:t>[21] Y. MORIKAWA</w:t>
      </w:r>
      <w:r w:rsidRPr="00BB613B">
        <w:rPr>
          <w:i/>
          <w:iCs/>
          <w:sz w:val="16"/>
        </w:rPr>
        <w:t xml:space="preserve"> et al</w:t>
      </w:r>
      <w:r w:rsidRPr="00BB613B">
        <w:rPr>
          <w:sz w:val="16"/>
        </w:rPr>
        <w:t xml:space="preserve">, "Occupational Class Inequalities in Behavioral and Biological Risk Factors for Cardiovascular Disease among Workers in Medium- and Small-scale Enterprises," </w:t>
      </w:r>
      <w:r w:rsidRPr="00BB613B">
        <w:rPr>
          <w:i/>
          <w:iCs/>
          <w:sz w:val="16"/>
        </w:rPr>
        <w:t xml:space="preserve">Industrial Health, </w:t>
      </w:r>
      <w:r w:rsidRPr="00BB613B">
        <w:rPr>
          <w:sz w:val="16"/>
        </w:rPr>
        <w:t xml:space="preserve">vol. 50, </w:t>
      </w:r>
      <w:r w:rsidRPr="00BB613B">
        <w:rPr>
          <w:i/>
          <w:iCs/>
          <w:sz w:val="16"/>
        </w:rPr>
        <w:t xml:space="preserve">(6), </w:t>
      </w:r>
      <w:r w:rsidRPr="00BB613B">
        <w:rPr>
          <w:sz w:val="16"/>
        </w:rPr>
        <w:t xml:space="preserve">pp. 529-539, 2012. Available: </w:t>
      </w:r>
      <w:hyperlink r:id="rId23" w:tgtFrame="_blank" w:history="1">
        <w:r w:rsidRPr="00BB613B">
          <w:rPr>
            <w:rStyle w:val="Hipervnculo"/>
            <w:sz w:val="16"/>
          </w:rPr>
          <w:t>https://jlc.jst.go.jp/DN/JALC/10012789718?from=SUMMON</w:t>
        </w:r>
      </w:hyperlink>
      <w:r w:rsidRPr="00BB613B">
        <w:rPr>
          <w:sz w:val="16"/>
        </w:rPr>
        <w:t>. DOI: 10.2486/indhealth.2012-0036.</w:t>
      </w:r>
    </w:p>
    <w:p w14:paraId="6246DF3C" w14:textId="77777777" w:rsidR="00BB613B" w:rsidRPr="00BB613B" w:rsidRDefault="00BB613B" w:rsidP="006E6514">
      <w:pPr>
        <w:pStyle w:val="NormalWeb"/>
        <w:spacing w:before="0" w:beforeAutospacing="0" w:after="0" w:afterAutospacing="0"/>
        <w:rPr>
          <w:sz w:val="16"/>
        </w:rPr>
      </w:pPr>
      <w:r w:rsidRPr="00BB613B">
        <w:rPr>
          <w:sz w:val="16"/>
        </w:rPr>
        <w:t>[22] A. SCARSELLI</w:t>
      </w:r>
      <w:r w:rsidRPr="00BB613B">
        <w:rPr>
          <w:i/>
          <w:iCs/>
          <w:sz w:val="16"/>
        </w:rPr>
        <w:t xml:space="preserve"> et al</w:t>
      </w:r>
      <w:r w:rsidRPr="00BB613B">
        <w:rPr>
          <w:sz w:val="16"/>
        </w:rPr>
        <w:t xml:space="preserve">, "Biological Risk at Work in Italy: Results from the National Register of Occupational Exposures," </w:t>
      </w:r>
      <w:r w:rsidRPr="00BB613B">
        <w:rPr>
          <w:i/>
          <w:iCs/>
          <w:sz w:val="16"/>
        </w:rPr>
        <w:t xml:space="preserve">Industrial Health, </w:t>
      </w:r>
      <w:r w:rsidRPr="00BB613B">
        <w:rPr>
          <w:sz w:val="16"/>
        </w:rPr>
        <w:t xml:space="preserve">vol. 48, </w:t>
      </w:r>
      <w:r w:rsidRPr="00BB613B">
        <w:rPr>
          <w:i/>
          <w:iCs/>
          <w:sz w:val="16"/>
        </w:rPr>
        <w:t xml:space="preserve">(3), </w:t>
      </w:r>
      <w:r w:rsidRPr="00BB613B">
        <w:rPr>
          <w:sz w:val="16"/>
        </w:rPr>
        <w:t xml:space="preserve">pp. 365-369, 2010. Available: </w:t>
      </w:r>
      <w:hyperlink r:id="rId24" w:tgtFrame="_blank" w:history="1">
        <w:r w:rsidRPr="00BB613B">
          <w:rPr>
            <w:rStyle w:val="Hipervnculo"/>
            <w:sz w:val="16"/>
          </w:rPr>
          <w:t>https://jlc.jst.go.jp/DN/JALC/00352137065?from=SUMMON</w:t>
        </w:r>
      </w:hyperlink>
      <w:r w:rsidRPr="00BB613B">
        <w:rPr>
          <w:sz w:val="16"/>
        </w:rPr>
        <w:t>. DOI: 10.2486/indhealth.48.365.</w:t>
      </w:r>
    </w:p>
    <w:p w14:paraId="53EEF456" w14:textId="77777777" w:rsidR="00BB613B" w:rsidRPr="00BB613B" w:rsidRDefault="00BB613B" w:rsidP="006E6514">
      <w:pPr>
        <w:pStyle w:val="NormalWeb"/>
        <w:spacing w:before="0" w:beforeAutospacing="0" w:after="0" w:afterAutospacing="0"/>
        <w:rPr>
          <w:sz w:val="16"/>
        </w:rPr>
      </w:pPr>
      <w:r w:rsidRPr="00BB613B">
        <w:rPr>
          <w:sz w:val="16"/>
        </w:rPr>
        <w:t>[23] P. Nataletti</w:t>
      </w:r>
      <w:r w:rsidRPr="00BB613B">
        <w:rPr>
          <w:i/>
          <w:iCs/>
          <w:sz w:val="16"/>
        </w:rPr>
        <w:t xml:space="preserve"> et al</w:t>
      </w:r>
      <w:r w:rsidRPr="00BB613B">
        <w:rPr>
          <w:sz w:val="16"/>
        </w:rPr>
        <w:t xml:space="preserve">, "Occupational Exposure to Mechanical Vibration: The Italian Vibration Database for Risk Assessment," </w:t>
      </w:r>
      <w:r w:rsidRPr="00BB613B">
        <w:rPr>
          <w:i/>
          <w:iCs/>
          <w:sz w:val="16"/>
        </w:rPr>
        <w:t xml:space="preserve">International Journal of Occupational Safety and Ergonomics, </w:t>
      </w:r>
      <w:r w:rsidRPr="00BB613B">
        <w:rPr>
          <w:sz w:val="16"/>
        </w:rPr>
        <w:t xml:space="preserve">vol. 14, </w:t>
      </w:r>
      <w:r w:rsidRPr="00BB613B">
        <w:rPr>
          <w:i/>
          <w:iCs/>
          <w:sz w:val="16"/>
        </w:rPr>
        <w:t xml:space="preserve">(4), </w:t>
      </w:r>
      <w:r w:rsidRPr="00BB613B">
        <w:rPr>
          <w:sz w:val="16"/>
        </w:rPr>
        <w:t xml:space="preserve">pp. 379-386, 2008. Available: </w:t>
      </w:r>
      <w:hyperlink r:id="rId25" w:tgtFrame="_blank" w:history="1">
        <w:r w:rsidRPr="00BB613B">
          <w:rPr>
            <w:rStyle w:val="Hipervnculo"/>
            <w:sz w:val="16"/>
          </w:rPr>
          <w:t>http://www.tandfonline.com/doi/abs/10.1080/10803548.2008.11076775</w:t>
        </w:r>
      </w:hyperlink>
      <w:r w:rsidRPr="00BB613B">
        <w:rPr>
          <w:sz w:val="16"/>
        </w:rPr>
        <w:t>. DOI: 10.1080/10803548.2008.11076775.</w:t>
      </w:r>
    </w:p>
    <w:p w14:paraId="11206488" w14:textId="77777777" w:rsidR="00BB613B" w:rsidRPr="00BB613B" w:rsidRDefault="00BB613B" w:rsidP="006E6514">
      <w:pPr>
        <w:pStyle w:val="NormalWeb"/>
        <w:spacing w:before="0" w:beforeAutospacing="0" w:after="0" w:afterAutospacing="0"/>
        <w:rPr>
          <w:sz w:val="16"/>
        </w:rPr>
      </w:pPr>
      <w:r w:rsidRPr="00BB613B">
        <w:rPr>
          <w:sz w:val="16"/>
        </w:rPr>
        <w:t>[24] K. T. Palmer</w:t>
      </w:r>
      <w:r w:rsidRPr="00BB613B">
        <w:rPr>
          <w:i/>
          <w:iCs/>
          <w:sz w:val="16"/>
        </w:rPr>
        <w:t xml:space="preserve"> et al</w:t>
      </w:r>
      <w:r w:rsidRPr="00BB613B">
        <w:rPr>
          <w:sz w:val="16"/>
        </w:rPr>
        <w:t xml:space="preserve">, "The relative importance of whole body vibration and occupational lifting as risk factors for low-back pain," </w:t>
      </w:r>
      <w:r w:rsidRPr="00BB613B">
        <w:rPr>
          <w:i/>
          <w:iCs/>
          <w:sz w:val="16"/>
        </w:rPr>
        <w:t xml:space="preserve">Occupational and Environmental Medicine, </w:t>
      </w:r>
      <w:r w:rsidRPr="00BB613B">
        <w:rPr>
          <w:sz w:val="16"/>
        </w:rPr>
        <w:t xml:space="preserve">vol. 60, </w:t>
      </w:r>
      <w:r w:rsidRPr="00BB613B">
        <w:rPr>
          <w:i/>
          <w:iCs/>
          <w:sz w:val="16"/>
        </w:rPr>
        <w:t xml:space="preserve">(10), </w:t>
      </w:r>
      <w:r w:rsidRPr="00BB613B">
        <w:rPr>
          <w:sz w:val="16"/>
        </w:rPr>
        <w:t xml:space="preserve">pp. 715-721, 2003. Available: </w:t>
      </w:r>
      <w:hyperlink r:id="rId26" w:tgtFrame="_blank" w:history="1">
        <w:r w:rsidRPr="00BB613B">
          <w:rPr>
            <w:rStyle w:val="Hipervnculo"/>
            <w:sz w:val="16"/>
          </w:rPr>
          <w:t>http://dx.doi.org/10.1136/oem.60.10.715</w:t>
        </w:r>
      </w:hyperlink>
      <w:r w:rsidRPr="00BB613B">
        <w:rPr>
          <w:sz w:val="16"/>
        </w:rPr>
        <w:t>. DOI: 10.1136/oem.60.10.715.</w:t>
      </w:r>
    </w:p>
    <w:p w14:paraId="22BD6E5B" w14:textId="77777777" w:rsidR="00BB613B" w:rsidRPr="00BB613B" w:rsidRDefault="00BB613B" w:rsidP="006E6514">
      <w:pPr>
        <w:pStyle w:val="NormalWeb"/>
        <w:spacing w:before="0" w:beforeAutospacing="0" w:after="0" w:afterAutospacing="0"/>
        <w:rPr>
          <w:sz w:val="16"/>
        </w:rPr>
      </w:pPr>
      <w:r w:rsidRPr="00BB613B">
        <w:rPr>
          <w:sz w:val="16"/>
        </w:rPr>
        <w:t>[25] E. Sundstrup</w:t>
      </w:r>
      <w:r w:rsidRPr="00BB613B">
        <w:rPr>
          <w:i/>
          <w:iCs/>
          <w:sz w:val="16"/>
        </w:rPr>
        <w:t xml:space="preserve"> et al</w:t>
      </w:r>
      <w:r w:rsidRPr="00BB613B">
        <w:rPr>
          <w:sz w:val="16"/>
        </w:rPr>
        <w:t xml:space="preserve">, "Cumulative occupational mechanical exposures during working life and risk of sickness absence and disability pension: prospective cohort study," </w:t>
      </w:r>
      <w:r w:rsidRPr="00BB613B">
        <w:rPr>
          <w:i/>
          <w:iCs/>
          <w:sz w:val="16"/>
        </w:rPr>
        <w:t xml:space="preserve">Scandinavian Journal of Work, Environment &amp; Health, </w:t>
      </w:r>
      <w:r w:rsidRPr="00BB613B">
        <w:rPr>
          <w:sz w:val="16"/>
        </w:rPr>
        <w:t xml:space="preserve">vol. 43, </w:t>
      </w:r>
      <w:r w:rsidRPr="00BB613B">
        <w:rPr>
          <w:i/>
          <w:iCs/>
          <w:sz w:val="16"/>
        </w:rPr>
        <w:t xml:space="preserve">(5), </w:t>
      </w:r>
      <w:r w:rsidRPr="00BB613B">
        <w:rPr>
          <w:sz w:val="16"/>
        </w:rPr>
        <w:t xml:space="preserve">pp. 415-425, 2017. Available: </w:t>
      </w:r>
      <w:hyperlink r:id="rId27" w:tgtFrame="_blank" w:history="1">
        <w:r w:rsidRPr="00BB613B">
          <w:rPr>
            <w:rStyle w:val="Hipervnculo"/>
            <w:sz w:val="16"/>
          </w:rPr>
          <w:t>https://www.ncbi.nlm.nih.gov/pubmed/28783203</w:t>
        </w:r>
      </w:hyperlink>
      <w:r w:rsidRPr="00BB613B">
        <w:rPr>
          <w:sz w:val="16"/>
        </w:rPr>
        <w:t>. DOI: 10.5271/sjweh.3663.</w:t>
      </w:r>
    </w:p>
    <w:p w14:paraId="583F4E55" w14:textId="77777777" w:rsidR="00BB613B" w:rsidRPr="00BB613B" w:rsidRDefault="00BB613B" w:rsidP="006E6514">
      <w:pPr>
        <w:pStyle w:val="NormalWeb"/>
        <w:spacing w:before="0" w:beforeAutospacing="0" w:after="0" w:afterAutospacing="0"/>
        <w:rPr>
          <w:sz w:val="16"/>
        </w:rPr>
      </w:pPr>
      <w:r w:rsidRPr="00BB613B">
        <w:rPr>
          <w:sz w:val="16"/>
        </w:rPr>
        <w:t>[26] E. G. Marshall</w:t>
      </w:r>
      <w:r w:rsidRPr="00BB613B">
        <w:rPr>
          <w:i/>
          <w:iCs/>
          <w:sz w:val="16"/>
        </w:rPr>
        <w:t xml:space="preserve"> et al</w:t>
      </w:r>
      <w:r w:rsidRPr="00BB613B">
        <w:rPr>
          <w:sz w:val="16"/>
        </w:rPr>
        <w:t xml:space="preserve">, "Work-Related Unintentional Injuries Associated With Hurricane Sandy in New Jersey," </w:t>
      </w:r>
      <w:r w:rsidRPr="00BB613B">
        <w:rPr>
          <w:i/>
          <w:iCs/>
          <w:sz w:val="16"/>
        </w:rPr>
        <w:t xml:space="preserve">Disaster Medicine and Public Health Preparedness, </w:t>
      </w:r>
      <w:r w:rsidRPr="00BB613B">
        <w:rPr>
          <w:sz w:val="16"/>
        </w:rPr>
        <w:t xml:space="preserve">vol. 10, </w:t>
      </w:r>
      <w:r w:rsidRPr="00BB613B">
        <w:rPr>
          <w:i/>
          <w:iCs/>
          <w:sz w:val="16"/>
        </w:rPr>
        <w:t xml:space="preserve">(3), </w:t>
      </w:r>
      <w:r w:rsidRPr="00BB613B">
        <w:rPr>
          <w:sz w:val="16"/>
        </w:rPr>
        <w:t xml:space="preserve">pp. 394-404, 2016. Available: </w:t>
      </w:r>
      <w:hyperlink r:id="rId28" w:tgtFrame="_blank" w:history="1">
        <w:r w:rsidRPr="00BB613B">
          <w:rPr>
            <w:rStyle w:val="Hipervnculo"/>
            <w:sz w:val="16"/>
          </w:rPr>
          <w:t>https://www-cambridge-org.ezproxy.javeriana.edu.co/core/article/workrelated-unintentional-injuries-associated-with-hurricane-sandy-in-new-jersey/AB0220A1F1E274EA41B0C2A33D0F2DCB</w:t>
        </w:r>
      </w:hyperlink>
      <w:r w:rsidRPr="00BB613B">
        <w:rPr>
          <w:sz w:val="16"/>
        </w:rPr>
        <w:t>. DOI: 10.1017/dmp.2016.47.</w:t>
      </w:r>
    </w:p>
    <w:p w14:paraId="0FACF257" w14:textId="77777777" w:rsidR="00BB613B" w:rsidRPr="00BB613B" w:rsidRDefault="00BB613B" w:rsidP="006E6514">
      <w:pPr>
        <w:pStyle w:val="NormalWeb"/>
        <w:spacing w:before="0" w:beforeAutospacing="0" w:after="0" w:afterAutospacing="0"/>
        <w:rPr>
          <w:sz w:val="16"/>
        </w:rPr>
      </w:pPr>
      <w:r w:rsidRPr="00BB613B">
        <w:rPr>
          <w:sz w:val="16"/>
        </w:rPr>
        <w:t>[27] C. Anthonj</w:t>
      </w:r>
      <w:r w:rsidRPr="00BB613B">
        <w:rPr>
          <w:i/>
          <w:iCs/>
          <w:sz w:val="16"/>
        </w:rPr>
        <w:t xml:space="preserve"> et al</w:t>
      </w:r>
      <w:r w:rsidRPr="00BB613B">
        <w:rPr>
          <w:sz w:val="16"/>
        </w:rPr>
        <w:t xml:space="preserve">, "Health risk perceptions and local knowledge of water-related infectious disease exposure among Kenyan wetland communities," </w:t>
      </w:r>
      <w:r w:rsidRPr="00BB613B">
        <w:rPr>
          <w:i/>
          <w:iCs/>
          <w:sz w:val="16"/>
        </w:rPr>
        <w:t xml:space="preserve">International Journal of Hygiene and Environmental Health, </w:t>
      </w:r>
      <w:r w:rsidRPr="00BB613B">
        <w:rPr>
          <w:sz w:val="16"/>
        </w:rPr>
        <w:t xml:space="preserve">vol. 222, </w:t>
      </w:r>
      <w:r w:rsidRPr="00BB613B">
        <w:rPr>
          <w:i/>
          <w:iCs/>
          <w:sz w:val="16"/>
        </w:rPr>
        <w:t xml:space="preserve">(1), </w:t>
      </w:r>
      <w:r w:rsidRPr="00BB613B">
        <w:rPr>
          <w:sz w:val="16"/>
        </w:rPr>
        <w:t xml:space="preserve">pp. 34-48, 2019. Available: </w:t>
      </w:r>
      <w:hyperlink r:id="rId29" w:tgtFrame="_blank" w:history="1">
        <w:r w:rsidRPr="00BB613B">
          <w:rPr>
            <w:rStyle w:val="Hipervnculo"/>
            <w:sz w:val="16"/>
          </w:rPr>
          <w:t>https://www.sciencedirect.com/science/article/pii/S1438463918303511</w:t>
        </w:r>
      </w:hyperlink>
      <w:r w:rsidRPr="00BB613B">
        <w:rPr>
          <w:sz w:val="16"/>
        </w:rPr>
        <w:t>. DOI: 10.1016/j.ijheh.2018.08.003.</w:t>
      </w:r>
    </w:p>
    <w:p w14:paraId="78D9B6D0" w14:textId="77777777" w:rsidR="00BB613B" w:rsidRPr="00BB613B" w:rsidRDefault="00BB613B" w:rsidP="006E6514">
      <w:pPr>
        <w:pStyle w:val="NormalWeb"/>
        <w:spacing w:before="0" w:beforeAutospacing="0" w:after="0" w:afterAutospacing="0"/>
        <w:rPr>
          <w:sz w:val="16"/>
        </w:rPr>
      </w:pPr>
      <w:r w:rsidRPr="00BB613B">
        <w:rPr>
          <w:sz w:val="16"/>
        </w:rPr>
        <w:t>[28] O. P. WÓJCIK</w:t>
      </w:r>
      <w:r w:rsidRPr="00BB613B">
        <w:rPr>
          <w:i/>
          <w:iCs/>
          <w:sz w:val="16"/>
        </w:rPr>
        <w:t xml:space="preserve"> et al</w:t>
      </w:r>
      <w:r w:rsidRPr="00BB613B">
        <w:rPr>
          <w:sz w:val="16"/>
        </w:rPr>
        <w:t xml:space="preserve">, "Personal protective equipment, hygiene behaviours and occupational risk of illness after July 2011 flood in Copenhagen, Denmark," </w:t>
      </w:r>
      <w:r w:rsidRPr="00BB613B">
        <w:rPr>
          <w:i/>
          <w:iCs/>
          <w:sz w:val="16"/>
        </w:rPr>
        <w:t xml:space="preserve">Epidemiology and Infection, </w:t>
      </w:r>
      <w:r w:rsidRPr="00BB613B">
        <w:rPr>
          <w:sz w:val="16"/>
        </w:rPr>
        <w:t xml:space="preserve">vol. 141, </w:t>
      </w:r>
      <w:r w:rsidRPr="00BB613B">
        <w:rPr>
          <w:i/>
          <w:iCs/>
          <w:sz w:val="16"/>
        </w:rPr>
        <w:t xml:space="preserve">(8), </w:t>
      </w:r>
      <w:r w:rsidRPr="00BB613B">
        <w:rPr>
          <w:sz w:val="16"/>
        </w:rPr>
        <w:t xml:space="preserve">pp. 1756-1763, 2013. Available: </w:t>
      </w:r>
      <w:hyperlink r:id="rId30" w:tgtFrame="_blank" w:history="1">
        <w:r w:rsidRPr="00BB613B">
          <w:rPr>
            <w:rStyle w:val="Hipervnculo"/>
            <w:sz w:val="16"/>
          </w:rPr>
          <w:t>https://www.jstor.org/stable/23462862</w:t>
        </w:r>
      </w:hyperlink>
      <w:r w:rsidRPr="00BB613B">
        <w:rPr>
          <w:sz w:val="16"/>
        </w:rPr>
        <w:t>. DOI: 10.1017/S0950268812002038.</w:t>
      </w:r>
    </w:p>
    <w:p w14:paraId="53474724" w14:textId="77777777" w:rsidR="00BB613B" w:rsidRPr="00BB613B" w:rsidRDefault="00BB613B" w:rsidP="006E6514">
      <w:pPr>
        <w:pStyle w:val="NormalWeb"/>
        <w:spacing w:before="0" w:beforeAutospacing="0" w:after="0" w:afterAutospacing="0"/>
        <w:rPr>
          <w:sz w:val="16"/>
        </w:rPr>
      </w:pPr>
      <w:r w:rsidRPr="00BB613B">
        <w:rPr>
          <w:sz w:val="16"/>
        </w:rPr>
        <w:t xml:space="preserve">[29] V. Forastieri, "Psychosocial risks and work-related stress," Jul, 2013. </w:t>
      </w:r>
    </w:p>
    <w:p w14:paraId="70811A66" w14:textId="77777777" w:rsidR="00BB613B" w:rsidRPr="00BB613B" w:rsidRDefault="00BB613B" w:rsidP="006E6514">
      <w:pPr>
        <w:pStyle w:val="NormalWeb"/>
        <w:spacing w:before="0" w:beforeAutospacing="0" w:after="0" w:afterAutospacing="0"/>
        <w:rPr>
          <w:sz w:val="16"/>
        </w:rPr>
      </w:pPr>
      <w:r w:rsidRPr="00BB613B">
        <w:rPr>
          <w:sz w:val="16"/>
        </w:rPr>
        <w:t>[30] K. B. Rocha</w:t>
      </w:r>
      <w:r w:rsidRPr="00BB613B">
        <w:rPr>
          <w:i/>
          <w:iCs/>
          <w:sz w:val="16"/>
        </w:rPr>
        <w:t xml:space="preserve"> et al</w:t>
      </w:r>
      <w:r w:rsidRPr="00BB613B">
        <w:rPr>
          <w:sz w:val="16"/>
        </w:rPr>
        <w:t xml:space="preserve">, "Clase social, factores de riesgo psicosocial en el trabajo y su asociación con la salud autopercibida y mental en Chile," </w:t>
      </w:r>
      <w:r w:rsidRPr="00BB613B">
        <w:rPr>
          <w:i/>
          <w:iCs/>
          <w:sz w:val="16"/>
        </w:rPr>
        <w:t xml:space="preserve">Cadernos De Saúde Pública, </w:t>
      </w:r>
      <w:r w:rsidRPr="00BB613B">
        <w:rPr>
          <w:sz w:val="16"/>
        </w:rPr>
        <w:t xml:space="preserve">vol. 30, </w:t>
      </w:r>
      <w:r w:rsidRPr="00BB613B">
        <w:rPr>
          <w:i/>
          <w:iCs/>
          <w:sz w:val="16"/>
        </w:rPr>
        <w:t xml:space="preserve">(10), </w:t>
      </w:r>
      <w:r w:rsidRPr="00BB613B">
        <w:rPr>
          <w:sz w:val="16"/>
        </w:rPr>
        <w:t xml:space="preserve">pp. 2219-2234, 2014. Available: </w:t>
      </w:r>
      <w:hyperlink r:id="rId31" w:tgtFrame="_blank" w:history="1">
        <w:r w:rsidRPr="00BB613B">
          <w:rPr>
            <w:rStyle w:val="Hipervnculo"/>
            <w:sz w:val="16"/>
          </w:rPr>
          <w:t>http://www.scielo.br/scielo.php?script=sci_arttext&amp;pid=S0102-311X2014001002219&amp;lng=en&amp;tlng=en</w:t>
        </w:r>
      </w:hyperlink>
      <w:r w:rsidRPr="00BB613B">
        <w:rPr>
          <w:sz w:val="16"/>
        </w:rPr>
        <w:t>. DOI: 10.1590/0102-311X00176213.</w:t>
      </w:r>
    </w:p>
    <w:p w14:paraId="23DEB198" w14:textId="77777777" w:rsidR="00BB613B" w:rsidRPr="00BB613B" w:rsidRDefault="00BB613B" w:rsidP="006E6514">
      <w:pPr>
        <w:pStyle w:val="NormalWeb"/>
        <w:spacing w:before="0" w:beforeAutospacing="0" w:after="0" w:afterAutospacing="0"/>
        <w:rPr>
          <w:sz w:val="16"/>
        </w:rPr>
      </w:pPr>
      <w:r w:rsidRPr="00BB613B">
        <w:rPr>
          <w:sz w:val="16"/>
        </w:rPr>
        <w:t xml:space="preserve">[31] E. Raffo Lecca, L. Raez Guevara and O. Cachay Boza, "Riesgos psicosociales," </w:t>
      </w:r>
      <w:r w:rsidRPr="00BB613B">
        <w:rPr>
          <w:i/>
          <w:iCs/>
          <w:sz w:val="16"/>
        </w:rPr>
        <w:t xml:space="preserve">Industrial Data, </w:t>
      </w:r>
      <w:r w:rsidRPr="00BB613B">
        <w:rPr>
          <w:sz w:val="16"/>
        </w:rPr>
        <w:t xml:space="preserve">vol. 16, </w:t>
      </w:r>
      <w:r w:rsidRPr="00BB613B">
        <w:rPr>
          <w:i/>
          <w:iCs/>
          <w:sz w:val="16"/>
        </w:rPr>
        <w:t xml:space="preserve">(1), </w:t>
      </w:r>
      <w:r w:rsidRPr="00BB613B">
        <w:rPr>
          <w:sz w:val="16"/>
        </w:rPr>
        <w:t>pp. 70, 2014. . DOI: 10.15381/idata.v16i1.6420.</w:t>
      </w:r>
    </w:p>
    <w:p w14:paraId="314FD57C" w14:textId="77777777" w:rsidR="00BB613B" w:rsidRPr="00BB613B" w:rsidRDefault="00BB613B" w:rsidP="006E6514">
      <w:pPr>
        <w:pStyle w:val="NormalWeb"/>
        <w:spacing w:before="0" w:beforeAutospacing="0" w:after="0" w:afterAutospacing="0"/>
        <w:rPr>
          <w:sz w:val="16"/>
        </w:rPr>
      </w:pPr>
      <w:r w:rsidRPr="00BB613B">
        <w:rPr>
          <w:sz w:val="16"/>
        </w:rPr>
        <w:t>[32] Por: Fernando Mansilla Izquierdo and Introducción, "Manual de Riesgos Psicosociales en el trabajo: Teoría y Práctica," .</w:t>
      </w:r>
    </w:p>
    <w:p w14:paraId="5EBDB18A" w14:textId="77777777" w:rsidR="00BB613B" w:rsidRPr="00BB613B" w:rsidRDefault="00BB613B" w:rsidP="006E6514">
      <w:pPr>
        <w:pStyle w:val="NormalWeb"/>
        <w:spacing w:before="0" w:beforeAutospacing="0" w:after="0" w:afterAutospacing="0"/>
        <w:rPr>
          <w:sz w:val="16"/>
        </w:rPr>
      </w:pPr>
      <w:r w:rsidRPr="00BB613B">
        <w:rPr>
          <w:sz w:val="16"/>
        </w:rPr>
        <w:t>[33] Y. Jin</w:t>
      </w:r>
      <w:r w:rsidRPr="00BB613B">
        <w:rPr>
          <w:i/>
          <w:iCs/>
          <w:sz w:val="16"/>
        </w:rPr>
        <w:t xml:space="preserve"> et al</w:t>
      </w:r>
      <w:r w:rsidRPr="00BB613B">
        <w:rPr>
          <w:sz w:val="16"/>
        </w:rPr>
        <w:t xml:space="preserve">, "The Relationship between Depression and Lifestyle Risk Factors in Office Workers: 818 Board #134 June 1, 2: 00 PM - 3: 30 PM," </w:t>
      </w:r>
      <w:r w:rsidRPr="00BB613B">
        <w:rPr>
          <w:i/>
          <w:iCs/>
          <w:sz w:val="16"/>
        </w:rPr>
        <w:t xml:space="preserve">Medicine &amp; Science in Sports &amp; Exercise, </w:t>
      </w:r>
      <w:r w:rsidRPr="00BB613B">
        <w:rPr>
          <w:sz w:val="16"/>
        </w:rPr>
        <w:t xml:space="preserve">vol. 48, </w:t>
      </w:r>
      <w:r w:rsidRPr="00BB613B">
        <w:rPr>
          <w:i/>
          <w:iCs/>
          <w:sz w:val="16"/>
        </w:rPr>
        <w:t xml:space="preserve">(5S Suppl 1), </w:t>
      </w:r>
      <w:r w:rsidRPr="00BB613B">
        <w:rPr>
          <w:sz w:val="16"/>
        </w:rPr>
        <w:t xml:space="preserve">pp. 227, 2016. Available: </w:t>
      </w:r>
      <w:hyperlink r:id="rId32" w:tgtFrame="_blank" w:history="1">
        <w:r w:rsidRPr="00BB613B">
          <w:rPr>
            <w:rStyle w:val="Hipervnculo"/>
            <w:sz w:val="16"/>
          </w:rPr>
          <w:t>http://ovidsp.ovid.com/ovidweb.cgi?T=JS&amp;NEWS=n&amp;CSC=Y&amp;PAGE=fulltext&amp;D=ovft&amp;AN=00005768-201605001-00675</w:t>
        </w:r>
      </w:hyperlink>
      <w:r w:rsidRPr="00BB613B">
        <w:rPr>
          <w:sz w:val="16"/>
        </w:rPr>
        <w:t>. DOI: 10.1249/01.mss.0000485681.11819.1e.</w:t>
      </w:r>
    </w:p>
    <w:p w14:paraId="2E50DD84" w14:textId="77777777" w:rsidR="00BB613B" w:rsidRPr="00BB613B" w:rsidRDefault="00BB613B" w:rsidP="006E6514">
      <w:pPr>
        <w:pStyle w:val="NormalWeb"/>
        <w:spacing w:before="0" w:beforeAutospacing="0" w:after="0" w:afterAutospacing="0"/>
        <w:rPr>
          <w:sz w:val="16"/>
        </w:rPr>
      </w:pPr>
      <w:r w:rsidRPr="00BB613B">
        <w:rPr>
          <w:sz w:val="16"/>
        </w:rPr>
        <w:t xml:space="preserve">[34] Morales D. Diana, "Trabajo por turnos y presencia de obesidad en los trabajadores: Una revisión sistemática exploratoria," Jan 1, 2014. </w:t>
      </w:r>
    </w:p>
    <w:p w14:paraId="6F4ED762" w14:textId="77777777" w:rsidR="00BB613B" w:rsidRPr="00BB613B" w:rsidRDefault="00BB613B" w:rsidP="006E6514">
      <w:pPr>
        <w:pStyle w:val="NormalWeb"/>
        <w:spacing w:before="0" w:beforeAutospacing="0" w:after="0" w:afterAutospacing="0"/>
        <w:rPr>
          <w:sz w:val="16"/>
        </w:rPr>
      </w:pPr>
      <w:r w:rsidRPr="00BB613B">
        <w:rPr>
          <w:sz w:val="16"/>
        </w:rPr>
        <w:t>[35] L. Wiegner</w:t>
      </w:r>
      <w:r w:rsidRPr="00BB613B">
        <w:rPr>
          <w:i/>
          <w:iCs/>
          <w:sz w:val="16"/>
        </w:rPr>
        <w:t xml:space="preserve"> et al</w:t>
      </w:r>
      <w:r w:rsidRPr="00BB613B">
        <w:rPr>
          <w:sz w:val="16"/>
        </w:rPr>
        <w:t xml:space="preserve">, "Prevalence of perceived stress and associations to symptoms of exhaustion, depression and anxiety in a working age population seeking primary care - an observational study," </w:t>
      </w:r>
      <w:r w:rsidRPr="00BB613B">
        <w:rPr>
          <w:i/>
          <w:iCs/>
          <w:sz w:val="16"/>
        </w:rPr>
        <w:t xml:space="preserve">BMC Family Practice, </w:t>
      </w:r>
      <w:r w:rsidRPr="00BB613B">
        <w:rPr>
          <w:sz w:val="16"/>
        </w:rPr>
        <w:t xml:space="preserve">vol. 16, </w:t>
      </w:r>
      <w:r w:rsidRPr="00BB613B">
        <w:rPr>
          <w:i/>
          <w:iCs/>
          <w:sz w:val="16"/>
        </w:rPr>
        <w:t xml:space="preserve">(1), </w:t>
      </w:r>
      <w:r w:rsidRPr="00BB613B">
        <w:rPr>
          <w:sz w:val="16"/>
        </w:rPr>
        <w:t xml:space="preserve">pp. 38, 2015. Available: </w:t>
      </w:r>
      <w:hyperlink r:id="rId33" w:tgtFrame="_blank" w:history="1">
        <w:r w:rsidRPr="00BB613B">
          <w:rPr>
            <w:rStyle w:val="Hipervnculo"/>
            <w:sz w:val="16"/>
          </w:rPr>
          <w:t>https://www.ncbi.nlm.nih.gov/pubmed/25880219</w:t>
        </w:r>
      </w:hyperlink>
      <w:r w:rsidRPr="00BB613B">
        <w:rPr>
          <w:sz w:val="16"/>
        </w:rPr>
        <w:t>. DOI: 10.1186/s12875-015-0252-7.</w:t>
      </w:r>
    </w:p>
    <w:p w14:paraId="3EA9C0EA" w14:textId="77777777" w:rsidR="00BB613B" w:rsidRPr="00BB613B" w:rsidRDefault="00BB613B" w:rsidP="006E6514">
      <w:pPr>
        <w:pStyle w:val="NormalWeb"/>
        <w:spacing w:before="0" w:beforeAutospacing="0" w:after="0" w:afterAutospacing="0"/>
        <w:rPr>
          <w:sz w:val="16"/>
        </w:rPr>
      </w:pPr>
      <w:r w:rsidRPr="00BB613B">
        <w:rPr>
          <w:sz w:val="16"/>
        </w:rPr>
        <w:t>[36] M. Luca</w:t>
      </w:r>
      <w:r w:rsidRPr="00BB613B">
        <w:rPr>
          <w:i/>
          <w:iCs/>
          <w:sz w:val="16"/>
        </w:rPr>
        <w:t xml:space="preserve"> et al</w:t>
      </w:r>
      <w:r w:rsidRPr="00BB613B">
        <w:rPr>
          <w:sz w:val="16"/>
        </w:rPr>
        <w:t xml:space="preserve">, "Prevalence of depression and its relationship with work characteristics in a sample of public workers," </w:t>
      </w:r>
      <w:r w:rsidRPr="00BB613B">
        <w:rPr>
          <w:i/>
          <w:iCs/>
          <w:sz w:val="16"/>
        </w:rPr>
        <w:t xml:space="preserve">Neuropsychiatric Disease and Treatment, </w:t>
      </w:r>
      <w:r w:rsidRPr="00BB613B">
        <w:rPr>
          <w:sz w:val="16"/>
        </w:rPr>
        <w:t xml:space="preserve">vol. 10, pp. 519-525, 2014. Available: </w:t>
      </w:r>
      <w:hyperlink r:id="rId34" w:tgtFrame="_blank" w:history="1">
        <w:r w:rsidRPr="00BB613B">
          <w:rPr>
            <w:rStyle w:val="Hipervnculo"/>
            <w:sz w:val="16"/>
          </w:rPr>
          <w:t>https://www.ncbi.nlm.nih.gov/pubmed/24707177</w:t>
        </w:r>
      </w:hyperlink>
      <w:r w:rsidRPr="00BB613B">
        <w:rPr>
          <w:sz w:val="16"/>
        </w:rPr>
        <w:t>. DOI: 10.2147/NDT.S56989.</w:t>
      </w:r>
    </w:p>
    <w:p w14:paraId="115AA3A8" w14:textId="77777777" w:rsidR="00BB613B" w:rsidRPr="00BB613B" w:rsidRDefault="00BB613B" w:rsidP="006E6514">
      <w:pPr>
        <w:pStyle w:val="NormalWeb"/>
        <w:spacing w:before="0" w:beforeAutospacing="0" w:after="0" w:afterAutospacing="0"/>
        <w:rPr>
          <w:sz w:val="16"/>
        </w:rPr>
      </w:pPr>
      <w:r w:rsidRPr="00BB613B">
        <w:rPr>
          <w:sz w:val="16"/>
        </w:rPr>
        <w:lastRenderedPageBreak/>
        <w:t xml:space="preserve">[37] Ministerio de salud, "Indicadores de riesgos laborales," </w:t>
      </w:r>
      <w:r w:rsidRPr="00BB613B">
        <w:rPr>
          <w:i/>
          <w:iCs/>
          <w:sz w:val="16"/>
        </w:rPr>
        <w:t xml:space="preserve">Https://Www.Minsalud.Gov.Co, </w:t>
      </w:r>
      <w:r w:rsidRPr="00BB613B">
        <w:rPr>
          <w:sz w:val="16"/>
        </w:rPr>
        <w:t xml:space="preserve">2018. </w:t>
      </w:r>
    </w:p>
    <w:p w14:paraId="5D4524EB" w14:textId="77777777" w:rsidR="00BB613B" w:rsidRPr="00BB613B" w:rsidRDefault="00BB613B" w:rsidP="006E6514">
      <w:pPr>
        <w:pStyle w:val="NormalWeb"/>
        <w:spacing w:before="0" w:beforeAutospacing="0" w:after="0" w:afterAutospacing="0"/>
        <w:rPr>
          <w:sz w:val="16"/>
        </w:rPr>
      </w:pPr>
      <w:r w:rsidRPr="00BB613B">
        <w:rPr>
          <w:sz w:val="16"/>
        </w:rPr>
        <w:t xml:space="preserve">[38] Ministerio de salud, "Observatorio Nacional de Salud Mental," </w:t>
      </w:r>
      <w:r w:rsidRPr="00BB613B">
        <w:rPr>
          <w:i/>
          <w:iCs/>
          <w:sz w:val="16"/>
        </w:rPr>
        <w:t xml:space="preserve">Http://Onsaludmental.Minsalud.Gov.Co, </w:t>
      </w:r>
      <w:r w:rsidRPr="00BB613B">
        <w:rPr>
          <w:sz w:val="16"/>
        </w:rPr>
        <w:t xml:space="preserve">2019. </w:t>
      </w:r>
    </w:p>
    <w:p w14:paraId="40A630C0" w14:textId="77777777" w:rsidR="00BB613B" w:rsidRPr="00BB613B" w:rsidRDefault="00BB613B" w:rsidP="006E6514">
      <w:pPr>
        <w:pStyle w:val="NormalWeb"/>
        <w:spacing w:before="0" w:beforeAutospacing="0" w:after="0" w:afterAutospacing="0"/>
        <w:rPr>
          <w:sz w:val="16"/>
        </w:rPr>
      </w:pPr>
      <w:r w:rsidRPr="00BB613B">
        <w:rPr>
          <w:sz w:val="16"/>
        </w:rPr>
        <w:t xml:space="preserve">[39] Víctor H. Charria O, O. Felipe Arenas and Kewy V. Sarsosa P, "Factores de riesgo psicosocial laboral: métodos e instrumentos de evaluación," </w:t>
      </w:r>
      <w:r w:rsidRPr="00BB613B">
        <w:rPr>
          <w:i/>
          <w:iCs/>
          <w:sz w:val="16"/>
        </w:rPr>
        <w:t xml:space="preserve">Revista De La Facultad Nacional De Salud Pública, </w:t>
      </w:r>
      <w:r w:rsidRPr="00BB613B">
        <w:rPr>
          <w:sz w:val="16"/>
        </w:rPr>
        <w:t xml:space="preserve">2011. </w:t>
      </w:r>
    </w:p>
    <w:p w14:paraId="42A9065F" w14:textId="77777777" w:rsidR="00BB613B" w:rsidRPr="00BB613B" w:rsidRDefault="00BB613B" w:rsidP="006E6514">
      <w:pPr>
        <w:pStyle w:val="NormalWeb"/>
        <w:spacing w:before="0" w:beforeAutospacing="0" w:after="0" w:afterAutospacing="0"/>
        <w:rPr>
          <w:sz w:val="16"/>
        </w:rPr>
      </w:pPr>
      <w:r w:rsidRPr="00BB613B">
        <w:rPr>
          <w:sz w:val="16"/>
        </w:rPr>
        <w:t xml:space="preserve">[40] SMRC, "Spanish Personal Health Questionnaire Depression Scale (PHQ-8)," 2012. </w:t>
      </w:r>
    </w:p>
    <w:p w14:paraId="6966556F" w14:textId="77777777" w:rsidR="00BB613B" w:rsidRPr="00BB613B" w:rsidRDefault="00BB613B" w:rsidP="006E6514">
      <w:pPr>
        <w:pStyle w:val="NormalWeb"/>
        <w:spacing w:before="0" w:beforeAutospacing="0" w:after="0" w:afterAutospacing="0"/>
        <w:rPr>
          <w:sz w:val="16"/>
        </w:rPr>
      </w:pPr>
      <w:r w:rsidRPr="00BB613B">
        <w:rPr>
          <w:sz w:val="16"/>
        </w:rPr>
        <w:t xml:space="preserve">[41] Calvo de Mora Martínez, Javier, </w:t>
      </w:r>
      <w:r w:rsidRPr="00BB613B">
        <w:rPr>
          <w:i/>
          <w:iCs/>
          <w:sz w:val="16"/>
        </w:rPr>
        <w:t xml:space="preserve">Evaluación Educativa Y Social. </w:t>
      </w:r>
      <w:r w:rsidRPr="00BB613B">
        <w:rPr>
          <w:sz w:val="16"/>
        </w:rPr>
        <w:t xml:space="preserve">1991Available: </w:t>
      </w:r>
      <w:hyperlink r:id="rId35" w:tgtFrame="_blank" w:history="1">
        <w:r w:rsidRPr="00BB613B">
          <w:rPr>
            <w:rStyle w:val="Hipervnculo"/>
            <w:sz w:val="16"/>
          </w:rPr>
          <w:t>http://catalog.hathitrust.org/Record/006161829</w:t>
        </w:r>
      </w:hyperlink>
      <w:r w:rsidRPr="00BB613B">
        <w:rPr>
          <w:sz w:val="16"/>
        </w:rPr>
        <w:t>.</w:t>
      </w:r>
    </w:p>
    <w:p w14:paraId="15E864E2" w14:textId="77777777" w:rsidR="00BB613B" w:rsidRPr="00BB613B" w:rsidRDefault="00BB613B" w:rsidP="006E6514">
      <w:pPr>
        <w:pStyle w:val="NormalWeb"/>
        <w:spacing w:before="0" w:beforeAutospacing="0" w:after="0" w:afterAutospacing="0"/>
        <w:rPr>
          <w:sz w:val="16"/>
        </w:rPr>
      </w:pPr>
      <w:r w:rsidRPr="00BB613B">
        <w:rPr>
          <w:sz w:val="16"/>
        </w:rPr>
        <w:t>[42] R. Pekrun</w:t>
      </w:r>
      <w:r w:rsidRPr="00BB613B">
        <w:rPr>
          <w:i/>
          <w:iCs/>
          <w:sz w:val="16"/>
        </w:rPr>
        <w:t xml:space="preserve"> et al</w:t>
      </w:r>
      <w:r w:rsidRPr="00BB613B">
        <w:rPr>
          <w:sz w:val="16"/>
        </w:rPr>
        <w:t xml:space="preserve">, "Measuring emotions in students’ learning and performance: The Achievement Emotions Questionnaire (AEQ)," </w:t>
      </w:r>
      <w:r w:rsidRPr="00BB613B">
        <w:rPr>
          <w:i/>
          <w:iCs/>
          <w:sz w:val="16"/>
        </w:rPr>
        <w:t xml:space="preserve">Contemporary Educational Psychology, </w:t>
      </w:r>
      <w:r w:rsidRPr="00BB613B">
        <w:rPr>
          <w:sz w:val="16"/>
        </w:rPr>
        <w:t xml:space="preserve">vol. 36, </w:t>
      </w:r>
      <w:r w:rsidRPr="00BB613B">
        <w:rPr>
          <w:i/>
          <w:iCs/>
          <w:sz w:val="16"/>
        </w:rPr>
        <w:t xml:space="preserve">(1), </w:t>
      </w:r>
      <w:r w:rsidRPr="00BB613B">
        <w:rPr>
          <w:sz w:val="16"/>
        </w:rPr>
        <w:t xml:space="preserve">pp. 36-48, 2011. Available: </w:t>
      </w:r>
      <w:hyperlink r:id="rId36" w:tgtFrame="_blank" w:history="1">
        <w:r w:rsidRPr="00BB613B">
          <w:rPr>
            <w:rStyle w:val="Hipervnculo"/>
            <w:sz w:val="16"/>
          </w:rPr>
          <w:t>https://www.sciencedirect.com/science/article/pii/S0361476X10000536</w:t>
        </w:r>
      </w:hyperlink>
      <w:r w:rsidRPr="00BB613B">
        <w:rPr>
          <w:sz w:val="16"/>
        </w:rPr>
        <w:t>. DOI: 10.1016/j.cedpsych.2010.10.002.</w:t>
      </w:r>
    </w:p>
    <w:p w14:paraId="0F72F89D" w14:textId="77777777" w:rsidR="00BB613B" w:rsidRPr="00BB613B" w:rsidRDefault="00BB613B" w:rsidP="006E6514">
      <w:pPr>
        <w:pStyle w:val="NormalWeb"/>
        <w:spacing w:before="0" w:beforeAutospacing="0" w:after="0" w:afterAutospacing="0"/>
        <w:rPr>
          <w:sz w:val="16"/>
        </w:rPr>
      </w:pPr>
      <w:r w:rsidRPr="00BB613B">
        <w:rPr>
          <w:sz w:val="16"/>
        </w:rPr>
        <w:t>[43] S. Choi</w:t>
      </w:r>
      <w:r w:rsidRPr="00BB613B">
        <w:rPr>
          <w:i/>
          <w:iCs/>
          <w:sz w:val="16"/>
        </w:rPr>
        <w:t xml:space="preserve"> et al</w:t>
      </w:r>
      <w:r w:rsidRPr="00BB613B">
        <w:rPr>
          <w:sz w:val="16"/>
        </w:rPr>
        <w:t xml:space="preserve">, "Risk Factor, Job Stress and Quality of Life in Workers With Lower Extremity Pain Who Use Video Display Terminals," </w:t>
      </w:r>
      <w:r w:rsidRPr="00BB613B">
        <w:rPr>
          <w:i/>
          <w:iCs/>
          <w:sz w:val="16"/>
        </w:rPr>
        <w:t xml:space="preserve">Annals of Rehabilitation Medicine, </w:t>
      </w:r>
      <w:r w:rsidRPr="00BB613B">
        <w:rPr>
          <w:sz w:val="16"/>
        </w:rPr>
        <w:t xml:space="preserve">vol. 42, </w:t>
      </w:r>
      <w:r w:rsidRPr="00BB613B">
        <w:rPr>
          <w:i/>
          <w:iCs/>
          <w:sz w:val="16"/>
        </w:rPr>
        <w:t xml:space="preserve">(1), </w:t>
      </w:r>
      <w:r w:rsidRPr="00BB613B">
        <w:rPr>
          <w:sz w:val="16"/>
        </w:rPr>
        <w:t xml:space="preserve">pp. 101-112, 2018. Available: </w:t>
      </w:r>
      <w:hyperlink r:id="rId37" w:tgtFrame="_blank" w:history="1">
        <w:r w:rsidRPr="00BB613B">
          <w:rPr>
            <w:rStyle w:val="Hipervnculo"/>
            <w:sz w:val="16"/>
          </w:rPr>
          <w:t>https://www.ncbi.nlm.nih.gov/pubmed/29560330</w:t>
        </w:r>
      </w:hyperlink>
      <w:r w:rsidRPr="00BB613B">
        <w:rPr>
          <w:sz w:val="16"/>
        </w:rPr>
        <w:t>. DOI: 10.5535/arm.2018.42.1.101.</w:t>
      </w:r>
    </w:p>
    <w:p w14:paraId="48B84F97" w14:textId="77777777" w:rsidR="00BB613B" w:rsidRPr="00BB613B" w:rsidRDefault="00BB613B" w:rsidP="006E6514">
      <w:pPr>
        <w:pStyle w:val="NormalWeb"/>
        <w:spacing w:before="0" w:beforeAutospacing="0" w:after="0" w:afterAutospacing="0"/>
        <w:rPr>
          <w:sz w:val="16"/>
        </w:rPr>
      </w:pPr>
      <w:r w:rsidRPr="00BB613B">
        <w:rPr>
          <w:sz w:val="16"/>
        </w:rPr>
        <w:t>[44] K. Golonka</w:t>
      </w:r>
      <w:r w:rsidRPr="00BB613B">
        <w:rPr>
          <w:i/>
          <w:iCs/>
          <w:sz w:val="16"/>
        </w:rPr>
        <w:t xml:space="preserve"> et al</w:t>
      </w:r>
      <w:r w:rsidRPr="00BB613B">
        <w:rPr>
          <w:sz w:val="16"/>
        </w:rPr>
        <w:t xml:space="preserve">, "Occupational burnout and its overlapping effect with depression and anxiety," </w:t>
      </w:r>
      <w:r w:rsidRPr="00BB613B">
        <w:rPr>
          <w:i/>
          <w:iCs/>
          <w:sz w:val="16"/>
        </w:rPr>
        <w:t xml:space="preserve">International Journal of Occupational Medicine and Environmental Health, </w:t>
      </w:r>
      <w:r w:rsidRPr="00BB613B">
        <w:rPr>
          <w:sz w:val="16"/>
        </w:rPr>
        <w:t xml:space="preserve">vol. 32, </w:t>
      </w:r>
      <w:r w:rsidRPr="00BB613B">
        <w:rPr>
          <w:i/>
          <w:iCs/>
          <w:sz w:val="16"/>
        </w:rPr>
        <w:t xml:space="preserve">(2), </w:t>
      </w:r>
      <w:r w:rsidRPr="00BB613B">
        <w:rPr>
          <w:sz w:val="16"/>
        </w:rPr>
        <w:t xml:space="preserve">pp. 229-244, 2019. Available: </w:t>
      </w:r>
      <w:hyperlink r:id="rId38" w:tgtFrame="_blank" w:history="1">
        <w:r w:rsidRPr="00BB613B">
          <w:rPr>
            <w:rStyle w:val="Hipervnculo"/>
            <w:sz w:val="16"/>
          </w:rPr>
          <w:t>https://www.ncbi.nlm.nih.gov/pubmed/30855601</w:t>
        </w:r>
      </w:hyperlink>
      <w:r w:rsidRPr="00BB613B">
        <w:rPr>
          <w:sz w:val="16"/>
        </w:rPr>
        <w:t>. DOI: 10.13075/ijomeh.1896.01323.</w:t>
      </w:r>
    </w:p>
    <w:p w14:paraId="61D2224E" w14:textId="77777777" w:rsidR="00BB613B" w:rsidRPr="00BB613B" w:rsidRDefault="00BB613B" w:rsidP="006E6514">
      <w:pPr>
        <w:pStyle w:val="NormalWeb"/>
        <w:spacing w:before="0" w:beforeAutospacing="0" w:after="0" w:afterAutospacing="0"/>
        <w:rPr>
          <w:sz w:val="16"/>
        </w:rPr>
      </w:pPr>
      <w:r w:rsidRPr="00BB613B">
        <w:rPr>
          <w:sz w:val="16"/>
        </w:rPr>
        <w:t xml:space="preserve">[45] Yong-Ren Huang and Xu-Feng Ouyang, "Sitting posture detection and recognition using force sensor," in Oct 2012, Available: </w:t>
      </w:r>
      <w:hyperlink r:id="rId39" w:tgtFrame="_blank" w:history="1">
        <w:r w:rsidRPr="00BB613B">
          <w:rPr>
            <w:rStyle w:val="Hipervnculo"/>
            <w:sz w:val="16"/>
          </w:rPr>
          <w:t>https://ieeexplore.ieee.org/document/6513203</w:t>
        </w:r>
      </w:hyperlink>
      <w:r w:rsidRPr="00BB613B">
        <w:rPr>
          <w:sz w:val="16"/>
        </w:rPr>
        <w:t>. DOI: 10.1109/BMEI.2012.6513203.</w:t>
      </w:r>
    </w:p>
    <w:p w14:paraId="557AEAFE" w14:textId="77777777" w:rsidR="00BB613B" w:rsidRPr="00BB613B" w:rsidRDefault="00BB613B" w:rsidP="006E6514">
      <w:pPr>
        <w:pStyle w:val="NormalWeb"/>
        <w:spacing w:before="0" w:beforeAutospacing="0" w:after="0" w:afterAutospacing="0"/>
        <w:rPr>
          <w:sz w:val="16"/>
        </w:rPr>
      </w:pPr>
      <w:r w:rsidRPr="00BB613B">
        <w:rPr>
          <w:sz w:val="16"/>
        </w:rPr>
        <w:t xml:space="preserve">[46] CNET, "Microsoft's Azure Edge wants to make the workplace safer with AI," May, 2017. </w:t>
      </w:r>
    </w:p>
    <w:p w14:paraId="6795F840" w14:textId="77777777" w:rsidR="00BB613B" w:rsidRPr="00BB613B" w:rsidRDefault="00BB613B" w:rsidP="006E6514">
      <w:pPr>
        <w:pStyle w:val="NormalWeb"/>
        <w:spacing w:before="0" w:beforeAutospacing="0" w:after="0" w:afterAutospacing="0"/>
        <w:rPr>
          <w:sz w:val="16"/>
        </w:rPr>
      </w:pPr>
      <w:r w:rsidRPr="00BB613B">
        <w:rPr>
          <w:sz w:val="16"/>
        </w:rPr>
        <w:t xml:space="preserve">[47] Max Martin, "The Future of Workplace Well-Being: Leveraging AI and Innovation to Drive Better Employee Mental Health Care," Oct, 2018. </w:t>
      </w:r>
    </w:p>
    <w:p w14:paraId="7F619141" w14:textId="77777777" w:rsidR="00BB613B" w:rsidRPr="00BB613B" w:rsidRDefault="00BB613B" w:rsidP="006E6514">
      <w:pPr>
        <w:pStyle w:val="NormalWeb"/>
        <w:spacing w:before="0" w:beforeAutospacing="0" w:after="0" w:afterAutospacing="0"/>
        <w:rPr>
          <w:sz w:val="16"/>
        </w:rPr>
      </w:pPr>
      <w:r w:rsidRPr="00BB613B">
        <w:rPr>
          <w:sz w:val="16"/>
        </w:rPr>
        <w:t>[48] J. Seo</w:t>
      </w:r>
      <w:r w:rsidRPr="00BB613B">
        <w:rPr>
          <w:i/>
          <w:iCs/>
          <w:sz w:val="16"/>
        </w:rPr>
        <w:t xml:space="preserve"> et al</w:t>
      </w:r>
      <w:r w:rsidRPr="00BB613B">
        <w:rPr>
          <w:sz w:val="16"/>
        </w:rPr>
        <w:t xml:space="preserve">, "Computer vision techniques for construction safety and health monitoring," </w:t>
      </w:r>
      <w:r w:rsidRPr="00BB613B">
        <w:rPr>
          <w:i/>
          <w:iCs/>
          <w:sz w:val="16"/>
        </w:rPr>
        <w:t xml:space="preserve">Advanced Engineering Informatics, </w:t>
      </w:r>
      <w:r w:rsidRPr="00BB613B">
        <w:rPr>
          <w:sz w:val="16"/>
        </w:rPr>
        <w:t xml:space="preserve">vol. 29, </w:t>
      </w:r>
      <w:r w:rsidRPr="00BB613B">
        <w:rPr>
          <w:i/>
          <w:iCs/>
          <w:sz w:val="16"/>
        </w:rPr>
        <w:t xml:space="preserve">(2), </w:t>
      </w:r>
      <w:r w:rsidRPr="00BB613B">
        <w:rPr>
          <w:sz w:val="16"/>
        </w:rPr>
        <w:t xml:space="preserve">pp. 239-251, 2015. Available: </w:t>
      </w:r>
      <w:hyperlink r:id="rId40" w:tgtFrame="_blank" w:history="1">
        <w:r w:rsidRPr="00BB613B">
          <w:rPr>
            <w:rStyle w:val="Hipervnculo"/>
            <w:sz w:val="16"/>
          </w:rPr>
          <w:t>https://www.sciencedirect.com/science/article/pii/S1474034615000269</w:t>
        </w:r>
      </w:hyperlink>
      <w:r w:rsidRPr="00BB613B">
        <w:rPr>
          <w:sz w:val="16"/>
        </w:rPr>
        <w:t>. DOI: 10.1016/j.aei.2015.02.001.</w:t>
      </w:r>
    </w:p>
    <w:p w14:paraId="5D0E5AEE" w14:textId="77777777" w:rsidR="00BB613B" w:rsidRPr="00BB613B" w:rsidRDefault="00BB613B" w:rsidP="006E6514">
      <w:pPr>
        <w:pStyle w:val="NormalWeb"/>
        <w:spacing w:before="0" w:beforeAutospacing="0" w:after="0" w:afterAutospacing="0"/>
        <w:rPr>
          <w:sz w:val="16"/>
        </w:rPr>
      </w:pPr>
      <w:r w:rsidRPr="00BB613B">
        <w:rPr>
          <w:sz w:val="16"/>
        </w:rPr>
        <w:t xml:space="preserve">[49] Safety Company, "Microsoft Announces Workplace Safety Software," Oct, 2017. </w:t>
      </w:r>
    </w:p>
    <w:p w14:paraId="0AC34118" w14:textId="77777777" w:rsidR="00BB613B" w:rsidRPr="00BB613B" w:rsidRDefault="00BB613B" w:rsidP="006E6514">
      <w:pPr>
        <w:pStyle w:val="NormalWeb"/>
        <w:spacing w:before="0" w:beforeAutospacing="0" w:after="0" w:afterAutospacing="0"/>
        <w:rPr>
          <w:sz w:val="16"/>
        </w:rPr>
      </w:pPr>
      <w:r w:rsidRPr="00BB613B">
        <w:rPr>
          <w:sz w:val="16"/>
        </w:rPr>
        <w:t xml:space="preserve">[50] H. Jebelli, S. Hwang and S. Lee, "EEG-based workers' stress recognition at construction sites," </w:t>
      </w:r>
      <w:r w:rsidRPr="00BB613B">
        <w:rPr>
          <w:i/>
          <w:iCs/>
          <w:sz w:val="16"/>
        </w:rPr>
        <w:t xml:space="preserve">Automation in Construction, </w:t>
      </w:r>
      <w:r w:rsidRPr="00BB613B">
        <w:rPr>
          <w:sz w:val="16"/>
        </w:rPr>
        <w:t xml:space="preserve">vol. 93, pp. 315-324, 2018. Available: </w:t>
      </w:r>
      <w:hyperlink r:id="rId41" w:tgtFrame="_blank" w:history="1">
        <w:r w:rsidRPr="00BB613B">
          <w:rPr>
            <w:rStyle w:val="Hipervnculo"/>
            <w:sz w:val="16"/>
          </w:rPr>
          <w:t>https://www.sciencedirect.com/science/article/pii/S092658051830013X</w:t>
        </w:r>
      </w:hyperlink>
      <w:r w:rsidRPr="00BB613B">
        <w:rPr>
          <w:sz w:val="16"/>
        </w:rPr>
        <w:t>. DOI: 10.1016/j.autcon.2018.05.027.</w:t>
      </w:r>
    </w:p>
    <w:p w14:paraId="7FA4E705" w14:textId="77777777" w:rsidR="00BB613B" w:rsidRPr="00BB613B" w:rsidRDefault="00BB613B" w:rsidP="006E6514">
      <w:pPr>
        <w:pStyle w:val="NormalWeb"/>
        <w:spacing w:before="0" w:beforeAutospacing="0" w:after="0" w:afterAutospacing="0"/>
        <w:rPr>
          <w:sz w:val="16"/>
        </w:rPr>
      </w:pPr>
      <w:r w:rsidRPr="00BB613B">
        <w:rPr>
          <w:sz w:val="16"/>
        </w:rPr>
        <w:t xml:space="preserve">[51] F. Bevilacqua, H. Engstrom and P. Backlund, "Automated Analysis of Facial Cues from Videos as a Potential Method for Differentiating Stress and Boredom of Players in Games," </w:t>
      </w:r>
      <w:r w:rsidRPr="00BB613B">
        <w:rPr>
          <w:i/>
          <w:iCs/>
          <w:sz w:val="16"/>
        </w:rPr>
        <w:t xml:space="preserve">International Journal of Computer Games Technology, </w:t>
      </w:r>
      <w:r w:rsidRPr="00BB613B">
        <w:rPr>
          <w:sz w:val="16"/>
        </w:rPr>
        <w:t xml:space="preserve">vol. 2018, pp. 1-14, 2018. Available: </w:t>
      </w:r>
      <w:hyperlink r:id="rId42" w:tgtFrame="_blank" w:history="1">
        <w:r w:rsidRPr="00BB613B">
          <w:rPr>
            <w:rStyle w:val="Hipervnculo"/>
            <w:sz w:val="16"/>
          </w:rPr>
          <w:t>https://search.proquest.com/docview/2014911173</w:t>
        </w:r>
      </w:hyperlink>
      <w:r w:rsidRPr="00BB613B">
        <w:rPr>
          <w:sz w:val="16"/>
        </w:rPr>
        <w:t>. DOI: 10.1155/2018/8734540.</w:t>
      </w:r>
    </w:p>
    <w:p w14:paraId="743F9895" w14:textId="77777777" w:rsidR="00BB613B" w:rsidRPr="00BB613B" w:rsidRDefault="00BB613B" w:rsidP="006E6514">
      <w:pPr>
        <w:pStyle w:val="NormalWeb"/>
        <w:spacing w:before="0" w:beforeAutospacing="0" w:after="0" w:afterAutospacing="0"/>
        <w:rPr>
          <w:sz w:val="16"/>
        </w:rPr>
      </w:pPr>
      <w:r w:rsidRPr="00BB613B">
        <w:rPr>
          <w:sz w:val="16"/>
        </w:rPr>
        <w:t xml:space="preserve">[52] Q. Abbas, M. Ibrahim and M. A. Jaffar, "Video scene analysis: an overview and challenges on deep learning algorithms," </w:t>
      </w:r>
      <w:r w:rsidRPr="00BB613B">
        <w:rPr>
          <w:i/>
          <w:iCs/>
          <w:sz w:val="16"/>
        </w:rPr>
        <w:t xml:space="preserve">Multimed Tools Appl, </w:t>
      </w:r>
      <w:r w:rsidRPr="00BB613B">
        <w:rPr>
          <w:sz w:val="16"/>
        </w:rPr>
        <w:t xml:space="preserve">vol. 77, </w:t>
      </w:r>
      <w:r w:rsidRPr="00BB613B">
        <w:rPr>
          <w:i/>
          <w:iCs/>
          <w:sz w:val="16"/>
        </w:rPr>
        <w:t xml:space="preserve">(16), </w:t>
      </w:r>
      <w:r w:rsidRPr="00BB613B">
        <w:rPr>
          <w:sz w:val="16"/>
        </w:rPr>
        <w:t xml:space="preserve">pp. 20415-20453, 2018. Available: </w:t>
      </w:r>
      <w:hyperlink r:id="rId43" w:tgtFrame="_blank" w:history="1">
        <w:r w:rsidRPr="00BB613B">
          <w:rPr>
            <w:rStyle w:val="Hipervnculo"/>
            <w:sz w:val="16"/>
          </w:rPr>
          <w:t>https://search.proquest.com/docview/1974478837</w:t>
        </w:r>
      </w:hyperlink>
      <w:r w:rsidRPr="00BB613B">
        <w:rPr>
          <w:sz w:val="16"/>
        </w:rPr>
        <w:t>. DOI: 10.1007/s11042-017-5438-7.</w:t>
      </w:r>
    </w:p>
    <w:p w14:paraId="46CD9061" w14:textId="77777777" w:rsidR="00BB613B" w:rsidRPr="00BB613B" w:rsidRDefault="00BB613B" w:rsidP="006E6514">
      <w:pPr>
        <w:pStyle w:val="NormalWeb"/>
        <w:spacing w:before="0" w:beforeAutospacing="0" w:after="0" w:afterAutospacing="0"/>
        <w:rPr>
          <w:sz w:val="16"/>
        </w:rPr>
      </w:pPr>
      <w:r w:rsidRPr="00BB613B">
        <w:rPr>
          <w:sz w:val="16"/>
        </w:rPr>
        <w:t xml:space="preserve">[53] V. Campos, B. Jou and X. Giro-i-Nieto, "From Pixels to Sentiment: Fine-tuning CNNs for Visual Sentiment Prediction," 2016. Available: </w:t>
      </w:r>
      <w:hyperlink r:id="rId44" w:tgtFrame="_blank" w:history="1">
        <w:r w:rsidRPr="00BB613B">
          <w:rPr>
            <w:rStyle w:val="Hipervnculo"/>
            <w:sz w:val="16"/>
          </w:rPr>
          <w:t>https://arxiv.org/abs/1604.03489</w:t>
        </w:r>
      </w:hyperlink>
      <w:r w:rsidRPr="00BB613B">
        <w:rPr>
          <w:sz w:val="16"/>
        </w:rPr>
        <w:t>.</w:t>
      </w:r>
    </w:p>
    <w:p w14:paraId="5728A3A4" w14:textId="77777777" w:rsidR="00BB613B" w:rsidRPr="00BB613B" w:rsidRDefault="00BB613B" w:rsidP="006E6514">
      <w:pPr>
        <w:pStyle w:val="NormalWeb"/>
        <w:spacing w:before="0" w:beforeAutospacing="0" w:after="0" w:afterAutospacing="0"/>
        <w:rPr>
          <w:sz w:val="16"/>
        </w:rPr>
      </w:pPr>
      <w:r w:rsidRPr="00BB613B">
        <w:rPr>
          <w:sz w:val="16"/>
        </w:rPr>
        <w:t>[54] N. Jain</w:t>
      </w:r>
      <w:r w:rsidRPr="00BB613B">
        <w:rPr>
          <w:i/>
          <w:iCs/>
          <w:sz w:val="16"/>
        </w:rPr>
        <w:t xml:space="preserve"> et al</w:t>
      </w:r>
      <w:r w:rsidRPr="00BB613B">
        <w:rPr>
          <w:sz w:val="16"/>
        </w:rPr>
        <w:t xml:space="preserve">, "Hybrid deep neural networks for face emotion recognition," </w:t>
      </w:r>
      <w:r w:rsidRPr="00BB613B">
        <w:rPr>
          <w:i/>
          <w:iCs/>
          <w:sz w:val="16"/>
        </w:rPr>
        <w:t xml:space="preserve">Pattern Recognition Letters, </w:t>
      </w:r>
      <w:r w:rsidRPr="00BB613B">
        <w:rPr>
          <w:sz w:val="16"/>
        </w:rPr>
        <w:t xml:space="preserve">vol. 115, pp. 101-106, 2018. Available: </w:t>
      </w:r>
      <w:hyperlink r:id="rId45" w:tgtFrame="_blank" w:history="1">
        <w:r w:rsidRPr="00BB613B">
          <w:rPr>
            <w:rStyle w:val="Hipervnculo"/>
            <w:sz w:val="16"/>
          </w:rPr>
          <w:t>https://www.sciencedirect.com/science/article/pii/S0167865518301302</w:t>
        </w:r>
      </w:hyperlink>
      <w:r w:rsidRPr="00BB613B">
        <w:rPr>
          <w:sz w:val="16"/>
        </w:rPr>
        <w:t>. DOI: 10.1016/j.patrec.2018.04.010.</w:t>
      </w:r>
    </w:p>
    <w:p w14:paraId="4D1AB294" w14:textId="77777777" w:rsidR="00BB613B" w:rsidRPr="00BB613B" w:rsidRDefault="00BB613B" w:rsidP="006E6514">
      <w:pPr>
        <w:pStyle w:val="NormalWeb"/>
        <w:spacing w:before="0" w:beforeAutospacing="0" w:after="0" w:afterAutospacing="0"/>
        <w:rPr>
          <w:sz w:val="16"/>
        </w:rPr>
      </w:pPr>
      <w:r w:rsidRPr="00BB613B">
        <w:rPr>
          <w:sz w:val="16"/>
        </w:rPr>
        <w:t xml:space="preserve">[55] D. K. Jain, P. Shamsolmoali and P. Sehdev, "Extended deep neural network for facial emotion recognition," </w:t>
      </w:r>
      <w:r w:rsidRPr="00BB613B">
        <w:rPr>
          <w:i/>
          <w:iCs/>
          <w:sz w:val="16"/>
        </w:rPr>
        <w:t xml:space="preserve">Pattern Recognition Letters, </w:t>
      </w:r>
      <w:r w:rsidRPr="00BB613B">
        <w:rPr>
          <w:sz w:val="16"/>
        </w:rPr>
        <w:t xml:space="preserve">vol. 120, pp. 69-74, 2019. Available: </w:t>
      </w:r>
      <w:hyperlink r:id="rId46" w:tgtFrame="_blank" w:history="1">
        <w:r w:rsidRPr="00BB613B">
          <w:rPr>
            <w:rStyle w:val="Hipervnculo"/>
            <w:sz w:val="16"/>
          </w:rPr>
          <w:t>https://www.sciencedirect.com/science/article/pii/S016786551930008X</w:t>
        </w:r>
      </w:hyperlink>
      <w:r w:rsidRPr="00BB613B">
        <w:rPr>
          <w:sz w:val="16"/>
        </w:rPr>
        <w:t>. DOI: 10.1016/j.patrec.2019.01.008.</w:t>
      </w:r>
    </w:p>
    <w:p w14:paraId="1441B61A" w14:textId="77777777" w:rsidR="00BB613B" w:rsidRPr="00BB613B" w:rsidRDefault="00BB613B" w:rsidP="006E6514">
      <w:pPr>
        <w:pStyle w:val="NormalWeb"/>
        <w:spacing w:before="0" w:beforeAutospacing="0" w:after="0" w:afterAutospacing="0"/>
        <w:rPr>
          <w:sz w:val="16"/>
        </w:rPr>
      </w:pPr>
      <w:r w:rsidRPr="00BB613B">
        <w:rPr>
          <w:sz w:val="16"/>
        </w:rPr>
        <w:t xml:space="preserve">[56] B. C. Ko, "A Brief Review of Facial Emotion Recognition Based on Visual Information," </w:t>
      </w:r>
      <w:r w:rsidRPr="00BB613B">
        <w:rPr>
          <w:i/>
          <w:iCs/>
          <w:sz w:val="16"/>
        </w:rPr>
        <w:t xml:space="preserve">Sensors (Basel, Switzerland), </w:t>
      </w:r>
      <w:r w:rsidRPr="00BB613B">
        <w:rPr>
          <w:sz w:val="16"/>
        </w:rPr>
        <w:t xml:space="preserve">vol. 18, </w:t>
      </w:r>
      <w:r w:rsidRPr="00BB613B">
        <w:rPr>
          <w:i/>
          <w:iCs/>
          <w:sz w:val="16"/>
        </w:rPr>
        <w:t xml:space="preserve">(2), </w:t>
      </w:r>
      <w:r w:rsidRPr="00BB613B">
        <w:rPr>
          <w:sz w:val="16"/>
        </w:rPr>
        <w:t xml:space="preserve">pp. 401, 2018. Available: </w:t>
      </w:r>
      <w:hyperlink r:id="rId47" w:tgtFrame="_blank" w:history="1">
        <w:r w:rsidRPr="00BB613B">
          <w:rPr>
            <w:rStyle w:val="Hipervnculo"/>
            <w:sz w:val="16"/>
          </w:rPr>
          <w:t>https://www.ncbi.nlm.nih.gov/pubmed/29385749</w:t>
        </w:r>
      </w:hyperlink>
      <w:r w:rsidRPr="00BB613B">
        <w:rPr>
          <w:sz w:val="16"/>
        </w:rPr>
        <w:t>. DOI: 10.3390/s18020401.</w:t>
      </w:r>
    </w:p>
    <w:p w14:paraId="37F3D139" w14:textId="77777777" w:rsidR="00BB613B" w:rsidRPr="00BB613B" w:rsidRDefault="00BB613B" w:rsidP="006E6514">
      <w:pPr>
        <w:pStyle w:val="NormalWeb"/>
        <w:spacing w:before="0" w:beforeAutospacing="0" w:after="0" w:afterAutospacing="0"/>
        <w:rPr>
          <w:sz w:val="16"/>
        </w:rPr>
      </w:pPr>
      <w:r w:rsidRPr="00BB613B">
        <w:rPr>
          <w:sz w:val="16"/>
        </w:rPr>
        <w:t>[57] D. F. Dinges</w:t>
      </w:r>
      <w:r w:rsidRPr="00BB613B">
        <w:rPr>
          <w:i/>
          <w:iCs/>
          <w:sz w:val="16"/>
        </w:rPr>
        <w:t xml:space="preserve"> et al</w:t>
      </w:r>
      <w:r w:rsidRPr="00BB613B">
        <w:rPr>
          <w:sz w:val="16"/>
        </w:rPr>
        <w:t xml:space="preserve">, "Optical computer recognition of facial expressions associated with stress induced by performance demands," </w:t>
      </w:r>
      <w:r w:rsidRPr="00BB613B">
        <w:rPr>
          <w:i/>
          <w:iCs/>
          <w:sz w:val="16"/>
        </w:rPr>
        <w:t xml:space="preserve">Aviation, Space, and Environmental Medicine, </w:t>
      </w:r>
      <w:r w:rsidRPr="00BB613B">
        <w:rPr>
          <w:sz w:val="16"/>
        </w:rPr>
        <w:t xml:space="preserve">vol. 76, </w:t>
      </w:r>
      <w:r w:rsidRPr="00BB613B">
        <w:rPr>
          <w:i/>
          <w:iCs/>
          <w:sz w:val="16"/>
        </w:rPr>
        <w:t xml:space="preserve">(6 Suppl), </w:t>
      </w:r>
      <w:r w:rsidRPr="00BB613B">
        <w:rPr>
          <w:sz w:val="16"/>
        </w:rPr>
        <w:t xml:space="preserve">pp. B172, 2005. Available: </w:t>
      </w:r>
      <w:hyperlink r:id="rId48" w:tgtFrame="_blank" w:history="1">
        <w:r w:rsidRPr="00BB613B">
          <w:rPr>
            <w:rStyle w:val="Hipervnculo"/>
            <w:sz w:val="16"/>
          </w:rPr>
          <w:t>https://www.ncbi.nlm.nih.gov/pubmed/15943210</w:t>
        </w:r>
      </w:hyperlink>
      <w:r w:rsidRPr="00BB613B">
        <w:rPr>
          <w:sz w:val="16"/>
        </w:rPr>
        <w:t>.</w:t>
      </w:r>
    </w:p>
    <w:p w14:paraId="1FAE4004" w14:textId="77777777" w:rsidR="00BB613B" w:rsidRPr="00BB613B" w:rsidRDefault="00BB613B" w:rsidP="006E6514">
      <w:pPr>
        <w:pStyle w:val="NormalWeb"/>
        <w:spacing w:before="0" w:beforeAutospacing="0" w:after="0" w:afterAutospacing="0"/>
        <w:rPr>
          <w:sz w:val="16"/>
        </w:rPr>
      </w:pPr>
      <w:r w:rsidRPr="00BB613B">
        <w:rPr>
          <w:sz w:val="16"/>
        </w:rPr>
        <w:t>[58] A. Jan</w:t>
      </w:r>
      <w:r w:rsidRPr="00BB613B">
        <w:rPr>
          <w:i/>
          <w:iCs/>
          <w:sz w:val="16"/>
        </w:rPr>
        <w:t xml:space="preserve"> et al</w:t>
      </w:r>
      <w:r w:rsidRPr="00BB613B">
        <w:rPr>
          <w:sz w:val="16"/>
        </w:rPr>
        <w:t xml:space="preserve">, "Automatic depression scale prediction using facial expression dynamics and regression," in Nov 7, 2014, Available: </w:t>
      </w:r>
      <w:hyperlink r:id="rId49" w:tgtFrame="_blank" w:history="1">
        <w:r w:rsidRPr="00BB613B">
          <w:rPr>
            <w:rStyle w:val="Hipervnculo"/>
            <w:sz w:val="16"/>
          </w:rPr>
          <w:t>http://dl.acm.org/citation.cfm?id=2661812</w:t>
        </w:r>
      </w:hyperlink>
      <w:r w:rsidRPr="00BB613B">
        <w:rPr>
          <w:sz w:val="16"/>
        </w:rPr>
        <w:t>. DOI: 10.1145/2661806.2661812.</w:t>
      </w:r>
    </w:p>
    <w:p w14:paraId="7ADA97CA" w14:textId="77777777" w:rsidR="00BB613B" w:rsidRPr="00BB613B" w:rsidRDefault="00BB613B" w:rsidP="006E6514">
      <w:pPr>
        <w:pStyle w:val="NormalWeb"/>
        <w:spacing w:before="0" w:beforeAutospacing="0" w:after="0" w:afterAutospacing="0"/>
        <w:rPr>
          <w:sz w:val="16"/>
        </w:rPr>
      </w:pPr>
      <w:r w:rsidRPr="00BB613B">
        <w:rPr>
          <w:sz w:val="16"/>
        </w:rPr>
        <w:t>[59] S. S. Kim</w:t>
      </w:r>
      <w:r w:rsidRPr="00BB613B">
        <w:rPr>
          <w:i/>
          <w:iCs/>
          <w:sz w:val="16"/>
        </w:rPr>
        <w:t xml:space="preserve"> et al</w:t>
      </w:r>
      <w:r w:rsidRPr="00BB613B">
        <w:rPr>
          <w:sz w:val="16"/>
        </w:rPr>
        <w:t xml:space="preserve">, "Acculturation, Depression, and Smoking Cessation: a trajectory pattern recognition approach," </w:t>
      </w:r>
      <w:r w:rsidRPr="00BB613B">
        <w:rPr>
          <w:i/>
          <w:iCs/>
          <w:sz w:val="16"/>
        </w:rPr>
        <w:t xml:space="preserve">Tobacco Induced Diseases, </w:t>
      </w:r>
      <w:r w:rsidRPr="00BB613B">
        <w:rPr>
          <w:sz w:val="16"/>
        </w:rPr>
        <w:t xml:space="preserve">vol. 15, </w:t>
      </w:r>
      <w:r w:rsidRPr="00BB613B">
        <w:rPr>
          <w:i/>
          <w:iCs/>
          <w:sz w:val="16"/>
        </w:rPr>
        <w:t xml:space="preserve">(1), </w:t>
      </w:r>
      <w:r w:rsidRPr="00BB613B">
        <w:rPr>
          <w:sz w:val="16"/>
        </w:rPr>
        <w:t xml:space="preserve">pp. 33, 2017. Available: </w:t>
      </w:r>
      <w:hyperlink r:id="rId50" w:tgtFrame="_blank" w:history="1">
        <w:r w:rsidRPr="00BB613B">
          <w:rPr>
            <w:rStyle w:val="Hipervnculo"/>
            <w:sz w:val="16"/>
          </w:rPr>
          <w:t>https://www.ncbi.nlm.nih.gov/pubmed/28747857</w:t>
        </w:r>
      </w:hyperlink>
      <w:r w:rsidRPr="00BB613B">
        <w:rPr>
          <w:sz w:val="16"/>
        </w:rPr>
        <w:t>. DOI: 10.1186/s12971-017-0135-x.</w:t>
      </w:r>
    </w:p>
    <w:p w14:paraId="2EFE2562" w14:textId="77777777" w:rsidR="00BB613B" w:rsidRPr="00BB613B" w:rsidRDefault="00BB613B" w:rsidP="006E6514">
      <w:pPr>
        <w:pStyle w:val="NormalWeb"/>
        <w:spacing w:before="0" w:beforeAutospacing="0" w:after="0" w:afterAutospacing="0"/>
        <w:rPr>
          <w:sz w:val="16"/>
        </w:rPr>
      </w:pPr>
      <w:r w:rsidRPr="00BB613B">
        <w:rPr>
          <w:sz w:val="16"/>
        </w:rPr>
        <w:t>[60] Rhee, Taeho Greg|Capistrant, Benjamin D.|Schommer, Jon C.|Hadsall, Ronald S.|Uden, Donald L, "Effects of depression screening on diagnosing and treating mood disorders among older adults in office-</w:t>
      </w:r>
      <w:r w:rsidRPr="00BB613B">
        <w:rPr>
          <w:sz w:val="16"/>
        </w:rPr>
        <w:lastRenderedPageBreak/>
        <w:t xml:space="preserve">based primary care outpatient settings: An instrumental variable analysis," </w:t>
      </w:r>
      <w:r w:rsidRPr="00BB613B">
        <w:rPr>
          <w:i/>
          <w:iCs/>
          <w:sz w:val="16"/>
        </w:rPr>
        <w:t xml:space="preserve">Preventive Medicine, </w:t>
      </w:r>
      <w:r w:rsidRPr="00BB613B">
        <w:rPr>
          <w:sz w:val="16"/>
        </w:rPr>
        <w:t xml:space="preserve">vol. 100, pp. 101-111, 2016. Available: </w:t>
      </w:r>
      <w:hyperlink r:id="rId51" w:tgtFrame="_blank" w:history="1">
        <w:r w:rsidRPr="00BB613B">
          <w:rPr>
            <w:rStyle w:val="Hipervnculo"/>
            <w:sz w:val="16"/>
          </w:rPr>
          <w:t>https://www.clinicalkey.es/playcontent/1-s2.0-S0091743517301354</w:t>
        </w:r>
      </w:hyperlink>
      <w:r w:rsidRPr="00BB613B">
        <w:rPr>
          <w:sz w:val="16"/>
        </w:rPr>
        <w:t>. DOI: 10.1016/j.ypmed.2017.04.015.</w:t>
      </w:r>
    </w:p>
    <w:p w14:paraId="66ECE3F6" w14:textId="77777777" w:rsidR="00BB613B" w:rsidRPr="00BB613B" w:rsidRDefault="00BB613B" w:rsidP="006E6514">
      <w:pPr>
        <w:pStyle w:val="NormalWeb"/>
        <w:spacing w:before="0" w:beforeAutospacing="0" w:after="0" w:afterAutospacing="0"/>
        <w:rPr>
          <w:sz w:val="16"/>
        </w:rPr>
      </w:pPr>
      <w:r w:rsidRPr="00BB613B">
        <w:rPr>
          <w:sz w:val="16"/>
        </w:rPr>
        <w:t xml:space="preserve">[61] T. Winsor and S. McLean, "Residential group care workers' recognition of depression: Assessment of mental health literacy using clinical vignettes," </w:t>
      </w:r>
      <w:r w:rsidRPr="00BB613B">
        <w:rPr>
          <w:i/>
          <w:iCs/>
          <w:sz w:val="16"/>
        </w:rPr>
        <w:t xml:space="preserve">Children and Youth Services Review, </w:t>
      </w:r>
      <w:r w:rsidRPr="00BB613B">
        <w:rPr>
          <w:sz w:val="16"/>
        </w:rPr>
        <w:t xml:space="preserve">vol. 68, pp. 132-138, 2016. Available: </w:t>
      </w:r>
      <w:hyperlink r:id="rId52" w:tgtFrame="_blank" w:history="1">
        <w:r w:rsidRPr="00BB613B">
          <w:rPr>
            <w:rStyle w:val="Hipervnculo"/>
            <w:sz w:val="16"/>
          </w:rPr>
          <w:t>https://www.sciencedirect.com/science/article/pii/S0190740916302055</w:t>
        </w:r>
      </w:hyperlink>
      <w:r w:rsidRPr="00BB613B">
        <w:rPr>
          <w:sz w:val="16"/>
        </w:rPr>
        <w:t>. DOI: 10.1016/j.childyouth.2016.06.028.</w:t>
      </w:r>
    </w:p>
    <w:p w14:paraId="28F23986" w14:textId="77777777" w:rsidR="00BB613B" w:rsidRPr="00BB613B" w:rsidRDefault="00BB613B" w:rsidP="006E6514">
      <w:pPr>
        <w:pStyle w:val="NormalWeb"/>
        <w:spacing w:before="0" w:beforeAutospacing="0" w:after="0" w:afterAutospacing="0"/>
        <w:rPr>
          <w:sz w:val="16"/>
        </w:rPr>
      </w:pPr>
      <w:r w:rsidRPr="00BB613B">
        <w:rPr>
          <w:sz w:val="16"/>
        </w:rPr>
        <w:t>[62] M. Magdin, M. Turcani and L. &amp; Hudec, "Evaluating the Emotional State of a User Using a</w:t>
      </w:r>
      <w:r w:rsidRPr="00BB613B">
        <w:rPr>
          <w:sz w:val="16"/>
        </w:rPr>
        <w:br/>
        <w:t xml:space="preserve">Webcam," </w:t>
      </w:r>
      <w:r w:rsidRPr="00BB613B">
        <w:rPr>
          <w:i/>
          <w:iCs/>
          <w:sz w:val="16"/>
        </w:rPr>
        <w:t xml:space="preserve">International Journal of Interactive Multimedia and Artificial Intelligence, </w:t>
      </w:r>
      <w:r w:rsidRPr="00BB613B">
        <w:rPr>
          <w:sz w:val="16"/>
        </w:rPr>
        <w:t>2016. . DOI: 10.9781/ijimai.2016.4112.</w:t>
      </w:r>
    </w:p>
    <w:p w14:paraId="6F958565" w14:textId="77777777" w:rsidR="00BB613B" w:rsidRPr="00BB613B" w:rsidRDefault="00BB613B" w:rsidP="006E6514">
      <w:pPr>
        <w:pStyle w:val="NormalWeb"/>
        <w:spacing w:before="0" w:beforeAutospacing="0" w:after="0" w:afterAutospacing="0"/>
        <w:rPr>
          <w:sz w:val="16"/>
        </w:rPr>
      </w:pPr>
      <w:r w:rsidRPr="00BB613B">
        <w:rPr>
          <w:sz w:val="16"/>
        </w:rPr>
        <w:t>[63] M. Soleymani</w:t>
      </w:r>
      <w:r w:rsidRPr="00BB613B">
        <w:rPr>
          <w:i/>
          <w:iCs/>
          <w:sz w:val="16"/>
        </w:rPr>
        <w:t xml:space="preserve"> et al</w:t>
      </w:r>
      <w:r w:rsidRPr="00BB613B">
        <w:rPr>
          <w:sz w:val="16"/>
        </w:rPr>
        <w:t xml:space="preserve">, "A survey of multimodal sentiment analysis," </w:t>
      </w:r>
      <w:r w:rsidRPr="00BB613B">
        <w:rPr>
          <w:i/>
          <w:iCs/>
          <w:sz w:val="16"/>
        </w:rPr>
        <w:t xml:space="preserve">Image and Vision Computing, </w:t>
      </w:r>
      <w:r w:rsidRPr="00BB613B">
        <w:rPr>
          <w:sz w:val="16"/>
        </w:rPr>
        <w:t xml:space="preserve">vol. 65, pp. 3-14, 2017. Available: </w:t>
      </w:r>
      <w:hyperlink r:id="rId53" w:tgtFrame="_blank" w:history="1">
        <w:r w:rsidRPr="00BB613B">
          <w:rPr>
            <w:rStyle w:val="Hipervnculo"/>
            <w:sz w:val="16"/>
          </w:rPr>
          <w:t>https://www.sciencedirect.com/science/article/pii/S0262885617301191</w:t>
        </w:r>
      </w:hyperlink>
      <w:r w:rsidRPr="00BB613B">
        <w:rPr>
          <w:sz w:val="16"/>
        </w:rPr>
        <w:t>. DOI: 10.1016/j.imavis.2017.08.003.</w:t>
      </w:r>
    </w:p>
    <w:p w14:paraId="562B6AFA" w14:textId="77777777" w:rsidR="00BB613B" w:rsidRPr="00BB613B" w:rsidRDefault="00BB613B" w:rsidP="006E6514">
      <w:pPr>
        <w:pStyle w:val="NormalWeb"/>
        <w:spacing w:before="0" w:beforeAutospacing="0" w:after="0" w:afterAutospacing="0"/>
        <w:rPr>
          <w:sz w:val="16"/>
        </w:rPr>
      </w:pPr>
      <w:r w:rsidRPr="00BB613B">
        <w:rPr>
          <w:sz w:val="16"/>
        </w:rPr>
        <w:t>[64] J. M. Harley</w:t>
      </w:r>
      <w:r w:rsidRPr="00BB613B">
        <w:rPr>
          <w:i/>
          <w:iCs/>
          <w:sz w:val="16"/>
        </w:rPr>
        <w:t xml:space="preserve"> et al</w:t>
      </w:r>
      <w:r w:rsidRPr="00BB613B">
        <w:rPr>
          <w:sz w:val="16"/>
        </w:rPr>
        <w:t xml:space="preserve">, "A multi-componential analysis of emotions during complex learning with an intelligent multi-agent system," </w:t>
      </w:r>
      <w:r w:rsidRPr="00BB613B">
        <w:rPr>
          <w:i/>
          <w:iCs/>
          <w:sz w:val="16"/>
        </w:rPr>
        <w:t xml:space="preserve">Computers in Human Behavior, </w:t>
      </w:r>
      <w:r w:rsidRPr="00BB613B">
        <w:rPr>
          <w:sz w:val="16"/>
        </w:rPr>
        <w:t xml:space="preserve">vol. 48, pp. 615-625, 2015. Available: </w:t>
      </w:r>
      <w:hyperlink r:id="rId54" w:tgtFrame="_blank" w:history="1">
        <w:r w:rsidRPr="00BB613B">
          <w:rPr>
            <w:rStyle w:val="Hipervnculo"/>
            <w:sz w:val="16"/>
          </w:rPr>
          <w:t>https://www.sciencedirect.com/science/article/pii/S0747563215001119</w:t>
        </w:r>
      </w:hyperlink>
      <w:r w:rsidRPr="00BB613B">
        <w:rPr>
          <w:sz w:val="16"/>
        </w:rPr>
        <w:t>. DOI: 10.1016/j.chb.2015.02.013.</w:t>
      </w:r>
    </w:p>
    <w:p w14:paraId="5AB3D940" w14:textId="77777777" w:rsidR="00BB613B" w:rsidRPr="00BB613B" w:rsidRDefault="00BB613B" w:rsidP="006E6514">
      <w:pPr>
        <w:pStyle w:val="NormalWeb"/>
        <w:spacing w:before="0" w:beforeAutospacing="0" w:after="0" w:afterAutospacing="0"/>
        <w:rPr>
          <w:sz w:val="16"/>
        </w:rPr>
      </w:pPr>
      <w:r w:rsidRPr="00BB613B">
        <w:rPr>
          <w:sz w:val="16"/>
        </w:rPr>
        <w:t>[65] L. Yang</w:t>
      </w:r>
      <w:r w:rsidRPr="00BB613B">
        <w:rPr>
          <w:i/>
          <w:iCs/>
          <w:sz w:val="16"/>
        </w:rPr>
        <w:t xml:space="preserve"> et al</w:t>
      </w:r>
      <w:r w:rsidRPr="00BB613B">
        <w:rPr>
          <w:sz w:val="16"/>
        </w:rPr>
        <w:t xml:space="preserve">, "Multimodal measurement of depression using deep learning models," in Oct 23, 2017, Available: </w:t>
      </w:r>
      <w:hyperlink r:id="rId55" w:tgtFrame="_blank" w:history="1">
        <w:r w:rsidRPr="00BB613B">
          <w:rPr>
            <w:rStyle w:val="Hipervnculo"/>
            <w:sz w:val="16"/>
          </w:rPr>
          <w:t>http://dl.acm.org/citation.cfm?id=3133948</w:t>
        </w:r>
      </w:hyperlink>
      <w:r w:rsidRPr="00BB613B">
        <w:rPr>
          <w:sz w:val="16"/>
        </w:rPr>
        <w:t>. DOI: 10.1145/3133944.3133948.</w:t>
      </w:r>
    </w:p>
    <w:p w14:paraId="40A263B0" w14:textId="77777777" w:rsidR="00BB613B" w:rsidRPr="00BB613B" w:rsidRDefault="00BB613B" w:rsidP="006E6514">
      <w:pPr>
        <w:pStyle w:val="NormalWeb"/>
        <w:spacing w:before="0" w:beforeAutospacing="0" w:after="0" w:afterAutospacing="0"/>
        <w:rPr>
          <w:sz w:val="16"/>
        </w:rPr>
      </w:pPr>
      <w:r w:rsidRPr="00BB613B">
        <w:rPr>
          <w:sz w:val="16"/>
        </w:rPr>
        <w:t>[66] S. Poria</w:t>
      </w:r>
      <w:r w:rsidRPr="00BB613B">
        <w:rPr>
          <w:i/>
          <w:iCs/>
          <w:sz w:val="16"/>
        </w:rPr>
        <w:t xml:space="preserve"> et al</w:t>
      </w:r>
      <w:r w:rsidRPr="00BB613B">
        <w:rPr>
          <w:sz w:val="16"/>
        </w:rPr>
        <w:t xml:space="preserve">, "Ensemble application of convolutional neural networks and multiple kernel learning for multimodal sentiment analysis," </w:t>
      </w:r>
      <w:r w:rsidRPr="00BB613B">
        <w:rPr>
          <w:i/>
          <w:iCs/>
          <w:sz w:val="16"/>
        </w:rPr>
        <w:t xml:space="preserve">Neurocomputing, </w:t>
      </w:r>
      <w:r w:rsidRPr="00BB613B">
        <w:rPr>
          <w:sz w:val="16"/>
        </w:rPr>
        <w:t xml:space="preserve">vol. 261, pp. 217-230, 2017. Available: </w:t>
      </w:r>
      <w:hyperlink r:id="rId56" w:tgtFrame="_blank" w:history="1">
        <w:r w:rsidRPr="00BB613B">
          <w:rPr>
            <w:rStyle w:val="Hipervnculo"/>
            <w:sz w:val="16"/>
          </w:rPr>
          <w:t>https://www.sciencedirect.com/science/article/pii/S0925231217302023</w:t>
        </w:r>
      </w:hyperlink>
      <w:r w:rsidRPr="00BB613B">
        <w:rPr>
          <w:sz w:val="16"/>
        </w:rPr>
        <w:t>. DOI: 10.1016/j.neucom.2016.09.117.</w:t>
      </w:r>
    </w:p>
    <w:p w14:paraId="30D71EF2" w14:textId="77777777" w:rsidR="00BB613B" w:rsidRPr="00BB613B" w:rsidRDefault="00BB613B" w:rsidP="006E6514">
      <w:pPr>
        <w:pStyle w:val="NormalWeb"/>
        <w:spacing w:before="0" w:beforeAutospacing="0" w:after="0" w:afterAutospacing="0"/>
        <w:rPr>
          <w:sz w:val="16"/>
        </w:rPr>
      </w:pPr>
      <w:r w:rsidRPr="00BB613B">
        <w:rPr>
          <w:sz w:val="16"/>
        </w:rPr>
        <w:t>[67] Y. Zhu</w:t>
      </w:r>
      <w:r w:rsidRPr="00BB613B">
        <w:rPr>
          <w:i/>
          <w:iCs/>
          <w:sz w:val="16"/>
        </w:rPr>
        <w:t xml:space="preserve"> et al</w:t>
      </w:r>
      <w:r w:rsidRPr="00BB613B">
        <w:rPr>
          <w:sz w:val="16"/>
        </w:rPr>
        <w:t xml:space="preserve">, "Automated Depression Diagnosis Based on Deep Networks to Encode Facial Appearance and Dynamics," </w:t>
      </w:r>
      <w:r w:rsidRPr="00BB613B">
        <w:rPr>
          <w:i/>
          <w:iCs/>
          <w:sz w:val="16"/>
        </w:rPr>
        <w:t xml:space="preserve">T-Affc, </w:t>
      </w:r>
      <w:r w:rsidRPr="00BB613B">
        <w:rPr>
          <w:sz w:val="16"/>
        </w:rPr>
        <w:t xml:space="preserve">vol. 9, </w:t>
      </w:r>
      <w:r w:rsidRPr="00BB613B">
        <w:rPr>
          <w:i/>
          <w:iCs/>
          <w:sz w:val="16"/>
        </w:rPr>
        <w:t xml:space="preserve">(4), </w:t>
      </w:r>
      <w:r w:rsidRPr="00BB613B">
        <w:rPr>
          <w:sz w:val="16"/>
        </w:rPr>
        <w:t xml:space="preserve">pp. 578-584, 2018. Available: </w:t>
      </w:r>
      <w:hyperlink r:id="rId57" w:tgtFrame="_blank" w:history="1">
        <w:r w:rsidRPr="00BB613B">
          <w:rPr>
            <w:rStyle w:val="Hipervnculo"/>
            <w:sz w:val="16"/>
          </w:rPr>
          <w:t>https://ieeexplore.ieee.org/document/7812588</w:t>
        </w:r>
      </w:hyperlink>
      <w:r w:rsidRPr="00BB613B">
        <w:rPr>
          <w:sz w:val="16"/>
        </w:rPr>
        <w:t>. DOI: 10.1109/TAFFC.2017.2650899.</w:t>
      </w:r>
    </w:p>
    <w:p w14:paraId="47CAF2BF" w14:textId="77777777" w:rsidR="00BB613B" w:rsidRPr="00BB613B" w:rsidRDefault="00BB613B" w:rsidP="006E6514">
      <w:pPr>
        <w:pStyle w:val="NormalWeb"/>
        <w:spacing w:before="0" w:beforeAutospacing="0" w:after="0" w:afterAutospacing="0"/>
        <w:rPr>
          <w:sz w:val="16"/>
        </w:rPr>
      </w:pPr>
      <w:r w:rsidRPr="00BB613B">
        <w:rPr>
          <w:sz w:val="16"/>
        </w:rPr>
        <w:t>[68] S. Alghowinem</w:t>
      </w:r>
      <w:r w:rsidRPr="00BB613B">
        <w:rPr>
          <w:i/>
          <w:iCs/>
          <w:sz w:val="16"/>
        </w:rPr>
        <w:t xml:space="preserve"> et al</w:t>
      </w:r>
      <w:r w:rsidRPr="00BB613B">
        <w:rPr>
          <w:sz w:val="16"/>
        </w:rPr>
        <w:t xml:space="preserve">, "Multimodal Depression Detection: Fusion Analysis of Paralinguistic, Head Pose and Eye Gaze Behaviors," </w:t>
      </w:r>
      <w:r w:rsidRPr="00BB613B">
        <w:rPr>
          <w:i/>
          <w:iCs/>
          <w:sz w:val="16"/>
        </w:rPr>
        <w:t xml:space="preserve">T-Affc, </w:t>
      </w:r>
      <w:r w:rsidRPr="00BB613B">
        <w:rPr>
          <w:sz w:val="16"/>
        </w:rPr>
        <w:t xml:space="preserve">vol. 9, </w:t>
      </w:r>
      <w:r w:rsidRPr="00BB613B">
        <w:rPr>
          <w:i/>
          <w:iCs/>
          <w:sz w:val="16"/>
        </w:rPr>
        <w:t xml:space="preserve">(4), </w:t>
      </w:r>
      <w:r w:rsidRPr="00BB613B">
        <w:rPr>
          <w:sz w:val="16"/>
        </w:rPr>
        <w:t xml:space="preserve">pp. 478-490, 2018. Available: </w:t>
      </w:r>
      <w:hyperlink r:id="rId58" w:tgtFrame="_blank" w:history="1">
        <w:r w:rsidRPr="00BB613B">
          <w:rPr>
            <w:rStyle w:val="Hipervnculo"/>
            <w:sz w:val="16"/>
          </w:rPr>
          <w:t>https://ieeexplore.ieee.org/document/7763752</w:t>
        </w:r>
      </w:hyperlink>
      <w:r w:rsidRPr="00BB613B">
        <w:rPr>
          <w:sz w:val="16"/>
        </w:rPr>
        <w:t>. DOI: 10.1109/TAFFC.2016.2634527.</w:t>
      </w:r>
    </w:p>
    <w:p w14:paraId="4FCF5224" w14:textId="77777777" w:rsidR="00BB613B" w:rsidRPr="00BB613B" w:rsidRDefault="00BB613B" w:rsidP="006E6514">
      <w:pPr>
        <w:pStyle w:val="NormalWeb"/>
        <w:spacing w:before="0" w:beforeAutospacing="0" w:after="0" w:afterAutospacing="0"/>
        <w:rPr>
          <w:sz w:val="16"/>
        </w:rPr>
      </w:pPr>
      <w:r w:rsidRPr="00BB613B">
        <w:rPr>
          <w:sz w:val="16"/>
        </w:rPr>
        <w:t>[69] C. R. Reid</w:t>
      </w:r>
      <w:r w:rsidRPr="00BB613B">
        <w:rPr>
          <w:i/>
          <w:iCs/>
          <w:sz w:val="16"/>
        </w:rPr>
        <w:t xml:space="preserve"> et al</w:t>
      </w:r>
      <w:r w:rsidRPr="00BB613B">
        <w:rPr>
          <w:sz w:val="16"/>
        </w:rPr>
        <w:t xml:space="preserve">, "Wearable Technologies: How Will We Overcome Barriers to Enhance Worker Performance, Health, And Safety?" </w:t>
      </w:r>
      <w:r w:rsidRPr="00BB613B">
        <w:rPr>
          <w:i/>
          <w:iCs/>
          <w:sz w:val="16"/>
        </w:rPr>
        <w:t xml:space="preserve">Proceedings of the Human Factors and Ergonomics Society Annual Meeting, </w:t>
      </w:r>
      <w:r w:rsidRPr="00BB613B">
        <w:rPr>
          <w:sz w:val="16"/>
        </w:rPr>
        <w:t xml:space="preserve">vol. 61, </w:t>
      </w:r>
      <w:r w:rsidRPr="00BB613B">
        <w:rPr>
          <w:i/>
          <w:iCs/>
          <w:sz w:val="16"/>
        </w:rPr>
        <w:t xml:space="preserve">(1), </w:t>
      </w:r>
      <w:r w:rsidRPr="00BB613B">
        <w:rPr>
          <w:sz w:val="16"/>
        </w:rPr>
        <w:t xml:space="preserve">pp. 1026-1030, 2017. Available: </w:t>
      </w:r>
      <w:hyperlink r:id="rId59" w:tgtFrame="_blank" w:history="1">
        <w:r w:rsidRPr="00BB613B">
          <w:rPr>
            <w:rStyle w:val="Hipervnculo"/>
            <w:sz w:val="16"/>
          </w:rPr>
          <w:t>https://journals.sagepub.com/doi/full/10.1177/1541931213601740</w:t>
        </w:r>
      </w:hyperlink>
      <w:r w:rsidRPr="00BB613B">
        <w:rPr>
          <w:sz w:val="16"/>
        </w:rPr>
        <w:t>. DOI: 10.1177/1541931213601740.</w:t>
      </w:r>
    </w:p>
    <w:p w14:paraId="5F8F173A" w14:textId="77777777" w:rsidR="00BB613B" w:rsidRPr="00BB613B" w:rsidRDefault="00BB613B" w:rsidP="006E6514">
      <w:pPr>
        <w:pStyle w:val="NormalWeb"/>
        <w:spacing w:before="0" w:beforeAutospacing="0" w:after="0" w:afterAutospacing="0"/>
        <w:rPr>
          <w:sz w:val="16"/>
        </w:rPr>
      </w:pPr>
      <w:r w:rsidRPr="00BB613B">
        <w:rPr>
          <w:sz w:val="16"/>
        </w:rPr>
        <w:t xml:space="preserve">[70] M. Caicoya, "Dilemas en la evaluación de riesgos psicosociales," 2004. </w:t>
      </w:r>
    </w:p>
    <w:p w14:paraId="0F7AF858" w14:textId="77777777" w:rsidR="00BB613B" w:rsidRPr="00BB613B" w:rsidRDefault="00BB613B" w:rsidP="006E6514">
      <w:pPr>
        <w:pStyle w:val="NormalWeb"/>
        <w:spacing w:before="0" w:beforeAutospacing="0" w:after="0" w:afterAutospacing="0"/>
        <w:rPr>
          <w:sz w:val="16"/>
        </w:rPr>
      </w:pPr>
      <w:r w:rsidRPr="00BB613B">
        <w:rPr>
          <w:sz w:val="16"/>
        </w:rPr>
        <w:t xml:space="preserve">[71] F. G. Benavides, J. Benach and C. Muntaner, "Psychosocial risk factors at the workplace: Is there enough evidence to establish reference values? Job control and its effect on public health. (Editorial)," </w:t>
      </w:r>
      <w:r w:rsidRPr="00BB613B">
        <w:rPr>
          <w:i/>
          <w:iCs/>
          <w:sz w:val="16"/>
        </w:rPr>
        <w:t xml:space="preserve">Journal of Epidemiology &amp; Community Health, </w:t>
      </w:r>
      <w:r w:rsidRPr="00BB613B">
        <w:rPr>
          <w:sz w:val="16"/>
        </w:rPr>
        <w:t xml:space="preserve">vol. 56, </w:t>
      </w:r>
      <w:r w:rsidRPr="00BB613B">
        <w:rPr>
          <w:i/>
          <w:iCs/>
          <w:sz w:val="16"/>
        </w:rPr>
        <w:t xml:space="preserve">(4), </w:t>
      </w:r>
      <w:r w:rsidRPr="00BB613B">
        <w:rPr>
          <w:sz w:val="16"/>
        </w:rPr>
        <w:t xml:space="preserve">pp. 244, 2002. </w:t>
      </w:r>
    </w:p>
    <w:p w14:paraId="7B960D80" w14:textId="77777777" w:rsidR="00BB613B" w:rsidRPr="00BB613B" w:rsidRDefault="00BB613B" w:rsidP="006E6514">
      <w:pPr>
        <w:pStyle w:val="NormalWeb"/>
        <w:spacing w:before="0" w:beforeAutospacing="0" w:after="0" w:afterAutospacing="0"/>
        <w:rPr>
          <w:sz w:val="16"/>
        </w:rPr>
      </w:pPr>
      <w:r w:rsidRPr="00BB613B">
        <w:rPr>
          <w:sz w:val="16"/>
        </w:rPr>
        <w:t xml:space="preserve">[72] M. C. Schall, R. F. Sesek and L. A. Cavuoto, "Barriers to the Adoption of Wearable Sensors in the Workplace: A Survey of Occupational Safety and Health Professionals," </w:t>
      </w:r>
      <w:r w:rsidRPr="00BB613B">
        <w:rPr>
          <w:i/>
          <w:iCs/>
          <w:sz w:val="16"/>
        </w:rPr>
        <w:t xml:space="preserve">Human Factors: The Journal of Human Factors and Ergonomics Society, </w:t>
      </w:r>
      <w:r w:rsidRPr="00BB613B">
        <w:rPr>
          <w:sz w:val="16"/>
        </w:rPr>
        <w:t xml:space="preserve">vol. 60, </w:t>
      </w:r>
      <w:r w:rsidRPr="00BB613B">
        <w:rPr>
          <w:i/>
          <w:iCs/>
          <w:sz w:val="16"/>
        </w:rPr>
        <w:t xml:space="preserve">(3), </w:t>
      </w:r>
      <w:r w:rsidRPr="00BB613B">
        <w:rPr>
          <w:sz w:val="16"/>
        </w:rPr>
        <w:t xml:space="preserve">pp. 351-362, 2018. Available: </w:t>
      </w:r>
      <w:hyperlink r:id="rId60" w:tgtFrame="_blank" w:history="1">
        <w:r w:rsidRPr="00BB613B">
          <w:rPr>
            <w:rStyle w:val="Hipervnculo"/>
            <w:sz w:val="16"/>
          </w:rPr>
          <w:t>https://journals.sagepub.com/doi/full/10.1177/0018720817753907</w:t>
        </w:r>
      </w:hyperlink>
      <w:r w:rsidRPr="00BB613B">
        <w:rPr>
          <w:sz w:val="16"/>
        </w:rPr>
        <w:t>. DOI: 10.1177/0018720817753907.</w:t>
      </w:r>
    </w:p>
    <w:p w14:paraId="661AEF59" w14:textId="60E29E96" w:rsidR="008F2855" w:rsidRPr="001902DB" w:rsidRDefault="00BB613B" w:rsidP="006E6514">
      <w:pPr>
        <w:rPr>
          <w:sz w:val="16"/>
          <w:szCs w:val="16"/>
          <w:lang w:val="es-CO"/>
        </w:rPr>
      </w:pPr>
      <w:r w:rsidRPr="00BB613B">
        <w:rPr>
          <w:sz w:val="16"/>
        </w:rPr>
        <w:t> </w:t>
      </w:r>
      <w:r w:rsidR="00291D2F" w:rsidRPr="001902DB">
        <w:rPr>
          <w:sz w:val="16"/>
          <w:szCs w:val="16"/>
          <w:lang w:val="es-CO"/>
        </w:rPr>
        <w:fldChar w:fldCharType="end"/>
      </w:r>
    </w:p>
    <w:sectPr w:rsidR="008F2855" w:rsidRPr="001902DB" w:rsidSect="009F7FCE">
      <w:headerReference w:type="even" r:id="rId61"/>
      <w:headerReference w:type="default" r:id="rId62"/>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75688C54" w14:textId="77777777" w:rsidR="006B5AAD" w:rsidRDefault="006B5AAD">
      <w:r>
        <w:separator/>
      </w:r>
    </w:p>
  </w:endnote>
  <w:endnote w:type="continuationSeparator" w:id="0">
    <w:p w14:paraId="0FC58A37" w14:textId="77777777" w:rsidR="006B5AAD" w:rsidRDefault="006B5AAD">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6B07BBEE" w14:textId="77777777" w:rsidR="006B5AAD" w:rsidRDefault="006B5AAD" w:rsidP="009F7FCE">
      <w:pPr>
        <w:ind w:firstLine="0"/>
      </w:pPr>
      <w:r>
        <w:separator/>
      </w:r>
    </w:p>
  </w:footnote>
  <w:footnote w:type="continuationSeparator" w:id="0">
    <w:p w14:paraId="7473ABA4" w14:textId="77777777" w:rsidR="006B5AAD" w:rsidRDefault="006B5AAD"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0D25D6C1" w14:textId="77777777" w:rsidR="00C772EE" w:rsidRDefault="00C772EE" w:rsidP="00F321B4">
    <w:pPr>
      <w:pStyle w:val="Encabezado"/>
    </w:pPr>
    <w:r>
      <w:fldChar w:fldCharType="begin"/>
    </w:r>
    <w:r>
      <w:instrText>PAGE   \* MERGEFORMAT</w:instrText>
    </w:r>
    <w:r>
      <w:fldChar w:fldCharType="separate"/>
    </w:r>
    <w:r w:rsidR="004F70F9">
      <w:rPr>
        <w:noProof/>
      </w:rPr>
      <w:t>12</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p w14:paraId="1380B0AB" w14:textId="5D1F4556" w:rsidR="00C772EE" w:rsidRDefault="00C772EE" w:rsidP="002D48C5">
    <w:pPr>
      <w:pStyle w:val="Encabezado"/>
      <w:jc w:val="right"/>
    </w:pPr>
    <w:r>
      <w:fldChar w:fldCharType="begin"/>
    </w:r>
    <w:r>
      <w:instrText>PAGE   \* MERGEFORMAT</w:instrText>
    </w:r>
    <w:r>
      <w:fldChar w:fldCharType="separate"/>
    </w:r>
    <w:r w:rsidR="004F70F9">
      <w:rPr>
        <w:noProof/>
      </w:rPr>
      <w:t>13</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19DB0AD8"/>
    <w:multiLevelType w:val="hybridMultilevel"/>
    <w:tmpl w:val="7DB06A1A"/>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1"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2" w15:restartNumberingAfterBreak="0">
    <w:nsid w:val="2B4F21C5"/>
    <w:multiLevelType w:val="hybridMultilevel"/>
    <w:tmpl w:val="67440854"/>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3" w15:restartNumberingAfterBreak="0">
    <w:nsid w:val="491A309B"/>
    <w:multiLevelType w:val="hybridMultilevel"/>
    <w:tmpl w:val="B8E844A6"/>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4" w15:restartNumberingAfterBreak="0">
    <w:nsid w:val="631D124F"/>
    <w:multiLevelType w:val="multilevel"/>
    <w:tmpl w:val="4508BB0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6BA27484"/>
    <w:multiLevelType w:val="hybridMultilevel"/>
    <w:tmpl w:val="8EE8FACE"/>
    <w:lvl w:ilvl="0" w:tplc="240A0001">
      <w:start w:val="1"/>
      <w:numFmt w:val="bullet"/>
      <w:lvlText w:val=""/>
      <w:lvlJc w:val="left"/>
      <w:pPr>
        <w:ind w:left="720" w:hanging="360"/>
      </w:pPr>
      <w:rPr>
        <w:rFonts w:ascii="Symbol" w:hAnsi="Symbol" w:hint="default"/>
      </w:rPr>
    </w:lvl>
    <w:lvl w:ilvl="1" w:tplc="240A0003" w:tentative="1">
      <w:start w:val="1"/>
      <w:numFmt w:val="bullet"/>
      <w:lvlText w:val="o"/>
      <w:lvlJc w:val="left"/>
      <w:pPr>
        <w:ind w:left="1440" w:hanging="360"/>
      </w:pPr>
      <w:rPr>
        <w:rFonts w:ascii="Courier New" w:hAnsi="Courier New" w:cs="Courier New" w:hint="default"/>
      </w:rPr>
    </w:lvl>
    <w:lvl w:ilvl="2" w:tplc="240A0005" w:tentative="1">
      <w:start w:val="1"/>
      <w:numFmt w:val="bullet"/>
      <w:lvlText w:val=""/>
      <w:lvlJc w:val="left"/>
      <w:pPr>
        <w:ind w:left="2160" w:hanging="360"/>
      </w:pPr>
      <w:rPr>
        <w:rFonts w:ascii="Wingdings" w:hAnsi="Wingdings" w:hint="default"/>
      </w:rPr>
    </w:lvl>
    <w:lvl w:ilvl="3" w:tplc="240A0001" w:tentative="1">
      <w:start w:val="1"/>
      <w:numFmt w:val="bullet"/>
      <w:lvlText w:val=""/>
      <w:lvlJc w:val="left"/>
      <w:pPr>
        <w:ind w:left="2880" w:hanging="360"/>
      </w:pPr>
      <w:rPr>
        <w:rFonts w:ascii="Symbol" w:hAnsi="Symbol" w:hint="default"/>
      </w:rPr>
    </w:lvl>
    <w:lvl w:ilvl="4" w:tplc="240A0003" w:tentative="1">
      <w:start w:val="1"/>
      <w:numFmt w:val="bullet"/>
      <w:lvlText w:val="o"/>
      <w:lvlJc w:val="left"/>
      <w:pPr>
        <w:ind w:left="3600" w:hanging="360"/>
      </w:pPr>
      <w:rPr>
        <w:rFonts w:ascii="Courier New" w:hAnsi="Courier New" w:cs="Courier New" w:hint="default"/>
      </w:rPr>
    </w:lvl>
    <w:lvl w:ilvl="5" w:tplc="240A0005" w:tentative="1">
      <w:start w:val="1"/>
      <w:numFmt w:val="bullet"/>
      <w:lvlText w:val=""/>
      <w:lvlJc w:val="left"/>
      <w:pPr>
        <w:ind w:left="4320" w:hanging="360"/>
      </w:pPr>
      <w:rPr>
        <w:rFonts w:ascii="Wingdings" w:hAnsi="Wingdings" w:hint="default"/>
      </w:rPr>
    </w:lvl>
    <w:lvl w:ilvl="6" w:tplc="240A0001" w:tentative="1">
      <w:start w:val="1"/>
      <w:numFmt w:val="bullet"/>
      <w:lvlText w:val=""/>
      <w:lvlJc w:val="left"/>
      <w:pPr>
        <w:ind w:left="5040" w:hanging="360"/>
      </w:pPr>
      <w:rPr>
        <w:rFonts w:ascii="Symbol" w:hAnsi="Symbol" w:hint="default"/>
      </w:rPr>
    </w:lvl>
    <w:lvl w:ilvl="7" w:tplc="240A0003" w:tentative="1">
      <w:start w:val="1"/>
      <w:numFmt w:val="bullet"/>
      <w:lvlText w:val="o"/>
      <w:lvlJc w:val="left"/>
      <w:pPr>
        <w:ind w:left="5760" w:hanging="360"/>
      </w:pPr>
      <w:rPr>
        <w:rFonts w:ascii="Courier New" w:hAnsi="Courier New" w:cs="Courier New" w:hint="default"/>
      </w:rPr>
    </w:lvl>
    <w:lvl w:ilvl="8" w:tplc="240A0005" w:tentative="1">
      <w:start w:val="1"/>
      <w:numFmt w:val="bullet"/>
      <w:lvlText w:val=""/>
      <w:lvlJc w:val="left"/>
      <w:pPr>
        <w:ind w:left="6480" w:hanging="360"/>
      </w:pPr>
      <w:rPr>
        <w:rFonts w:ascii="Wingdings" w:hAnsi="Wingdings" w:hint="default"/>
      </w:r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738779A"/>
    <w:multiLevelType w:val="multilevel"/>
    <w:tmpl w:val="88D836C4"/>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8"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9" w15:restartNumberingAfterBreak="0">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1"/>
  </w:num>
  <w:num w:numId="2">
    <w:abstractNumId w:val="1"/>
  </w:num>
  <w:num w:numId="3">
    <w:abstractNumId w:val="6"/>
  </w:num>
  <w:num w:numId="4">
    <w:abstractNumId w:val="6"/>
  </w:num>
  <w:num w:numId="5">
    <w:abstractNumId w:val="8"/>
  </w:num>
  <w:num w:numId="6">
    <w:abstractNumId w:val="8"/>
  </w:num>
  <w:num w:numId="7">
    <w:abstractNumId w:val="7"/>
    <w:lvlOverride w:ilvl="0">
      <w:lvl w:ilvl="0">
        <w:start w:val="1"/>
        <w:numFmt w:val="decimal"/>
        <w:pStyle w:val="heading1"/>
        <w:lvlText w:val="%1"/>
        <w:lvlJc w:val="left"/>
        <w:pPr>
          <w:tabs>
            <w:tab w:val="num" w:pos="567"/>
          </w:tabs>
          <w:ind w:left="567" w:hanging="567"/>
        </w:pPr>
        <w:rPr>
          <w:rFonts w:hint="default"/>
        </w:rPr>
      </w:lvl>
    </w:lvlOverride>
    <w:lvlOverride w:ilvl="1">
      <w:lvl w:ilvl="1">
        <w:start w:val="1"/>
        <w:numFmt w:val="decimal"/>
        <w:pStyle w:val="heading2"/>
        <w:lvlText w:val="%1.%2"/>
        <w:lvlJc w:val="left"/>
        <w:pPr>
          <w:tabs>
            <w:tab w:val="num" w:pos="567"/>
          </w:tabs>
          <w:ind w:left="567" w:hanging="567"/>
        </w:pPr>
        <w:rPr>
          <w:rFonts w:hint="default"/>
        </w:rPr>
      </w:lvl>
    </w:lvlOverride>
  </w:num>
  <w:num w:numId="8">
    <w:abstractNumId w:val="9"/>
  </w:num>
  <w:num w:numId="9">
    <w:abstractNumId w:val="9"/>
  </w:num>
  <w:num w:numId="10">
    <w:abstractNumId w:val="4"/>
  </w:num>
  <w:num w:numId="11">
    <w:abstractNumId w:val="7"/>
  </w:num>
  <w:num w:numId="12">
    <w:abstractNumId w:val="3"/>
  </w:num>
  <w:num w:numId="13">
    <w:abstractNumId w:val="5"/>
  </w:num>
  <w:num w:numId="14">
    <w:abstractNumId w:val="0"/>
  </w:num>
  <w:num w:numId="15">
    <w:abstractNumId w:val="2"/>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6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41C1A"/>
    <w:rsid w:val="00052AF1"/>
    <w:rsid w:val="00067512"/>
    <w:rsid w:val="00081E51"/>
    <w:rsid w:val="00083C89"/>
    <w:rsid w:val="000C6FF6"/>
    <w:rsid w:val="001305F7"/>
    <w:rsid w:val="0014567E"/>
    <w:rsid w:val="001902DB"/>
    <w:rsid w:val="001A02F0"/>
    <w:rsid w:val="00205A23"/>
    <w:rsid w:val="002110D5"/>
    <w:rsid w:val="00223738"/>
    <w:rsid w:val="002238AE"/>
    <w:rsid w:val="00223DF4"/>
    <w:rsid w:val="00260DE1"/>
    <w:rsid w:val="002616BE"/>
    <w:rsid w:val="00265DF6"/>
    <w:rsid w:val="00275C77"/>
    <w:rsid w:val="002778A5"/>
    <w:rsid w:val="00291D2F"/>
    <w:rsid w:val="002D48C5"/>
    <w:rsid w:val="003022B5"/>
    <w:rsid w:val="00310FF6"/>
    <w:rsid w:val="0033393E"/>
    <w:rsid w:val="0035503D"/>
    <w:rsid w:val="0036087F"/>
    <w:rsid w:val="00367B48"/>
    <w:rsid w:val="00367E47"/>
    <w:rsid w:val="00375468"/>
    <w:rsid w:val="003C7CDB"/>
    <w:rsid w:val="0046069F"/>
    <w:rsid w:val="00463996"/>
    <w:rsid w:val="00487D69"/>
    <w:rsid w:val="004B54AE"/>
    <w:rsid w:val="004F70F9"/>
    <w:rsid w:val="0051477B"/>
    <w:rsid w:val="00537957"/>
    <w:rsid w:val="00564BFF"/>
    <w:rsid w:val="005B0604"/>
    <w:rsid w:val="005F0C9B"/>
    <w:rsid w:val="00605FBA"/>
    <w:rsid w:val="00610074"/>
    <w:rsid w:val="00692859"/>
    <w:rsid w:val="0069776B"/>
    <w:rsid w:val="006B5AAD"/>
    <w:rsid w:val="006C0A66"/>
    <w:rsid w:val="006C1E04"/>
    <w:rsid w:val="006C621B"/>
    <w:rsid w:val="006E6514"/>
    <w:rsid w:val="00747AE8"/>
    <w:rsid w:val="00756D6C"/>
    <w:rsid w:val="00776C41"/>
    <w:rsid w:val="007B0BAF"/>
    <w:rsid w:val="007B4B6C"/>
    <w:rsid w:val="007F3F31"/>
    <w:rsid w:val="007F4762"/>
    <w:rsid w:val="00803B9E"/>
    <w:rsid w:val="00805DC3"/>
    <w:rsid w:val="00817F46"/>
    <w:rsid w:val="00852F81"/>
    <w:rsid w:val="00853550"/>
    <w:rsid w:val="008806A6"/>
    <w:rsid w:val="008F2855"/>
    <w:rsid w:val="008F2D4C"/>
    <w:rsid w:val="00917AF3"/>
    <w:rsid w:val="009608A1"/>
    <w:rsid w:val="009930E4"/>
    <w:rsid w:val="009B2539"/>
    <w:rsid w:val="009C0E0C"/>
    <w:rsid w:val="009D6EF2"/>
    <w:rsid w:val="009E141B"/>
    <w:rsid w:val="009E2FC9"/>
    <w:rsid w:val="009F7FCE"/>
    <w:rsid w:val="00A00C22"/>
    <w:rsid w:val="00A60A9B"/>
    <w:rsid w:val="00A70AAE"/>
    <w:rsid w:val="00A96228"/>
    <w:rsid w:val="00AA1FAE"/>
    <w:rsid w:val="00AD262E"/>
    <w:rsid w:val="00B23481"/>
    <w:rsid w:val="00B26B7D"/>
    <w:rsid w:val="00B32F91"/>
    <w:rsid w:val="00B37882"/>
    <w:rsid w:val="00B602F5"/>
    <w:rsid w:val="00BB613B"/>
    <w:rsid w:val="00BC043C"/>
    <w:rsid w:val="00BE70B9"/>
    <w:rsid w:val="00C772EE"/>
    <w:rsid w:val="00C77367"/>
    <w:rsid w:val="00C87321"/>
    <w:rsid w:val="00CA066E"/>
    <w:rsid w:val="00CC5EC7"/>
    <w:rsid w:val="00CE2E4B"/>
    <w:rsid w:val="00CF3692"/>
    <w:rsid w:val="00D2128D"/>
    <w:rsid w:val="00D21D31"/>
    <w:rsid w:val="00D421F0"/>
    <w:rsid w:val="00D70FD4"/>
    <w:rsid w:val="00DC2CA9"/>
    <w:rsid w:val="00DC3AFD"/>
    <w:rsid w:val="00DE55C5"/>
    <w:rsid w:val="00E05286"/>
    <w:rsid w:val="00E1512D"/>
    <w:rsid w:val="00E16812"/>
    <w:rsid w:val="00E21931"/>
    <w:rsid w:val="00E467DA"/>
    <w:rsid w:val="00E603C7"/>
    <w:rsid w:val="00EE71A5"/>
    <w:rsid w:val="00EF29AC"/>
    <w:rsid w:val="00F321B4"/>
    <w:rsid w:val="00F42D15"/>
    <w:rsid w:val="00F50EA7"/>
    <w:rsid w:val="00FC0816"/>
    <w:rsid w:val="00FE0B1C"/>
    <w:rsid w:val="00FE5980"/>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721258"/>
  <w15:docId w15:val="{6005C8A5-4FAD-4A68-B9C6-DCFE3727B56F}"/>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iPriority="99"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iPriority="99"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iPriority="99"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iPriority="99"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2" w:semiHidden="1" w:unhideWhenUsed="1"/>
    <w:lsdException w:name="Table Web 1"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Ttulo1">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Ttulo2">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Ttulo3">
    <w:name w:val="heading 3"/>
    <w:basedOn w:val="Normal"/>
    <w:next w:val="Normal"/>
    <w:qFormat/>
    <w:pPr>
      <w:spacing w:before="360"/>
      <w:ind w:firstLine="0"/>
      <w:outlineLvl w:val="2"/>
    </w:pPr>
  </w:style>
  <w:style w:type="paragraph" w:styleId="Ttulo4">
    <w:name w:val="heading 4"/>
    <w:basedOn w:val="Normal"/>
    <w:next w:val="Normal"/>
    <w:qFormat/>
    <w:pPr>
      <w:spacing w:before="240"/>
      <w:ind w:firstLine="0"/>
      <w:outlineLvl w:val="3"/>
    </w:p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Sinlista"/>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Fuentedeprrafopredeter"/>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Refdenotaalpie">
    <w:name w:val="footnote reference"/>
    <w:basedOn w:val="Fuentedeprrafopredeter"/>
    <w:semiHidden/>
    <w:unhideWhenUsed/>
    <w:rPr>
      <w:position w:val="0"/>
      <w:vertAlign w:val="superscript"/>
    </w:rPr>
  </w:style>
  <w:style w:type="paragraph" w:styleId="Piedepgina">
    <w:name w:val="footer"/>
    <w:basedOn w:val="Normal"/>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
    <w:name w:val="heading3"/>
    <w:basedOn w:val="Fuentedeprrafopredeter"/>
    <w:rPr>
      <w:b/>
    </w:rPr>
  </w:style>
  <w:style w:type="character" w:customStyle="1" w:styleId="heading4">
    <w:name w:val="heading4"/>
    <w:basedOn w:val="Fuentedeprrafopredeter"/>
    <w:rPr>
      <w:i/>
    </w:rPr>
  </w:style>
  <w:style w:type="numbering" w:customStyle="1" w:styleId="headings">
    <w:name w:val="headings"/>
    <w:basedOn w:val="arabnumitem"/>
    <w:pPr>
      <w:numPr>
        <w:numId w:val="11"/>
      </w:numPr>
    </w:pPr>
  </w:style>
  <w:style w:type="character" w:styleId="Hipervnculo">
    <w:name w:val="Hyperlink"/>
    <w:basedOn w:val="Fuentedeprrafopredeter"/>
    <w:uiPriority w:val="99"/>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Sinlista"/>
    <w:pPr>
      <w:numPr>
        <w:numId w:val="1"/>
      </w:numPr>
    </w:pPr>
  </w:style>
  <w:style w:type="numbering" w:customStyle="1" w:styleId="itemization2">
    <w:name w:val="itemization2"/>
    <w:basedOn w:val="Sinlista"/>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Encabezado">
    <w:name w:val="header"/>
    <w:basedOn w:val="Normal"/>
    <w:link w:val="EncabezadoCar"/>
    <w:uiPriority w:val="99"/>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Sinlista"/>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Nmerodepgina">
    <w:name w:val="page number"/>
    <w:basedOn w:val="Fuentedeprrafopredeter"/>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Fuentedeprrafopredeter"/>
    <w:rPr>
      <w:rFonts w:ascii="Courier" w:hAnsi="Courier"/>
      <w:noProof/>
    </w:rPr>
  </w:style>
  <w:style w:type="character" w:customStyle="1" w:styleId="ORCID">
    <w:name w:val="ORCID"/>
    <w:basedOn w:val="Fuentedeprrafopredeter"/>
    <w:rPr>
      <w:position w:val="0"/>
      <w:vertAlign w:val="superscript"/>
    </w:rPr>
  </w:style>
  <w:style w:type="paragraph" w:styleId="Textonotapie">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NormalWeb">
    <w:name w:val="Normal (Web)"/>
    <w:basedOn w:val="Normal"/>
    <w:uiPriority w:val="99"/>
    <w:semiHidden/>
    <w:unhideWhenUsed/>
    <w:rsid w:val="007B4B6C"/>
    <w:pPr>
      <w:overflowPunct/>
      <w:autoSpaceDE/>
      <w:autoSpaceDN/>
      <w:adjustRightInd/>
      <w:spacing w:before="100" w:beforeAutospacing="1" w:after="100" w:afterAutospacing="1" w:line="240" w:lineRule="auto"/>
      <w:ind w:firstLine="0"/>
      <w:jc w:val="left"/>
      <w:textAlignment w:val="auto"/>
    </w:pPr>
    <w:rPr>
      <w:sz w:val="24"/>
      <w:szCs w:val="24"/>
      <w:lang w:val="es-CO" w:eastAsia="es-CO"/>
    </w:rPr>
  </w:style>
  <w:style w:type="paragraph" w:styleId="HTMLconformatoprevio">
    <w:name w:val="HTML Preformatted"/>
    <w:basedOn w:val="Normal"/>
    <w:link w:val="HTMLconformatoprevioCar"/>
    <w:uiPriority w:val="99"/>
    <w:unhideWhenUsed/>
    <w:rsid w:val="00E16812"/>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overflowPunct/>
      <w:autoSpaceDE/>
      <w:autoSpaceDN/>
      <w:adjustRightInd/>
      <w:spacing w:line="240" w:lineRule="auto"/>
      <w:ind w:firstLine="0"/>
      <w:jc w:val="left"/>
      <w:textAlignment w:val="auto"/>
    </w:pPr>
    <w:rPr>
      <w:rFonts w:ascii="Courier New" w:hAnsi="Courier New" w:cs="Courier New"/>
      <w:lang w:val="es-CO" w:eastAsia="es-CO"/>
    </w:rPr>
  </w:style>
  <w:style w:type="character" w:customStyle="1" w:styleId="HTMLconformatoprevioCar">
    <w:name w:val="HTML con formato previo Car"/>
    <w:basedOn w:val="Fuentedeprrafopredeter"/>
    <w:link w:val="HTMLconformatoprevio"/>
    <w:uiPriority w:val="99"/>
    <w:rsid w:val="00E16812"/>
    <w:rPr>
      <w:rFonts w:ascii="Courier New" w:hAnsi="Courier New" w:cs="Courier New"/>
      <w:lang w:val="es-CO" w:eastAsia="es-CO"/>
    </w:rPr>
  </w:style>
  <w:style w:type="character" w:customStyle="1" w:styleId="EncabezadoCar">
    <w:name w:val="Encabezado Car"/>
    <w:basedOn w:val="Fuentedeprrafopredeter"/>
    <w:link w:val="Encabezado"/>
    <w:uiPriority w:val="99"/>
    <w:rsid w:val="00E16812"/>
    <w:rPr>
      <w:sz w:val="18"/>
      <w:szCs w:val="18"/>
    </w:rPr>
  </w:style>
  <w:style w:type="table" w:styleId="Tablaconcuadrcula">
    <w:name w:val="Table Grid"/>
    <w:basedOn w:val="Tablanormal"/>
    <w:rsid w:val="00E1512D"/>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Prrafodelista">
    <w:name w:val="List Paragraph"/>
    <w:basedOn w:val="Normal"/>
    <w:rsid w:val="00463996"/>
    <w:pPr>
      <w:ind w:left="720"/>
      <w:contextualSpacing/>
    </w:p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docEvents>
    <wne:eventDocOpen/>
  </wne:docEvents>
  <wne:mcds>
    <wne:mcd wne:macroName="LN_DOCUMENT.SPLNPROCMACROS.RESTOREPAGESETUP" wne:name="LN_Document.SpLNProcMacros.RestorePageSetup" wne:bEncrypt="00" wne:cmg="56"/>
    <wne:mcd wne:macroName="LN_DOCUMENT.SPLNPROCMACROS.CHECKENSURESTYLES" wne:name="LN_Document.SpLNProcMacros.CheckEnsureStyle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219441240">
      <w:bodyDiv w:val="1"/>
      <w:marLeft w:val="0"/>
      <w:marRight w:val="0"/>
      <w:marTop w:val="0"/>
      <w:marBottom w:val="0"/>
      <w:divBdr>
        <w:top w:val="none" w:sz="0" w:space="0" w:color="auto"/>
        <w:left w:val="none" w:sz="0" w:space="0" w:color="auto"/>
        <w:bottom w:val="none" w:sz="0" w:space="0" w:color="auto"/>
        <w:right w:val="none" w:sz="0" w:space="0" w:color="auto"/>
      </w:divBdr>
    </w:div>
    <w:div w:id="340591513">
      <w:bodyDiv w:val="1"/>
      <w:marLeft w:val="0"/>
      <w:marRight w:val="0"/>
      <w:marTop w:val="0"/>
      <w:marBottom w:val="0"/>
      <w:divBdr>
        <w:top w:val="none" w:sz="0" w:space="0" w:color="auto"/>
        <w:left w:val="none" w:sz="0" w:space="0" w:color="auto"/>
        <w:bottom w:val="none" w:sz="0" w:space="0" w:color="auto"/>
        <w:right w:val="none" w:sz="0" w:space="0" w:color="auto"/>
      </w:divBdr>
    </w:div>
    <w:div w:id="407003248">
      <w:bodyDiv w:val="1"/>
      <w:marLeft w:val="0"/>
      <w:marRight w:val="0"/>
      <w:marTop w:val="0"/>
      <w:marBottom w:val="0"/>
      <w:divBdr>
        <w:top w:val="none" w:sz="0" w:space="0" w:color="auto"/>
        <w:left w:val="none" w:sz="0" w:space="0" w:color="auto"/>
        <w:bottom w:val="none" w:sz="0" w:space="0" w:color="auto"/>
        <w:right w:val="none" w:sz="0" w:space="0" w:color="auto"/>
      </w:divBdr>
    </w:div>
    <w:div w:id="410739172">
      <w:bodyDiv w:val="1"/>
      <w:marLeft w:val="0"/>
      <w:marRight w:val="0"/>
      <w:marTop w:val="0"/>
      <w:marBottom w:val="0"/>
      <w:divBdr>
        <w:top w:val="none" w:sz="0" w:space="0" w:color="auto"/>
        <w:left w:val="none" w:sz="0" w:space="0" w:color="auto"/>
        <w:bottom w:val="none" w:sz="0" w:space="0" w:color="auto"/>
        <w:right w:val="none" w:sz="0" w:space="0" w:color="auto"/>
      </w:divBdr>
    </w:div>
    <w:div w:id="709887618">
      <w:bodyDiv w:val="1"/>
      <w:marLeft w:val="0"/>
      <w:marRight w:val="0"/>
      <w:marTop w:val="0"/>
      <w:marBottom w:val="0"/>
      <w:divBdr>
        <w:top w:val="none" w:sz="0" w:space="0" w:color="auto"/>
        <w:left w:val="none" w:sz="0" w:space="0" w:color="auto"/>
        <w:bottom w:val="none" w:sz="0" w:space="0" w:color="auto"/>
        <w:right w:val="none" w:sz="0" w:space="0" w:color="auto"/>
      </w:divBdr>
    </w:div>
    <w:div w:id="853765374">
      <w:bodyDiv w:val="1"/>
      <w:marLeft w:val="0"/>
      <w:marRight w:val="0"/>
      <w:marTop w:val="0"/>
      <w:marBottom w:val="0"/>
      <w:divBdr>
        <w:top w:val="none" w:sz="0" w:space="0" w:color="auto"/>
        <w:left w:val="none" w:sz="0" w:space="0" w:color="auto"/>
        <w:bottom w:val="none" w:sz="0" w:space="0" w:color="auto"/>
        <w:right w:val="none" w:sz="0" w:space="0" w:color="auto"/>
      </w:divBdr>
    </w:div>
    <w:div w:id="871310603">
      <w:bodyDiv w:val="1"/>
      <w:marLeft w:val="0"/>
      <w:marRight w:val="0"/>
      <w:marTop w:val="0"/>
      <w:marBottom w:val="0"/>
      <w:divBdr>
        <w:top w:val="none" w:sz="0" w:space="0" w:color="auto"/>
        <w:left w:val="none" w:sz="0" w:space="0" w:color="auto"/>
        <w:bottom w:val="none" w:sz="0" w:space="0" w:color="auto"/>
        <w:right w:val="none" w:sz="0" w:space="0" w:color="auto"/>
      </w:divBdr>
    </w:div>
    <w:div w:id="912201312">
      <w:bodyDiv w:val="1"/>
      <w:marLeft w:val="0"/>
      <w:marRight w:val="0"/>
      <w:marTop w:val="0"/>
      <w:marBottom w:val="0"/>
      <w:divBdr>
        <w:top w:val="none" w:sz="0" w:space="0" w:color="auto"/>
        <w:left w:val="none" w:sz="0" w:space="0" w:color="auto"/>
        <w:bottom w:val="none" w:sz="0" w:space="0" w:color="auto"/>
        <w:right w:val="none" w:sz="0" w:space="0" w:color="auto"/>
      </w:divBdr>
    </w:div>
    <w:div w:id="1042094126">
      <w:bodyDiv w:val="1"/>
      <w:marLeft w:val="0"/>
      <w:marRight w:val="0"/>
      <w:marTop w:val="0"/>
      <w:marBottom w:val="0"/>
      <w:divBdr>
        <w:top w:val="none" w:sz="0" w:space="0" w:color="auto"/>
        <w:left w:val="none" w:sz="0" w:space="0" w:color="auto"/>
        <w:bottom w:val="none" w:sz="0" w:space="0" w:color="auto"/>
        <w:right w:val="none" w:sz="0" w:space="0" w:color="auto"/>
      </w:divBdr>
    </w:div>
    <w:div w:id="1136029699">
      <w:bodyDiv w:val="1"/>
      <w:marLeft w:val="0"/>
      <w:marRight w:val="0"/>
      <w:marTop w:val="0"/>
      <w:marBottom w:val="0"/>
      <w:divBdr>
        <w:top w:val="none" w:sz="0" w:space="0" w:color="auto"/>
        <w:left w:val="none" w:sz="0" w:space="0" w:color="auto"/>
        <w:bottom w:val="none" w:sz="0" w:space="0" w:color="auto"/>
        <w:right w:val="none" w:sz="0" w:space="0" w:color="auto"/>
      </w:divBdr>
    </w:div>
    <w:div w:id="1158307398">
      <w:bodyDiv w:val="1"/>
      <w:marLeft w:val="0"/>
      <w:marRight w:val="0"/>
      <w:marTop w:val="0"/>
      <w:marBottom w:val="0"/>
      <w:divBdr>
        <w:top w:val="none" w:sz="0" w:space="0" w:color="auto"/>
        <w:left w:val="none" w:sz="0" w:space="0" w:color="auto"/>
        <w:bottom w:val="none" w:sz="0" w:space="0" w:color="auto"/>
        <w:right w:val="none" w:sz="0" w:space="0" w:color="auto"/>
      </w:divBdr>
    </w:div>
    <w:div w:id="1546720351">
      <w:bodyDiv w:val="1"/>
      <w:marLeft w:val="0"/>
      <w:marRight w:val="0"/>
      <w:marTop w:val="0"/>
      <w:marBottom w:val="0"/>
      <w:divBdr>
        <w:top w:val="none" w:sz="0" w:space="0" w:color="auto"/>
        <w:left w:val="none" w:sz="0" w:space="0" w:color="auto"/>
        <w:bottom w:val="none" w:sz="0" w:space="0" w:color="auto"/>
        <w:right w:val="none" w:sz="0" w:space="0" w:color="auto"/>
      </w:divBdr>
    </w:div>
    <w:div w:id="1559972837">
      <w:bodyDiv w:val="1"/>
      <w:marLeft w:val="0"/>
      <w:marRight w:val="0"/>
      <w:marTop w:val="0"/>
      <w:marBottom w:val="0"/>
      <w:divBdr>
        <w:top w:val="none" w:sz="0" w:space="0" w:color="auto"/>
        <w:left w:val="none" w:sz="0" w:space="0" w:color="auto"/>
        <w:bottom w:val="none" w:sz="0" w:space="0" w:color="auto"/>
        <w:right w:val="none" w:sz="0" w:space="0" w:color="auto"/>
      </w:divBdr>
    </w:div>
    <w:div w:id="1677541328">
      <w:bodyDiv w:val="1"/>
      <w:marLeft w:val="0"/>
      <w:marRight w:val="0"/>
      <w:marTop w:val="0"/>
      <w:marBottom w:val="0"/>
      <w:divBdr>
        <w:top w:val="none" w:sz="0" w:space="0" w:color="auto"/>
        <w:left w:val="none" w:sz="0" w:space="0" w:color="auto"/>
        <w:bottom w:val="none" w:sz="0" w:space="0" w:color="auto"/>
        <w:right w:val="none" w:sz="0" w:space="0" w:color="auto"/>
      </w:divBdr>
    </w:div>
    <w:div w:id="1723940897">
      <w:bodyDiv w:val="1"/>
      <w:marLeft w:val="0"/>
      <w:marRight w:val="0"/>
      <w:marTop w:val="0"/>
      <w:marBottom w:val="0"/>
      <w:divBdr>
        <w:top w:val="none" w:sz="0" w:space="0" w:color="auto"/>
        <w:left w:val="none" w:sz="0" w:space="0" w:color="auto"/>
        <w:bottom w:val="none" w:sz="0" w:space="0" w:color="auto"/>
        <w:right w:val="none" w:sz="0" w:space="0" w:color="auto"/>
      </w:divBdr>
    </w:div>
    <w:div w:id="1829396399">
      <w:bodyDiv w:val="1"/>
      <w:marLeft w:val="0"/>
      <w:marRight w:val="0"/>
      <w:marTop w:val="0"/>
      <w:marBottom w:val="0"/>
      <w:divBdr>
        <w:top w:val="none" w:sz="0" w:space="0" w:color="auto"/>
        <w:left w:val="none" w:sz="0" w:space="0" w:color="auto"/>
        <w:bottom w:val="none" w:sz="0" w:space="0" w:color="auto"/>
        <w:right w:val="none" w:sz="0" w:space="0" w:color="auto"/>
      </w:divBdr>
    </w:div>
    <w:div w:id="1924488577">
      <w:bodyDiv w:val="1"/>
      <w:marLeft w:val="0"/>
      <w:marRight w:val="0"/>
      <w:marTop w:val="0"/>
      <w:marBottom w:val="0"/>
      <w:divBdr>
        <w:top w:val="none" w:sz="0" w:space="0" w:color="auto"/>
        <w:left w:val="none" w:sz="0" w:space="0" w:color="auto"/>
        <w:bottom w:val="none" w:sz="0" w:space="0" w:color="auto"/>
        <w:right w:val="none" w:sz="0" w:space="0" w:color="auto"/>
      </w:divBdr>
    </w:div>
    <w:div w:id="2129278740">
      <w:bodyDiv w:val="1"/>
      <w:marLeft w:val="0"/>
      <w:marRight w:val="0"/>
      <w:marTop w:val="0"/>
      <w:marBottom w:val="0"/>
      <w:divBdr>
        <w:top w:val="none" w:sz="0" w:space="0" w:color="auto"/>
        <w:left w:val="none" w:sz="0" w:space="0" w:color="auto"/>
        <w:bottom w:val="none" w:sz="0" w:space="0" w:color="auto"/>
        <w:right w:val="none" w:sz="0" w:space="0" w:color="auto"/>
      </w:divBdr>
    </w:div>
  </w:divs>
</w:webSettings>
</file>

<file path=word/_rels/document.xml.rels><?xml version="1.0" encoding="UTF-8" standalone="yes"?>
<Relationships xmlns="http://schemas.openxmlformats.org/package/2006/relationships"><Relationship Id="rId13" Type="http://schemas.openxmlformats.org/officeDocument/2006/relationships/hyperlink" Target="https://www.nejm.org/doi/full/10.1056/NEJM199003013220905" TargetMode="External"/><Relationship Id="rId18" Type="http://schemas.openxmlformats.org/officeDocument/2006/relationships/hyperlink" Target="http://www.tandfonline.com/doi/abs/10.1080/15459620590921499" TargetMode="External"/><Relationship Id="rId26" Type="http://schemas.openxmlformats.org/officeDocument/2006/relationships/hyperlink" Target="http://dx.doi.org/10.1136/oem.60.10.715" TargetMode="External"/><Relationship Id="rId39" Type="http://schemas.openxmlformats.org/officeDocument/2006/relationships/hyperlink" Target="https://ieeexplore.ieee.org/document/6513203" TargetMode="External"/><Relationship Id="rId21" Type="http://schemas.openxmlformats.org/officeDocument/2006/relationships/hyperlink" Target="https://www.sciencedirect.com/science/article/pii/S2093791117303141" TargetMode="External"/><Relationship Id="rId34" Type="http://schemas.openxmlformats.org/officeDocument/2006/relationships/hyperlink" Target="https://www.ncbi.nlm.nih.gov/pubmed/24707177" TargetMode="External"/><Relationship Id="rId42" Type="http://schemas.openxmlformats.org/officeDocument/2006/relationships/hyperlink" Target="https://search.proquest.com/docview/2014911173" TargetMode="External"/><Relationship Id="rId47" Type="http://schemas.openxmlformats.org/officeDocument/2006/relationships/hyperlink" Target="https://www.ncbi.nlm.nih.gov/pubmed/29385749" TargetMode="External"/><Relationship Id="rId50" Type="http://schemas.openxmlformats.org/officeDocument/2006/relationships/hyperlink" Target="https://www.ncbi.nlm.nih.gov/pubmed/28747857" TargetMode="External"/><Relationship Id="rId55" Type="http://schemas.openxmlformats.org/officeDocument/2006/relationships/hyperlink" Target="http://dl.acm.org/citation.cfm?id=3133948" TargetMode="External"/><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hyperlink" Target="https://www.ncbi.nlm.nih.gov/pubmed/30095587" TargetMode="External"/><Relationship Id="rId29" Type="http://schemas.openxmlformats.org/officeDocument/2006/relationships/hyperlink" Target="https://www.sciencedirect.com/science/article/pii/S1438463918303511" TargetMode="External"/><Relationship Id="rId11" Type="http://schemas.openxmlformats.org/officeDocument/2006/relationships/hyperlink" Target="https://ebookcentral.proquest.com/lib/%5bSITE_ID" TargetMode="External"/><Relationship Id="rId24" Type="http://schemas.openxmlformats.org/officeDocument/2006/relationships/hyperlink" Target="https://jlc.jst.go.jp/DN/JALC/00352137065?from=SUMMON" TargetMode="External"/><Relationship Id="rId32" Type="http://schemas.openxmlformats.org/officeDocument/2006/relationships/hyperlink" Target="http://ovidsp.ovid.com/ovidweb.cgi?T=JS&amp;NEWS=n&amp;CSC=Y&amp;PAGE=fulltext&amp;D=ovft&amp;AN=00005768-201605001-00675" TargetMode="External"/><Relationship Id="rId37" Type="http://schemas.openxmlformats.org/officeDocument/2006/relationships/hyperlink" Target="https://www.ncbi.nlm.nih.gov/pubmed/29560330" TargetMode="External"/><Relationship Id="rId40" Type="http://schemas.openxmlformats.org/officeDocument/2006/relationships/hyperlink" Target="https://www.sciencedirect.com/science/article/pii/S1474034615000269" TargetMode="External"/><Relationship Id="rId45" Type="http://schemas.openxmlformats.org/officeDocument/2006/relationships/hyperlink" Target="https://www.sciencedirect.com/science/article/pii/S0167865518301302" TargetMode="External"/><Relationship Id="rId53" Type="http://schemas.openxmlformats.org/officeDocument/2006/relationships/hyperlink" Target="https://www.sciencedirect.com/science/article/pii/S0262885617301191" TargetMode="External"/><Relationship Id="rId58" Type="http://schemas.openxmlformats.org/officeDocument/2006/relationships/hyperlink" Target="https://ieeexplore.ieee.org/document/7763752" TargetMode="External"/><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hyperlink" Target="https://www.sciencedirect.com/science/article/pii/S0925753517315631" TargetMode="External"/><Relationship Id="rId14" Type="http://schemas.openxmlformats.org/officeDocument/2006/relationships/hyperlink" Target="https://www.britannica.com" TargetMode="External"/><Relationship Id="rId22" Type="http://schemas.openxmlformats.org/officeDocument/2006/relationships/hyperlink" Target="https://jlc.jst.go.jp/DN/JALC/10007643537?from=SUMMON" TargetMode="External"/><Relationship Id="rId27" Type="http://schemas.openxmlformats.org/officeDocument/2006/relationships/hyperlink" Target="https://www.ncbi.nlm.nih.gov/pubmed/28783203" TargetMode="External"/><Relationship Id="rId30" Type="http://schemas.openxmlformats.org/officeDocument/2006/relationships/hyperlink" Target="https://www.jstor.org/stable/23462862" TargetMode="External"/><Relationship Id="rId35" Type="http://schemas.openxmlformats.org/officeDocument/2006/relationships/hyperlink" Target="http://catalog.hathitrust.org/Record/006161829" TargetMode="External"/><Relationship Id="rId43" Type="http://schemas.openxmlformats.org/officeDocument/2006/relationships/hyperlink" Target="https://search.proquest.com/docview/1974478837" TargetMode="External"/><Relationship Id="rId48" Type="http://schemas.openxmlformats.org/officeDocument/2006/relationships/hyperlink" Target="https://www.ncbi.nlm.nih.gov/pubmed/15943210" TargetMode="External"/><Relationship Id="rId56" Type="http://schemas.openxmlformats.org/officeDocument/2006/relationships/hyperlink" Target="https://www.sciencedirect.com/science/article/pii/S0925231217302023" TargetMode="External"/><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hyperlink" Target="https://www.clinicalkey.es/playcontent/1-s2.0-S0091743517301354" TargetMode="External"/><Relationship Id="rId3" Type="http://schemas.openxmlformats.org/officeDocument/2006/relationships/numbering" Target="numbering.xml"/><Relationship Id="rId12" Type="http://schemas.openxmlformats.org/officeDocument/2006/relationships/hyperlink" Target="http://www.scielo.org.pe/scielo.php?script=sci_arttext&amp;pid=S1018-130X2006000200008&amp;lng=en&amp;tlng=en" TargetMode="External"/><Relationship Id="rId17" Type="http://schemas.openxmlformats.org/officeDocument/2006/relationships/hyperlink" Target="https://www.ncbi.nlm.nih.gov/pubmed/29777613" TargetMode="External"/><Relationship Id="rId25" Type="http://schemas.openxmlformats.org/officeDocument/2006/relationships/hyperlink" Target="http://www.tandfonline.com/doi/abs/10.1080/10803548.2008.11076775" TargetMode="External"/><Relationship Id="rId33" Type="http://schemas.openxmlformats.org/officeDocument/2006/relationships/hyperlink" Target="https://www.ncbi.nlm.nih.gov/pubmed/25880219" TargetMode="External"/><Relationship Id="rId38" Type="http://schemas.openxmlformats.org/officeDocument/2006/relationships/hyperlink" Target="https://www.ncbi.nlm.nih.gov/pubmed/30855601" TargetMode="External"/><Relationship Id="rId46" Type="http://schemas.openxmlformats.org/officeDocument/2006/relationships/hyperlink" Target="https://www.sciencedirect.com/science/article/pii/S016786551930008X" TargetMode="External"/><Relationship Id="rId59" Type="http://schemas.openxmlformats.org/officeDocument/2006/relationships/hyperlink" Target="https://journals.sagepub.com/doi/full/10.1177/1541931213601740" TargetMode="External"/><Relationship Id="rId20" Type="http://schemas.openxmlformats.org/officeDocument/2006/relationships/hyperlink" Target="https://www.ncbi.nlm.nih.gov/pubmed/25419874" TargetMode="External"/><Relationship Id="rId41" Type="http://schemas.openxmlformats.org/officeDocument/2006/relationships/hyperlink" Target="https://www.sciencedirect.com/science/article/pii/S092658051830013X" TargetMode="External"/><Relationship Id="rId54" Type="http://schemas.openxmlformats.org/officeDocument/2006/relationships/hyperlink" Target="https://www.sciencedirect.com/science/article/pii/S0747563215001119" TargetMode="External"/><Relationship Id="rId62" Type="http://schemas.openxmlformats.org/officeDocument/2006/relationships/header" Target="header2.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hyperlink" Target="http://dialnet.unirioja.es/servlet/oaiart?codigo=2995368" TargetMode="External"/><Relationship Id="rId23" Type="http://schemas.openxmlformats.org/officeDocument/2006/relationships/hyperlink" Target="https://jlc.jst.go.jp/DN/JALC/10012789718?from=SUMMON" TargetMode="External"/><Relationship Id="rId28" Type="http://schemas.openxmlformats.org/officeDocument/2006/relationships/hyperlink" Target="https://www-cambridge-org.ezproxy.javeriana.edu.co/core/article/workrelated-unintentional-injuries-associated-with-hurricane-sandy-in-new-jersey/AB0220A1F1E274EA41B0C2A33D0F2DCB" TargetMode="External"/><Relationship Id="rId36" Type="http://schemas.openxmlformats.org/officeDocument/2006/relationships/hyperlink" Target="https://www.sciencedirect.com/science/article/pii/S0361476X10000536" TargetMode="External"/><Relationship Id="rId49" Type="http://schemas.openxmlformats.org/officeDocument/2006/relationships/hyperlink" Target="http://dl.acm.org/citation.cfm?id=2661812" TargetMode="External"/><Relationship Id="rId57" Type="http://schemas.openxmlformats.org/officeDocument/2006/relationships/hyperlink" Target="https://ieeexplore.ieee.org/document/7812588" TargetMode="External"/><Relationship Id="rId10" Type="http://schemas.openxmlformats.org/officeDocument/2006/relationships/hyperlink" Target="https://www.ilo.org/global/lang--es/index.htm" TargetMode="External"/><Relationship Id="rId31" Type="http://schemas.openxmlformats.org/officeDocument/2006/relationships/hyperlink" Target="http://www.scielo.br/scielo.php?script=sci_arttext&amp;pid=S0102-311X2014001002219&amp;lng=en&amp;tlng=en" TargetMode="External"/><Relationship Id="rId44" Type="http://schemas.openxmlformats.org/officeDocument/2006/relationships/hyperlink" Target="https://arxiv.org/abs/1604.03489" TargetMode="External"/><Relationship Id="rId52" Type="http://schemas.openxmlformats.org/officeDocument/2006/relationships/hyperlink" Target="https://www.sciencedirect.com/science/article/pii/S0190740916302055" TargetMode="External"/><Relationship Id="rId60" Type="http://schemas.openxmlformats.org/officeDocument/2006/relationships/hyperlink" Target="https://journals.sagepub.com/doi/full/10.1177/0018720817753907" TargetMode="External"/><Relationship Id="rId4" Type="http://schemas.openxmlformats.org/officeDocument/2006/relationships/styles" Target="styles.xml"/><Relationship Id="rId9" Type="http://schemas.openxmlformats.org/officeDocument/2006/relationships/chart" Target="charts/chart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oleObject" Target="Libro1" TargetMode="External"/><Relationship Id="rId2" Type="http://schemas.microsoft.com/office/2011/relationships/chartColorStyle" Target="colors1.xml"/><Relationship Id="rId1" Type="http://schemas.microsoft.com/office/2011/relationships/chartStyle" Target="style1.xml"/></Relationships>
</file>

<file path=word/charts/chart1.xml><?xml version="1.0" encoding="utf-8"?>
<c:chartSpace xmlns:c="http://schemas.openxmlformats.org/drawingml/2006/chart" xmlns:a="http://schemas.openxmlformats.org/drawingml/2006/main" xmlns:r="http://schemas.openxmlformats.org/officeDocument/2006/relationships" xmlns:c16r2="http://schemas.microsoft.com/office/drawing/2015/06/chart">
  <c:date1904 val="0"/>
  <c:lang val="es-ES"/>
  <c:roundedCorners val="0"/>
  <mc:AlternateContent xmlns:mc="http://schemas.openxmlformats.org/markup-compatibility/2006">
    <mc:Choice xmlns:c14="http://schemas.microsoft.com/office/drawing/2007/8/2/chart" Requires="c14">
      <c14:style val="102"/>
    </mc:Choice>
    <mc:Fallback>
      <c:style val="2"/>
    </mc:Fallback>
  </mc:AlternateContent>
  <c:chart>
    <c:autoTitleDeleted val="0"/>
    <c:plotArea>
      <c:layout>
        <c:manualLayout>
          <c:layoutTarget val="inner"/>
          <c:xMode val="edge"/>
          <c:yMode val="edge"/>
          <c:x val="0.12130488978846299"/>
          <c:y val="5.0925925925925923E-2"/>
          <c:w val="0.83919667760965611"/>
          <c:h val="0.74915135608048999"/>
        </c:manualLayout>
      </c:layout>
      <c:scatterChart>
        <c:scatterStyle val="lineMarker"/>
        <c:varyColors val="0"/>
        <c:ser>
          <c:idx val="0"/>
          <c:order val="0"/>
          <c:tx>
            <c:strRef>
              <c:f>Hoja1!$F$1</c:f>
              <c:strCache>
                <c:ptCount val="1"/>
                <c:pt idx="0">
                  <c:v>Colombia</c:v>
                </c:pt>
              </c:strCache>
            </c:strRef>
          </c:tx>
          <c:spPr>
            <a:ln w="9525" cap="flat" cmpd="sng" algn="ctr">
              <a:solidFill>
                <a:schemeClr val="accent1">
                  <a:alpha val="70000"/>
                </a:schemeClr>
              </a:solidFill>
              <a:prstDash val="sysDot"/>
              <a:round/>
            </a:ln>
            <a:effectLst/>
          </c:spPr>
          <c:marker>
            <c:symbol val="circle"/>
            <c:size val="5"/>
            <c:spPr>
              <a:gradFill rotWithShape="1">
                <a:gsLst>
                  <a:gs pos="0">
                    <a:schemeClr val="accent1">
                      <a:lumMod val="110000"/>
                      <a:satMod val="105000"/>
                      <a:tint val="67000"/>
                    </a:schemeClr>
                  </a:gs>
                  <a:gs pos="50000">
                    <a:schemeClr val="accent1">
                      <a:lumMod val="105000"/>
                      <a:satMod val="103000"/>
                      <a:tint val="73000"/>
                    </a:schemeClr>
                  </a:gs>
                  <a:gs pos="100000">
                    <a:schemeClr val="accent1">
                      <a:lumMod val="105000"/>
                      <a:satMod val="109000"/>
                      <a:tint val="81000"/>
                    </a:schemeClr>
                  </a:gs>
                </a:gsLst>
                <a:lin ang="5400000" scaled="0"/>
              </a:gradFill>
              <a:ln w="9525" cap="flat" cmpd="sng" algn="ctr">
                <a:solidFill>
                  <a:schemeClr val="accent1">
                    <a:shade val="95000"/>
                  </a:schemeClr>
                </a:solidFill>
                <a:round/>
              </a:ln>
              <a:effectLst/>
            </c:spPr>
          </c:marker>
          <c:dLbls>
            <c:dLbl>
              <c:idx val="6"/>
              <c:layout>
                <c:manualLayout>
                  <c:x val="-2.5493945188016912E-3"/>
                  <c:y val="-2.9090909090909091E-2"/>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0-C7FA-4A71-977A-EA25E7B8F8EE}"/>
                </c:ext>
              </c:extLst>
            </c:dLbl>
            <c:dLbl>
              <c:idx val="7"/>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1-C7FA-4A71-977A-EA25E7B8F8EE}"/>
                </c:ext>
              </c:extLst>
            </c:dLbl>
            <c:dLbl>
              <c:idx val="8"/>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2-C7FA-4A71-977A-EA25E7B8F8EE}"/>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65000"/>
                        <a:lumOff val="35000"/>
                      </a:schemeClr>
                    </a:solidFill>
                    <a:latin typeface="+mn-lt"/>
                    <a:ea typeface="+mn-ea"/>
                    <a:cs typeface="+mn-cs"/>
                  </a:defRPr>
                </a:pPr>
                <a:endParaRPr lang="es-CO"/>
              </a:p>
            </c:txPr>
            <c:showLegendKey val="0"/>
            <c:showVal val="0"/>
            <c:showCatName val="0"/>
            <c:showSerName val="0"/>
            <c:showPercent val="0"/>
            <c:showBubbleSize val="0"/>
            <c:extLst>
              <c:ext xmlns:c15="http://schemas.microsoft.com/office/drawing/2012/chart" uri="{CE6537A1-D6FC-4f65-9D91-7224C49458BB}">
                <c15:showLeaderLines val="1"/>
                <c15:leaderLines>
                  <c:spPr>
                    <a:ln w="9525" cap="rnd">
                      <a:solidFill>
                        <a:schemeClr val="dk1">
                          <a:lumMod val="35000"/>
                          <a:lumOff val="65000"/>
                        </a:schemeClr>
                      </a:solidFill>
                      <a:round/>
                    </a:ln>
                    <a:effectLst/>
                  </c:spPr>
                </c15:leaderLines>
              </c:ext>
            </c:extLst>
          </c:dLbls>
          <c:trendline>
            <c:spPr>
              <a:ln w="9525" cap="rnd">
                <a:solidFill>
                  <a:schemeClr val="accent1"/>
                </a:solidFill>
              </a:ln>
              <a:effectLst/>
            </c:spPr>
            <c:trendlineType val="linear"/>
            <c:dispRSqr val="0"/>
            <c:dispEq val="0"/>
          </c:trendline>
          <c:xVal>
            <c:numRef>
              <c:f>Hoja1!$E$2:$E$10</c:f>
              <c:numCache>
                <c:formatCode>@</c:formatCode>
                <c:ptCount val="9"/>
                <c:pt idx="0">
                  <c:v>2009</c:v>
                </c:pt>
                <c:pt idx="1">
                  <c:v>2010</c:v>
                </c:pt>
                <c:pt idx="2">
                  <c:v>2011</c:v>
                </c:pt>
                <c:pt idx="3">
                  <c:v>2012</c:v>
                </c:pt>
                <c:pt idx="4">
                  <c:v>2013</c:v>
                </c:pt>
                <c:pt idx="5">
                  <c:v>2014</c:v>
                </c:pt>
                <c:pt idx="6">
                  <c:v>2015</c:v>
                </c:pt>
                <c:pt idx="7">
                  <c:v>2016</c:v>
                </c:pt>
                <c:pt idx="8">
                  <c:v>2017</c:v>
                </c:pt>
              </c:numCache>
            </c:numRef>
          </c:xVal>
          <c:yVal>
            <c:numRef>
              <c:f>Hoja1!$F$2:$F$10</c:f>
              <c:numCache>
                <c:formatCode>General</c:formatCode>
                <c:ptCount val="9"/>
                <c:pt idx="0">
                  <c:v>329</c:v>
                </c:pt>
                <c:pt idx="1">
                  <c:v>307</c:v>
                </c:pt>
                <c:pt idx="2">
                  <c:v>338</c:v>
                </c:pt>
                <c:pt idx="3">
                  <c:v>331</c:v>
                </c:pt>
                <c:pt idx="4">
                  <c:v>298</c:v>
                </c:pt>
                <c:pt idx="5" formatCode="#,##0">
                  <c:v>1021</c:v>
                </c:pt>
                <c:pt idx="6" formatCode="#,##0">
                  <c:v>1346</c:v>
                </c:pt>
                <c:pt idx="7">
                  <c:v>874</c:v>
                </c:pt>
                <c:pt idx="8" formatCode="#,##0">
                  <c:v>1078</c:v>
                </c:pt>
              </c:numCache>
            </c:numRef>
          </c:yVal>
          <c:smooth val="0"/>
          <c:extLst>
            <c:ext xmlns:c16="http://schemas.microsoft.com/office/drawing/2014/chart" uri="{C3380CC4-5D6E-409C-BE32-E72D297353CC}">
              <c16:uniqueId val="{00000004-C7FA-4A71-977A-EA25E7B8F8EE}"/>
            </c:ext>
          </c:extLst>
        </c:ser>
        <c:ser>
          <c:idx val="1"/>
          <c:order val="1"/>
          <c:tx>
            <c:strRef>
              <c:f>Hoja1!$G$1</c:f>
              <c:strCache>
                <c:ptCount val="1"/>
                <c:pt idx="0">
                  <c:v>Ciudad de Bogotá</c:v>
                </c:pt>
              </c:strCache>
            </c:strRef>
          </c:tx>
          <c:spPr>
            <a:ln w="9525" cap="flat" cmpd="sng" algn="ctr">
              <a:solidFill>
                <a:schemeClr val="accent2">
                  <a:alpha val="70000"/>
                </a:schemeClr>
              </a:solidFill>
              <a:prstDash val="sysDot"/>
              <a:round/>
            </a:ln>
            <a:effectLst/>
          </c:spPr>
          <c:marker>
            <c:symbol val="circle"/>
            <c:size val="5"/>
            <c:spPr>
              <a:gradFill rotWithShape="1">
                <a:gsLst>
                  <a:gs pos="0">
                    <a:schemeClr val="accent2">
                      <a:lumMod val="110000"/>
                      <a:satMod val="105000"/>
                      <a:tint val="67000"/>
                    </a:schemeClr>
                  </a:gs>
                  <a:gs pos="50000">
                    <a:schemeClr val="accent2">
                      <a:lumMod val="105000"/>
                      <a:satMod val="103000"/>
                      <a:tint val="73000"/>
                    </a:schemeClr>
                  </a:gs>
                  <a:gs pos="100000">
                    <a:schemeClr val="accent2">
                      <a:lumMod val="105000"/>
                      <a:satMod val="109000"/>
                      <a:tint val="81000"/>
                    </a:schemeClr>
                  </a:gs>
                </a:gsLst>
                <a:lin ang="5400000" scaled="0"/>
              </a:gradFill>
              <a:ln w="9525" cap="flat" cmpd="sng" algn="ctr">
                <a:solidFill>
                  <a:schemeClr val="accent2">
                    <a:shade val="95000"/>
                  </a:schemeClr>
                </a:solidFill>
                <a:round/>
              </a:ln>
              <a:effectLst/>
            </c:spPr>
          </c:marker>
          <c:dLbls>
            <c:dLbl>
              <c:idx val="6"/>
              <c:layout>
                <c:manualLayout>
                  <c:x val="0"/>
                  <c:y val="-4.363636363636364E-2"/>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5-C7FA-4A71-977A-EA25E7B8F8EE}"/>
                </c:ext>
              </c:extLst>
            </c:dLbl>
            <c:dLbl>
              <c:idx val="7"/>
              <c:layout>
                <c:manualLayout>
                  <c:x val="-9.5784334104225648E-17"/>
                  <c:y val="-4.8387096774193644E-2"/>
                </c:manualLayout>
              </c:layout>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6-C7FA-4A71-977A-EA25E7B8F8EE}"/>
                </c:ext>
              </c:extLst>
            </c:dLbl>
            <c:dLbl>
              <c:idx val="8"/>
              <c:showLegendKey val="0"/>
              <c:showVal val="1"/>
              <c:showCatName val="0"/>
              <c:showSerName val="0"/>
              <c:showPercent val="0"/>
              <c:showBubbleSize val="0"/>
              <c:extLst>
                <c:ext xmlns:c15="http://schemas.microsoft.com/office/drawing/2012/chart" uri="{CE6537A1-D6FC-4f65-9D91-7224C49458BB}"/>
                <c:ext xmlns:c16="http://schemas.microsoft.com/office/drawing/2014/chart" uri="{C3380CC4-5D6E-409C-BE32-E72D297353CC}">
                  <c16:uniqueId val="{00000007-C7FA-4A71-977A-EA25E7B8F8EE}"/>
                </c:ext>
              </c:extLst>
            </c:dLbl>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dk1">
                        <a:lumMod val="65000"/>
                        <a:lumOff val="35000"/>
                      </a:schemeClr>
                    </a:solidFill>
                    <a:latin typeface="+mn-lt"/>
                    <a:ea typeface="+mn-ea"/>
                    <a:cs typeface="+mn-cs"/>
                  </a:defRPr>
                </a:pPr>
                <a:endParaRPr lang="es-CO"/>
              </a:p>
            </c:txPr>
            <c:showLegendKey val="0"/>
            <c:showVal val="0"/>
            <c:showCatName val="0"/>
            <c:showSerName val="0"/>
            <c:showPercent val="0"/>
            <c:showBubbleSize val="0"/>
            <c:extLst>
              <c:ext xmlns:c15="http://schemas.microsoft.com/office/drawing/2012/chart" uri="{CE6537A1-D6FC-4f65-9D91-7224C49458BB}">
                <c15:showLeaderLines val="1"/>
                <c15:leaderLines>
                  <c:spPr>
                    <a:ln w="9525" cap="rnd">
                      <a:solidFill>
                        <a:schemeClr val="dk1">
                          <a:lumMod val="35000"/>
                          <a:lumOff val="65000"/>
                        </a:schemeClr>
                      </a:solidFill>
                      <a:round/>
                    </a:ln>
                    <a:effectLst/>
                  </c:spPr>
                </c15:leaderLines>
              </c:ext>
            </c:extLst>
          </c:dLbls>
          <c:trendline>
            <c:spPr>
              <a:ln w="9525" cap="rnd">
                <a:solidFill>
                  <a:schemeClr val="accent2"/>
                </a:solidFill>
              </a:ln>
              <a:effectLst/>
            </c:spPr>
            <c:trendlineType val="linear"/>
            <c:dispRSqr val="0"/>
            <c:dispEq val="0"/>
          </c:trendline>
          <c:xVal>
            <c:numRef>
              <c:f>Hoja1!$E$2:$E$10</c:f>
              <c:numCache>
                <c:formatCode>@</c:formatCode>
                <c:ptCount val="9"/>
                <c:pt idx="0">
                  <c:v>2009</c:v>
                </c:pt>
                <c:pt idx="1">
                  <c:v>2010</c:v>
                </c:pt>
                <c:pt idx="2">
                  <c:v>2011</c:v>
                </c:pt>
                <c:pt idx="3">
                  <c:v>2012</c:v>
                </c:pt>
                <c:pt idx="4">
                  <c:v>2013</c:v>
                </c:pt>
                <c:pt idx="5">
                  <c:v>2014</c:v>
                </c:pt>
                <c:pt idx="6">
                  <c:v>2015</c:v>
                </c:pt>
                <c:pt idx="7">
                  <c:v>2016</c:v>
                </c:pt>
                <c:pt idx="8">
                  <c:v>2017</c:v>
                </c:pt>
              </c:numCache>
            </c:numRef>
          </c:xVal>
          <c:yVal>
            <c:numRef>
              <c:f>Hoja1!$G$2:$G$10</c:f>
              <c:numCache>
                <c:formatCode>General</c:formatCode>
                <c:ptCount val="9"/>
                <c:pt idx="0">
                  <c:v>59</c:v>
                </c:pt>
                <c:pt idx="1">
                  <c:v>56</c:v>
                </c:pt>
                <c:pt idx="2">
                  <c:v>39</c:v>
                </c:pt>
                <c:pt idx="3">
                  <c:v>49</c:v>
                </c:pt>
                <c:pt idx="4">
                  <c:v>45</c:v>
                </c:pt>
                <c:pt idx="5">
                  <c:v>119</c:v>
                </c:pt>
                <c:pt idx="6">
                  <c:v>172</c:v>
                </c:pt>
                <c:pt idx="7">
                  <c:v>151</c:v>
                </c:pt>
                <c:pt idx="8">
                  <c:v>165</c:v>
                </c:pt>
              </c:numCache>
            </c:numRef>
          </c:yVal>
          <c:smooth val="0"/>
          <c:extLst>
            <c:ext xmlns:c16="http://schemas.microsoft.com/office/drawing/2014/chart" uri="{C3380CC4-5D6E-409C-BE32-E72D297353CC}">
              <c16:uniqueId val="{00000009-C7FA-4A71-977A-EA25E7B8F8EE}"/>
            </c:ext>
          </c:extLst>
        </c:ser>
        <c:dLbls>
          <c:showLegendKey val="0"/>
          <c:showVal val="0"/>
          <c:showCatName val="0"/>
          <c:showSerName val="0"/>
          <c:showPercent val="0"/>
          <c:showBubbleSize val="0"/>
        </c:dLbls>
        <c:axId val="-338377280"/>
        <c:axId val="-338379456"/>
      </c:scatterChart>
      <c:valAx>
        <c:axId val="-338377280"/>
        <c:scaling>
          <c:orientation val="minMax"/>
        </c:scaling>
        <c:delete val="0"/>
        <c:axPos val="b"/>
        <c:majorGridlines>
          <c:spPr>
            <a:ln w="9525" cap="flat" cmpd="sng" algn="ctr">
              <a:solidFill>
                <a:schemeClr val="dk1">
                  <a:lumMod val="15000"/>
                  <a:lumOff val="85000"/>
                </a:schemeClr>
              </a:solidFill>
              <a:round/>
            </a:ln>
            <a:effectLst/>
          </c:spPr>
        </c:majorGridlines>
        <c:minorGridlines>
          <c:spPr>
            <a:ln w="9525" cap="flat" cmpd="sng" algn="ctr">
              <a:solidFill>
                <a:schemeClr val="dk1">
                  <a:lumMod val="5000"/>
                  <a:lumOff val="95000"/>
                </a:schemeClr>
              </a:solidFill>
              <a:round/>
            </a:ln>
            <a:effectLst/>
          </c:spPr>
        </c:minorGridlines>
        <c:title>
          <c:tx>
            <c:rich>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r>
                  <a:rPr lang="es-CO">
                    <a:solidFill>
                      <a:schemeClr val="tx1"/>
                    </a:solidFill>
                  </a:rPr>
                  <a:t>Año</a:t>
                </a:r>
              </a:p>
            </c:rich>
          </c:tx>
          <c:overlay val="0"/>
          <c:spPr>
            <a:noFill/>
            <a:ln>
              <a:noFill/>
            </a:ln>
            <a:effectLst/>
          </c:spPr>
          <c:txPr>
            <a:bodyPr rot="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s-CO"/>
            </a:p>
          </c:txPr>
        </c:title>
        <c:numFmt formatCode="@" sourceLinked="1"/>
        <c:majorTickMark val="out"/>
        <c:minorTickMark val="none"/>
        <c:tickLblPos val="nextTo"/>
        <c:spPr>
          <a:noFill/>
          <a:ln w="9525" cap="rnd">
            <a:solidFill>
              <a:schemeClr val="dk1">
                <a:lumMod val="20000"/>
                <a:lumOff val="80000"/>
              </a:schemeClr>
            </a:solidFill>
            <a:round/>
          </a:ln>
          <a:effectLst/>
        </c:spPr>
        <c:txPr>
          <a:bodyPr rot="-60000000" spcFirstLastPara="1" vertOverflow="ellipsis" vert="horz" wrap="square" anchor="ctr" anchorCtr="1"/>
          <a:lstStyle/>
          <a:p>
            <a:pPr>
              <a:defRPr sz="900" b="0" i="0" u="none" strike="noStrike" kern="1200" spc="0" baseline="0">
                <a:solidFill>
                  <a:schemeClr val="tx1"/>
                </a:solidFill>
                <a:latin typeface="+mn-lt"/>
                <a:ea typeface="+mn-ea"/>
                <a:cs typeface="+mn-cs"/>
              </a:defRPr>
            </a:pPr>
            <a:endParaRPr lang="es-CO"/>
          </a:p>
        </c:txPr>
        <c:crossAx val="-338379456"/>
        <c:crosses val="autoZero"/>
        <c:crossBetween val="midCat"/>
      </c:valAx>
      <c:valAx>
        <c:axId val="-338379456"/>
        <c:scaling>
          <c:orientation val="minMax"/>
        </c:scaling>
        <c:delete val="0"/>
        <c:axPos val="l"/>
        <c:majorGridlines>
          <c:spPr>
            <a:ln w="9525" cap="flat" cmpd="sng" algn="ctr">
              <a:solidFill>
                <a:schemeClr val="dk1">
                  <a:lumMod val="15000"/>
                  <a:lumOff val="85000"/>
                </a:schemeClr>
              </a:solidFill>
              <a:round/>
            </a:ln>
            <a:effectLst/>
          </c:spPr>
        </c:majorGridlines>
        <c:minorGridlines>
          <c:spPr>
            <a:ln w="9525" cap="flat" cmpd="sng" algn="ctr">
              <a:solidFill>
                <a:schemeClr val="dk1">
                  <a:lumMod val="5000"/>
                  <a:lumOff val="95000"/>
                </a:schemeClr>
              </a:solidFill>
              <a:round/>
            </a:ln>
            <a:effectLst/>
          </c:spPr>
        </c:minorGridlines>
        <c:title>
          <c:tx>
            <c:rich>
              <a:bodyPr rot="-5400000" spcFirstLastPara="1" vertOverflow="ellipsis" vert="horz" wrap="square" anchor="ctr" anchorCtr="1"/>
              <a:lstStyle/>
              <a:p>
                <a:pPr>
                  <a:defRPr sz="900" b="0" i="0" u="none" strike="noStrike" kern="1200" baseline="0">
                    <a:solidFill>
                      <a:schemeClr val="tx1"/>
                    </a:solidFill>
                    <a:latin typeface="+mn-lt"/>
                    <a:ea typeface="+mn-ea"/>
                    <a:cs typeface="+mn-cs"/>
                  </a:defRPr>
                </a:pPr>
                <a:r>
                  <a:rPr lang="en-US">
                    <a:solidFill>
                      <a:schemeClr val="tx1"/>
                    </a:solidFill>
                  </a:rPr>
                  <a:t>Cantidad</a:t>
                </a:r>
                <a:r>
                  <a:rPr lang="en-US" baseline="0">
                    <a:solidFill>
                      <a:schemeClr val="tx1"/>
                    </a:solidFill>
                  </a:rPr>
                  <a:t> de casos </a:t>
                </a:r>
                <a:endParaRPr lang="en-US">
                  <a:solidFill>
                    <a:schemeClr val="tx1"/>
                  </a:solidFill>
                </a:endParaRPr>
              </a:p>
            </c:rich>
          </c:tx>
          <c:layout>
            <c:manualLayout>
              <c:xMode val="edge"/>
              <c:yMode val="edge"/>
              <c:x val="1.1114677447626072E-2"/>
              <c:y val="0.18313469063972537"/>
            </c:manualLayout>
          </c:layout>
          <c:overlay val="0"/>
          <c:spPr>
            <a:noFill/>
            <a:ln>
              <a:noFill/>
            </a:ln>
            <a:effectLst/>
          </c:spPr>
          <c:txPr>
            <a:bodyPr rot="-5400000" spcFirstLastPara="1" vertOverflow="ellipsis" vert="horz" wrap="square" anchor="ctr" anchorCtr="1"/>
            <a:lstStyle/>
            <a:p>
              <a:pPr>
                <a:defRPr sz="900" b="0" i="0" u="none" strike="noStrike" kern="1200" baseline="0">
                  <a:solidFill>
                    <a:schemeClr val="tx1"/>
                  </a:solidFill>
                  <a:latin typeface="+mn-lt"/>
                  <a:ea typeface="+mn-ea"/>
                  <a:cs typeface="+mn-cs"/>
                </a:defRPr>
              </a:pPr>
              <a:endParaRPr lang="es-CO"/>
            </a:p>
          </c:txPr>
        </c:title>
        <c:numFmt formatCode="General" sourceLinked="1"/>
        <c:majorTickMark val="out"/>
        <c:minorTickMark val="none"/>
        <c:tickLblPos val="nextTo"/>
        <c:spPr>
          <a:noFill/>
          <a:ln w="9525" cap="rnd">
            <a:solidFill>
              <a:schemeClr val="dk1">
                <a:lumMod val="25000"/>
                <a:lumOff val="75000"/>
              </a:schemeClr>
            </a:solidFill>
            <a:round/>
          </a:ln>
          <a:effectLst/>
        </c:spPr>
        <c:txPr>
          <a:bodyPr rot="-60000000" spcFirstLastPara="1" vertOverflow="ellipsis" vert="horz" wrap="square" anchor="ctr" anchorCtr="1"/>
          <a:lstStyle/>
          <a:p>
            <a:pPr>
              <a:defRPr sz="900" b="0" i="0" u="none" strike="noStrike" kern="1200" spc="0" baseline="0">
                <a:solidFill>
                  <a:schemeClr val="tx1"/>
                </a:solidFill>
                <a:latin typeface="+mn-lt"/>
                <a:ea typeface="+mn-ea"/>
                <a:cs typeface="+mn-cs"/>
              </a:defRPr>
            </a:pPr>
            <a:endParaRPr lang="es-CO"/>
          </a:p>
        </c:txPr>
        <c:crossAx val="-338377280"/>
        <c:crosses val="autoZero"/>
        <c:crossBetween val="midCat"/>
      </c:valAx>
      <c:spPr>
        <a:gradFill>
          <a:gsLst>
            <a:gs pos="100000">
              <a:schemeClr val="lt1">
                <a:lumMod val="95000"/>
              </a:schemeClr>
            </a:gs>
            <a:gs pos="0">
              <a:schemeClr val="lt1">
                <a:alpha val="0"/>
              </a:schemeClr>
            </a:gs>
          </a:gsLst>
          <a:lin ang="5400000" scaled="0"/>
        </a:gradFill>
        <a:ln>
          <a:noFill/>
        </a:ln>
        <a:effectLst/>
      </c:spPr>
    </c:plotArea>
    <c:legend>
      <c:legendPos val="r"/>
      <c:legendEntry>
        <c:idx val="2"/>
        <c:delete val="1"/>
      </c:legendEntry>
      <c:legendEntry>
        <c:idx val="3"/>
        <c:delete val="1"/>
      </c:legendEntry>
      <c:layout>
        <c:manualLayout>
          <c:xMode val="edge"/>
          <c:yMode val="edge"/>
          <c:x val="0.14131760175746055"/>
          <c:y val="0.13801510653195176"/>
          <c:w val="0.26026848938337777"/>
          <c:h val="0.1636375089477452"/>
        </c:manualLayout>
      </c:layout>
      <c:overlay val="0"/>
      <c:spPr>
        <a:solidFill>
          <a:schemeClr val="bg1"/>
        </a:solidFill>
        <a:ln>
          <a:solidFill>
            <a:schemeClr val="accent1"/>
          </a:solidFill>
        </a:ln>
        <a:effectLst/>
      </c:spPr>
      <c:txPr>
        <a:bodyPr rot="0" spcFirstLastPara="1" vertOverflow="ellipsis" vert="horz" wrap="square" anchor="ctr" anchorCtr="1"/>
        <a:lstStyle/>
        <a:p>
          <a:pPr>
            <a:defRPr sz="900" b="0" i="0" u="none" strike="noStrike" kern="1200" spc="0" baseline="0">
              <a:solidFill>
                <a:schemeClr val="dk1">
                  <a:lumMod val="65000"/>
                  <a:lumOff val="35000"/>
                </a:schemeClr>
              </a:solidFill>
              <a:latin typeface="+mn-lt"/>
              <a:ea typeface="+mn-ea"/>
              <a:cs typeface="+mn-cs"/>
            </a:defRPr>
          </a:pPr>
          <a:endParaRPr lang="es-CO"/>
        </a:p>
      </c:txPr>
    </c:legend>
    <c:plotVisOnly val="1"/>
    <c:dispBlanksAs val="gap"/>
    <c:extLst>
      <c:ext xmlns:c16r3="http://schemas.microsoft.com/office/drawing/2017/03/chart" uri="{56B9EC1D-385E-4148-901F-78D8002777C0}">
        <c16r3:dataDisplayOptions16>
          <c16r3:dispNaAsBlank val="1"/>
        </c16r3:dataDisplayOptions16>
      </c:ext>
    </c:extLst>
    <c:showDLblsOverMax val="0"/>
  </c:chart>
  <c:spPr>
    <a:solidFill>
      <a:schemeClr val="lt1"/>
    </a:solidFill>
    <a:ln w="9525" cap="flat" cmpd="sng" algn="ctr">
      <a:noFill/>
      <a:round/>
    </a:ln>
    <a:effectLst/>
  </c:spPr>
  <c:txPr>
    <a:bodyPr/>
    <a:lstStyle/>
    <a:p>
      <a:pPr>
        <a:defRPr/>
      </a:pPr>
      <a:endParaRPr lang="es-CO"/>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46">
  <cs:axisTitle>
    <cs:lnRef idx="0"/>
    <cs:fillRef idx="0"/>
    <cs:effectRef idx="0"/>
    <cs:fontRef idx="minor">
      <a:schemeClr val="dk1">
        <a:lumMod val="65000"/>
        <a:lumOff val="35000"/>
      </a:schemeClr>
    </cs:fontRef>
    <cs:defRPr sz="900" kern="1200"/>
  </cs:axisTitle>
  <cs:categoryAxis>
    <cs:lnRef idx="0"/>
    <cs:fillRef idx="0"/>
    <cs:effectRef idx="0"/>
    <cs:fontRef idx="minor">
      <a:schemeClr val="dk1">
        <a:lumMod val="65000"/>
        <a:lumOff val="35000"/>
      </a:schemeClr>
    </cs:fontRef>
    <cs:spPr>
      <a:ln w="9525" cap="rnd">
        <a:solidFill>
          <a:schemeClr val="dk1">
            <a:lumMod val="20000"/>
            <a:lumOff val="80000"/>
          </a:schemeClr>
        </a:solidFill>
        <a:round/>
      </a:ln>
    </cs:spPr>
    <cs:defRPr sz="900" kern="1200"/>
  </cs:categoryAxis>
  <cs:chartArea mods="allowNoLineOverride">
    <cs:lnRef idx="0"/>
    <cs:fillRef idx="0"/>
    <cs:effectRef idx="0"/>
    <cs:fontRef idx="minor">
      <a:schemeClr val="dk1"/>
    </cs:fontRef>
    <cs:spPr>
      <a:solidFill>
        <a:schemeClr val="lt1"/>
      </a:solidFill>
      <a:ln w="9525" cap="flat" cmpd="sng" algn="ctr">
        <a:solidFill>
          <a:schemeClr val="dk1">
            <a:lumMod val="15000"/>
            <a:lumOff val="85000"/>
          </a:schemeClr>
        </a:solidFill>
        <a:round/>
      </a:ln>
    </cs:spPr>
    <cs:defRPr sz="900" kern="1200"/>
  </cs:chartArea>
  <cs:dataLabel>
    <cs:lnRef idx="0"/>
    <cs:fillRef idx="0"/>
    <cs:effectRef idx="0"/>
    <cs:fontRef idx="minor">
      <a:schemeClr val="dk1">
        <a:lumMod val="65000"/>
        <a:lumOff val="3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
  <cs:dataPoint3D>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3D>
  <cs:dataPointLine>
    <cs:lnRef idx="0">
      <cs:styleClr val="auto"/>
    </cs:lnRef>
    <cs:fillRef idx="2"/>
    <cs:effectRef idx="1"/>
    <cs:fontRef idx="minor">
      <a:schemeClr val="dk1"/>
    </cs:fontRef>
    <cs:spPr>
      <a:ln w="9525" cap="flat" cmpd="sng" algn="ctr">
        <a:solidFill>
          <a:schemeClr val="phClr">
            <a:alpha val="70000"/>
          </a:schemeClr>
        </a:solidFill>
        <a:prstDash val="sysDot"/>
        <a:round/>
      </a:ln>
    </cs:spPr>
  </cs:dataPointLine>
  <cs:dataPointMarker>
    <cs:lnRef idx="0">
      <cs:styleClr val="auto"/>
    </cs:lnRef>
    <cs:fillRef idx="2">
      <cs:styleClr val="auto"/>
    </cs:fillRef>
    <cs:effectRef idx="1"/>
    <cs:fontRef idx="minor">
      <a:schemeClr val="dk1"/>
    </cs:fontRef>
    <cs:spPr>
      <a:ln w="9525" cap="flat" cmpd="sng" algn="ctr">
        <a:solidFill>
          <a:schemeClr val="phClr">
            <a:shade val="95000"/>
          </a:schemeClr>
        </a:solidFill>
        <a:round/>
      </a:ln>
    </cs:spPr>
  </cs:dataPointMarker>
  <cs:dataPointMarkerLayout symbol="circle" size="5"/>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dk1">
        <a:lumMod val="65000"/>
        <a:lumOff val="35000"/>
      </a:schemeClr>
    </cs:fontRef>
    <cs:spPr>
      <a:ln w="9525" cap="rnd">
        <a:solidFill>
          <a:schemeClr val="dk1">
            <a:lumMod val="15000"/>
            <a:lumOff val="85000"/>
          </a:schemeClr>
        </a:solidFill>
        <a:round/>
      </a:ln>
    </cs:spPr>
    <cs:defRPr sz="900" kern="1200"/>
  </cs:dataTable>
  <cs:downBar>
    <cs:lnRef idx="0"/>
    <cs:fillRef idx="0"/>
    <cs:effectRef idx="0"/>
    <cs:fontRef idx="minor">
      <a:schemeClr val="dk1"/>
    </cs:fontRef>
    <cs:spPr>
      <a:solidFill>
        <a:schemeClr val="dk1">
          <a:lumMod val="75000"/>
          <a:lumOff val="25000"/>
        </a:schemeClr>
      </a:solidFill>
      <a:ln w="9525" cap="rnd">
        <a:solidFill>
          <a:schemeClr val="dk1">
            <a:lumMod val="65000"/>
            <a:lumOff val="35000"/>
          </a:schemeClr>
        </a:solidFill>
        <a:round/>
      </a:ln>
    </cs:spPr>
  </cs:downBar>
  <cs:dropLine>
    <cs:lnRef idx="0"/>
    <cs:fillRef idx="0"/>
    <cs:effectRef idx="0"/>
    <cs:fontRef idx="minor">
      <a:schemeClr val="dk1"/>
    </cs:fontRef>
    <cs:spPr>
      <a:ln w="9525" cap="rnd">
        <a:solidFill>
          <a:schemeClr val="dk1">
            <a:lumMod val="35000"/>
            <a:lumOff val="65000"/>
          </a:schemeClr>
        </a:solidFill>
        <a:round/>
      </a:ln>
    </cs:spPr>
  </cs:dropLine>
  <cs:errorBar>
    <cs:lnRef idx="0"/>
    <cs:fillRef idx="0"/>
    <cs:effectRef idx="0"/>
    <cs:fontRef idx="minor">
      <a:schemeClr val="dk1"/>
    </cs:fontRef>
    <cs:spPr>
      <a:ln w="9525" cap="rnd">
        <a:solidFill>
          <a:schemeClr val="dk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dk1">
            <a:lumMod val="15000"/>
            <a:lumOff val="85000"/>
          </a:schemeClr>
        </a:solidFill>
        <a:round/>
      </a:ln>
    </cs:spPr>
  </cs:gridlineMajor>
  <cs:gridlineMinor>
    <cs:lnRef idx="0"/>
    <cs:fillRef idx="0"/>
    <cs:effectRef idx="0"/>
    <cs:fontRef idx="minor">
      <a:schemeClr val="dk1"/>
    </cs:fontRef>
    <cs:spPr>
      <a:ln w="9525" cap="flat" cmpd="sng" algn="ctr">
        <a:solidFill>
          <a:schemeClr val="dk1">
            <a:lumMod val="5000"/>
            <a:lumOff val="95000"/>
          </a:schemeClr>
        </a:solidFill>
        <a:round/>
      </a:ln>
    </cs:spPr>
  </cs:gridlineMinor>
  <cs:hiLoLine>
    <cs:lnRef idx="0"/>
    <cs:fillRef idx="0"/>
    <cs:effectRef idx="0"/>
    <cs:fontRef idx="minor">
      <a:schemeClr val="dk1"/>
    </cs:fontRef>
    <cs:spPr>
      <a:ln w="9525" cap="rnd">
        <a:solidFill>
          <a:schemeClr val="dk1">
            <a:lumMod val="35000"/>
            <a:lumOff val="65000"/>
          </a:schemeClr>
        </a:solidFill>
        <a:round/>
      </a:ln>
    </cs:spPr>
  </cs:hiLoLine>
  <cs:leaderLine>
    <cs:lnRef idx="0"/>
    <cs:fillRef idx="0"/>
    <cs:effectRef idx="0"/>
    <cs:fontRef idx="minor">
      <a:schemeClr val="dk1"/>
    </cs:fontRef>
    <cs:spPr>
      <a:ln w="9525" cap="rnd">
        <a:solidFill>
          <a:schemeClr val="dk1">
            <a:lumMod val="35000"/>
            <a:lumOff val="65000"/>
          </a:schemeClr>
        </a:solidFill>
        <a:round/>
      </a:ln>
    </cs:spPr>
  </cs:leaderLine>
  <cs:legend>
    <cs:lnRef idx="0"/>
    <cs:fillRef idx="0"/>
    <cs:effectRef idx="0"/>
    <cs:fontRef idx="minor">
      <a:schemeClr val="dk1">
        <a:lumMod val="65000"/>
        <a:lumOff val="35000"/>
      </a:schemeClr>
    </cs:fontRef>
    <cs:defRPr sz="900" kern="1200" spc="0" baseline="0"/>
  </cs:legend>
  <cs:plotArea>
    <cs:lnRef idx="0"/>
    <cs:fillRef idx="0"/>
    <cs:effectRef idx="0"/>
    <cs:fontRef idx="minor">
      <a:schemeClr val="dk1"/>
    </cs:fontRef>
    <cs:spPr>
      <a:gradFill>
        <a:gsLst>
          <a:gs pos="100000">
            <a:schemeClr val="lt1">
              <a:lumMod val="95000"/>
            </a:schemeClr>
          </a:gs>
          <a:gs pos="0">
            <a:schemeClr val="lt1">
              <a:alpha val="0"/>
            </a:schemeClr>
          </a:gs>
        </a:gsLst>
        <a:lin ang="5400000" scaled="0"/>
      </a:gradFill>
    </cs:spPr>
  </cs:plotArea>
  <cs:plotArea3D>
    <cs:lnRef idx="0"/>
    <cs:fillRef idx="0"/>
    <cs:effectRef idx="0"/>
    <cs:fontRef idx="minor">
      <a:schemeClr val="dk1"/>
    </cs:fontRef>
  </cs:plotArea3D>
  <cs:seriesAxis>
    <cs:lnRef idx="0"/>
    <cs:fillRef idx="0"/>
    <cs:effectRef idx="0"/>
    <cs:fontRef idx="minor">
      <a:schemeClr val="dk1">
        <a:lumMod val="65000"/>
        <a:lumOff val="35000"/>
      </a:schemeClr>
    </cs:fontRef>
    <cs:spPr>
      <a:ln w="9525" cap="rnd">
        <a:solidFill>
          <a:schemeClr val="dk1">
            <a:lumMod val="20000"/>
            <a:lumOff val="80000"/>
          </a:schemeClr>
        </a:solidFill>
        <a:round/>
      </a:ln>
    </cs:spPr>
    <cs:defRPr sz="900" kern="1200"/>
  </cs:seriesAxis>
  <cs:seriesLine>
    <cs:lnRef idx="0"/>
    <cs:fillRef idx="0"/>
    <cs:effectRef idx="0"/>
    <cs:fontRef idx="minor">
      <a:schemeClr val="dk1"/>
    </cs:fontRef>
    <cs:spPr>
      <a:ln w="9525" cap="rnd">
        <a:solidFill>
          <a:schemeClr val="dk1">
            <a:lumMod val="35000"/>
            <a:lumOff val="65000"/>
          </a:schemeClr>
        </a:solidFill>
        <a:round/>
      </a:ln>
    </cs:spPr>
  </cs:seriesLine>
  <cs:title>
    <cs:lnRef idx="0"/>
    <cs:fillRef idx="0"/>
    <cs:effectRef idx="0"/>
    <cs:fontRef idx="minor">
      <a:schemeClr val="dk1">
        <a:lumMod val="50000"/>
        <a:lumOff val="50000"/>
      </a:schemeClr>
    </cs:fontRef>
    <cs:defRPr sz="1400" kern="1200" cap="none" spc="20" baseline="0"/>
  </cs:title>
  <cs:trendline>
    <cs:lnRef idx="0">
      <cs:styleClr val="auto"/>
    </cs:lnRef>
    <cs:fillRef idx="0"/>
    <cs:effectRef idx="0"/>
    <cs:fontRef idx="minor">
      <a:schemeClr val="dk1"/>
    </cs:fontRef>
    <cs:spPr>
      <a:ln w="9525" cap="rnd">
        <a:solidFill>
          <a:schemeClr val="phClr"/>
        </a:solidFill>
      </a:ln>
    </cs:spPr>
  </cs:trendline>
  <cs:trendlineLabel>
    <cs:lnRef idx="0"/>
    <cs:fillRef idx="0"/>
    <cs:effectRef idx="0"/>
    <cs:fontRef idx="minor">
      <a:schemeClr val="dk1">
        <a:lumMod val="65000"/>
        <a:lumOff val="35000"/>
      </a:schemeClr>
    </cs:fontRef>
    <cs:defRPr sz="900" kern="1200"/>
  </cs:trendlineLabel>
  <cs:upBar>
    <cs:lnRef idx="0"/>
    <cs:fillRef idx="0"/>
    <cs:effectRef idx="0"/>
    <cs:fontRef idx="minor">
      <a:schemeClr val="dk1"/>
    </cs:fontRef>
    <cs:spPr>
      <a:solidFill>
        <a:schemeClr val="lt1"/>
      </a:solidFill>
    </cs:spPr>
  </cs:upBar>
  <cs:valueAxis>
    <cs:lnRef idx="0"/>
    <cs:fillRef idx="0"/>
    <cs:effectRef idx="0"/>
    <cs:fontRef idx="minor">
      <a:schemeClr val="dk1">
        <a:lumMod val="65000"/>
        <a:lumOff val="35000"/>
      </a:schemeClr>
    </cs:fontRef>
    <cs:spPr>
      <a:ln w="9525" cap="rnd">
        <a:solidFill>
          <a:schemeClr val="dk1">
            <a:lumMod val="25000"/>
            <a:lumOff val="75000"/>
          </a:schemeClr>
        </a:solidFill>
        <a:round/>
      </a:ln>
    </cs:spPr>
    <cs:defRPr sz="900" kern="1200" spc="0" baseline="0"/>
  </cs:valueAxis>
  <cs:wall>
    <cs:lnRef idx="0"/>
    <cs:fillRef idx="0"/>
    <cs:effectRef idx="0"/>
    <cs:fontRef idx="minor">
      <a:schemeClr val="dk1"/>
    </cs:fontRef>
  </cs:wall>
</cs:chartStyle>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AF5C460C-8A7D-4074-997D-5C8A83978B4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TotalTime>
  <Pages>13</Pages>
  <Words>7722</Words>
  <Characters>42475</Characters>
  <Application>Microsoft Office Word</Application>
  <DocSecurity>0</DocSecurity>
  <Lines>353</Lines>
  <Paragraphs>100</Paragraphs>
  <ScaleCrop>false</ScaleCrop>
  <HeadingPairs>
    <vt:vector size="4" baseType="variant">
      <vt:variant>
        <vt:lpstr>Título</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50097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Markus Richter</dc:creator>
  <cp:keywords/>
  <dc:description/>
  <cp:lastModifiedBy>Viky Julieta Arias Delgado</cp:lastModifiedBy>
  <cp:revision>2</cp:revision>
  <dcterms:created xsi:type="dcterms:W3CDTF">2020-05-15T21:44:00Z</dcterms:created>
  <dcterms:modified xsi:type="dcterms:W3CDTF">2020-05-15T21:44:00Z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WnCUserId">
    <vt:lpwstr>user:5abc39c9e4b0392658e73a7d</vt:lpwstr>
  </property>
  <property fmtid="{D5CDD505-2E9C-101B-9397-08002B2CF9AE}" pid="3" name="WnCSubscriberId">
    <vt:lpwstr>0</vt:lpwstr>
  </property>
  <property fmtid="{D5CDD505-2E9C-101B-9397-08002B2CF9AE}" pid="4" name="WnCOutputStyleId">
    <vt:lpwstr>70</vt:lpwstr>
  </property>
  <property fmtid="{D5CDD505-2E9C-101B-9397-08002B2CF9AE}" pid="5" name="RWProductId">
    <vt:lpwstr>Flow</vt:lpwstr>
  </property>
  <property fmtid="{D5CDD505-2E9C-101B-9397-08002B2CF9AE}" pid="6" name="WnC4Folder">
    <vt:lpwstr>Documents///FRPO Ronald -1</vt:lpwstr>
  </property>
  <property fmtid="{D5CDD505-2E9C-101B-9397-08002B2CF9AE}" pid="7" name="RWProjectId">
    <vt:lpwstr>ap:5c093f22e4b0435efe4d9349</vt:lpwstr>
  </property>
</Properties>
</file>