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696"/>
          <w:sz w:val="32"/>
        </w:rPr>
        <w:t>Plano Dia 4 — JAVA</w:t>
      </w:r>
    </w:p>
    <w:p>
      <w:r>
        <w:rPr>
          <w:sz w:val="22"/>
        </w:rPr>
        <w:t>1. Identificacao:</w:t>
      </w:r>
    </w:p>
    <w:p>
      <w:pPr>
        <w:pStyle w:val="ListBullet"/>
        <w:ind w:left="567"/>
      </w:pPr>
      <w:r>
        <w:rPr>
          <w:sz w:val="22"/>
        </w:rPr>
        <w:t>Curso: TEste</w:t>
      </w:r>
    </w:p>
    <w:p>
      <w:pPr>
        <w:pStyle w:val="ListBullet"/>
        <w:ind w:left="567"/>
      </w:pPr>
      <w:r>
        <w:rPr>
          <w:sz w:val="22"/>
        </w:rPr>
        <w:t>Unidade Curricular: JAVA</w:t>
      </w:r>
    </w:p>
    <w:p>
      <w:pPr>
        <w:pStyle w:val="ListBullet"/>
        <w:ind w:left="567"/>
      </w:pPr>
      <w:r>
        <w:rPr>
          <w:sz w:val="22"/>
        </w:rPr>
        <w:t>Aula: Encontro 4 (4h)</w:t>
      </w:r>
    </w:p>
    <w:p>
      <w:pPr>
        <w:pStyle w:val="ListBullet"/>
        <w:ind w:left="567"/>
      </w:pPr>
      <w:r>
        <w:rPr>
          <w:sz w:val="22"/>
        </w:rPr>
        <w:t>Nivel Cognitivo (Taxonomia de Bloom): Lembrar</w:t>
      </w:r>
    </w:p>
    <w:p/>
    <w:p>
      <w:r>
        <w:rPr>
          <w:b/>
          <w:color w:val="004696"/>
          <w:sz w:val="26"/>
        </w:rPr>
        <w:t>2. Objetivos da Aula:</w:t>
      </w:r>
    </w:p>
    <w:p>
      <w:pPr>
        <w:pStyle w:val="ListBullet"/>
        <w:ind w:left="567"/>
      </w:pPr>
      <w:r>
        <w:rPr>
          <w:sz w:val="22"/>
        </w:rPr>
        <w:t>Desenvolver a capacidade: Reconhecer elementos do mundo digital.</w:t>
      </w:r>
    </w:p>
    <w:p>
      <w:pPr>
        <w:pStyle w:val="ListBullet"/>
        <w:ind w:left="567"/>
      </w:pPr>
      <w:r>
        <w:rPr>
          <w:sz w:val="22"/>
        </w:rPr>
        <w:t>Compreender e aplicar os conceitos fundamentais previstos para este encontro.</w:t>
      </w:r>
    </w:p>
    <w:p/>
    <w:p>
      <w:r>
        <w:rPr>
          <w:b/>
          <w:color w:val="004696"/>
          <w:sz w:val="26"/>
        </w:rPr>
        <w:t>3. Conteudo Programatico:</w:t>
      </w:r>
    </w:p>
    <w:p>
      <w:pPr>
        <w:pStyle w:val="ListBullet"/>
        <w:ind w:left="567"/>
      </w:pPr>
      <w:r>
        <w:rPr>
          <w:sz w:val="22"/>
        </w:rPr>
        <w:t>Vga</w:t>
      </w:r>
    </w:p>
    <w:p>
      <w:pPr>
        <w:pStyle w:val="ListBullet"/>
        <w:ind w:left="567"/>
      </w:pPr>
      <w:r>
        <w:rPr>
          <w:sz w:val="22"/>
        </w:rPr>
        <w:t>Hdmi</w:t>
      </w:r>
    </w:p>
    <w:p>
      <w:pPr>
        <w:pStyle w:val="ListBullet"/>
        <w:ind w:left="567"/>
      </w:pPr>
      <w:r>
        <w:rPr>
          <w:sz w:val="22"/>
        </w:rPr>
        <w:t>Usb</w:t>
      </w:r>
    </w:p>
    <w:p>
      <w:pPr>
        <w:pStyle w:val="ListBullet"/>
        <w:ind w:left="567"/>
      </w:pPr>
      <w:r>
        <w:rPr>
          <w:sz w:val="22"/>
        </w:rPr>
        <w:t>Interfaces Sem Fio</w:t>
      </w:r>
    </w:p>
    <w:p>
      <w:pPr>
        <w:pStyle w:val="ListBullet"/>
        <w:ind w:left="567"/>
      </w:pPr>
      <w:r>
        <w:rPr>
          <w:sz w:val="22"/>
        </w:rPr>
        <w:t>Grandezas Elétricas</w:t>
      </w:r>
    </w:p>
    <w:p>
      <w:pPr>
        <w:pStyle w:val="ListBullet"/>
        <w:ind w:left="567"/>
      </w:pPr>
      <w:r>
        <w:rPr>
          <w:sz w:val="22"/>
        </w:rPr>
        <w:t>Tensão Elétrica</w:t>
      </w:r>
    </w:p>
    <w:p>
      <w:pPr>
        <w:pStyle w:val="ListBullet"/>
        <w:ind w:left="567"/>
      </w:pPr>
      <w:r>
        <w:rPr>
          <w:sz w:val="22"/>
        </w:rPr>
        <w:t>Potência Elétrica</w:t>
      </w:r>
    </w:p>
    <w:p/>
    <w:p>
      <w:r>
        <w:rPr>
          <w:b/>
          <w:color w:val="004696"/>
          <w:sz w:val="26"/>
        </w:rPr>
        <w:t>4. Estrategia Didatica:</w:t>
      </w:r>
    </w:p>
    <w:p>
      <w:pPr>
        <w:pStyle w:val="ListBullet"/>
        <w:ind w:left="567"/>
      </w:pPr>
      <w:r>
        <w:rPr>
          <w:sz w:val="22"/>
        </w:rPr>
        <w:t>Abertura: Contextualizacao dos objetivos e ativacao de conhecimentos previos.</w:t>
      </w:r>
    </w:p>
    <w:p>
      <w:pPr>
        <w:pStyle w:val="ListBullet"/>
        <w:ind w:left="567"/>
      </w:pPr>
      <w:r>
        <w:rPr>
          <w:sz w:val="22"/>
        </w:rPr>
        <w:t>Desenvolvimento: TESTES DE FUNCIONAMENTO.</w:t>
      </w:r>
    </w:p>
    <w:p>
      <w:pPr>
        <w:pStyle w:val="ListBullet"/>
        <w:ind w:left="567"/>
      </w:pPr>
      <w:r>
        <w:rPr>
          <w:sz w:val="22"/>
        </w:rPr>
        <w:t>Pratica: Exercicios de fixacao e procedimentos orientados.</w:t>
      </w:r>
    </w:p>
    <w:p>
      <w:pPr>
        <w:pStyle w:val="ListBullet"/>
        <w:ind w:left="567"/>
      </w:pPr>
      <w:r>
        <w:rPr>
          <w:sz w:val="22"/>
        </w:rPr>
        <w:t>Fechamento: Sintese dos pontos-chave e esclarecimento de duvidas.</w:t>
      </w:r>
    </w:p>
    <w:p/>
    <w:p>
      <w:r>
        <w:rPr>
          <w:b/>
          <w:color w:val="004696"/>
          <w:sz w:val="26"/>
        </w:rPr>
        <w:t>5. Recursos Didaticos:</w:t>
      </w:r>
    </w:p>
    <w:p>
      <w:pPr>
        <w:pStyle w:val="ListBullet"/>
        <w:ind w:left="567"/>
      </w:pPr>
      <w:r>
        <w:rPr>
          <w:sz w:val="22"/>
        </w:rPr>
        <w:t>NOTEBOOK, TELA DIGITAL, COMPUTADORES, COMPONENTES</w:t>
      </w:r>
    </w:p>
    <w:p/>
    <w:p>
      <w:r>
        <w:rPr>
          <w:b/>
          <w:color w:val="004696"/>
          <w:sz w:val="26"/>
        </w:rPr>
        <w:t>6. Avaliacao da Aprendizagem:</w:t>
      </w:r>
    </w:p>
    <w:p>
      <w:pPr>
        <w:pStyle w:val="ListBullet"/>
        <w:ind w:left="567"/>
      </w:pPr>
      <w:r>
        <w:rPr>
          <w:sz w:val="22"/>
        </w:rPr>
        <w:t>Criterios: AVALIAR A CAPACIDADE DE ANÁLISE, DIAGNÓSTICO E COMPARAÇÃO DO ALUNO.</w:t>
      </w:r>
    </w:p>
    <w:p>
      <w:pPr>
        <w:pStyle w:val="ListBullet"/>
        <w:ind w:left="567"/>
      </w:pPr>
      <w:r>
        <w:rPr>
          <w:sz w:val="22"/>
        </w:rPr>
        <w:t>Instrumentos: RELATÓRIO PRÁTICO DE DIAGNÓSTICO E ATIVIDADE DE BANCADA.</w:t>
      </w:r>
    </w:p>
    <w:p/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