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Calibri" w:cs="Calibri" w:eastAsia="Calibri" w:hAnsi="Calibri"/>
          <w:b/>
          <w:bCs/>
          <w:color w:val="1F3864"/>
          <w:sz w:val="44"/>
          <w:szCs w:val="44"/>
        </w:rPr>
        <w:t xml:space="preserve">System Security Plan</w:t>
      </w:r>
    </w:p>
    <w:p>
      <w:pPr>
        <w:spacing w:after="100"/>
        <w:jc w:val="center"/>
      </w:pPr>
      <w:r>
        <w:rPr>
          <w:rFonts w:ascii="Calibri" w:cs="Calibri" w:eastAsia="Calibri" w:hAnsi="Calibri"/>
          <w:color w:val="404040"/>
          <w:sz w:val="24"/>
          <w:szCs w:val="24"/>
        </w:rPr>
        <w:t xml:space="preserve">NIST SP 800-171 / CMMC Level 2 Compliance Baseline Lab</w:t>
      </w:r>
    </w:p>
    <w:p>
      <w:pPr>
        <w:spacing w:after="400"/>
        <w:jc w:val="center"/>
      </w:pPr>
      <w:r>
        <w:rPr>
          <w:rFonts w:ascii="Calibri" w:cs="Calibri" w:eastAsia="Calibri" w:hAnsi="Calibri"/>
          <w:i/>
          <w:iCs/>
          <w:color w:val="606060"/>
          <w:sz w:val="20"/>
          <w:szCs w:val="20"/>
        </w:rPr>
        <w:t xml:space="preserve">Prepared by Ronan Kongala</w:t>
      </w:r>
    </w:p>
    <w:p>
      <w:pPr>
        <w:pStyle w:val="Heading1"/>
        <w:spacing w:after="100" w:before="220"/>
      </w:pPr>
      <w:r>
        <w:rPr>
          <w:rFonts w:ascii="Calibri" w:cs="Calibri" w:eastAsia="Calibri" w:hAnsi="Calibri"/>
          <w:b/>
          <w:bCs/>
          <w:color w:val="1F3864"/>
          <w:sz w:val="30"/>
          <w:szCs w:val="30"/>
        </w:rPr>
        <w:t xml:space="preserve">1. System Identification</w:t>
      </w:r>
    </w:p>
    <w:p>
      <w:pPr>
        <w:spacing w:after="40" w:before="40"/>
      </w:pPr>
      <w:r>
        <w:rPr>
          <w:rFonts w:ascii="Calibri" w:cs="Calibri" w:eastAsia="Calibri" w:hAnsi="Calibri"/>
          <w:b/>
          <w:bCs/>
          <w:sz w:val="22"/>
          <w:szCs w:val="22"/>
        </w:rPr>
        <w:t xml:space="preserve">System Name: </w:t>
      </w:r>
      <w:r>
        <w:rPr>
          <w:rFonts w:ascii="Calibri" w:cs="Calibri" w:eastAsia="Calibri" w:hAnsi="Calibri"/>
          <w:sz w:val="22"/>
          <w:szCs w:val="22"/>
        </w:rPr>
        <w:t xml:space="preserve">NIST-Lab Compliance Baseline Environment</w:t>
      </w:r>
    </w:p>
    <w:p>
      <w:pPr>
        <w:spacing w:after="40" w:before="40"/>
      </w:pPr>
      <w:r>
        <w:rPr>
          <w:rFonts w:ascii="Calibri" w:cs="Calibri" w:eastAsia="Calibri" w:hAnsi="Calibri"/>
          <w:b/>
          <w:bCs/>
          <w:sz w:val="22"/>
          <w:szCs w:val="22"/>
        </w:rPr>
        <w:t xml:space="preserve">System Owner: </w:t>
      </w:r>
      <w:r>
        <w:rPr>
          <w:rFonts w:ascii="Calibri" w:cs="Calibri" w:eastAsia="Calibri" w:hAnsi="Calibri"/>
          <w:sz w:val="22"/>
          <w:szCs w:val="22"/>
        </w:rPr>
        <w:t xml:space="preserve">Ronan Kongala</w:t>
      </w:r>
    </w:p>
    <w:p>
      <w:pPr>
        <w:spacing w:after="40" w:before="40"/>
      </w:pPr>
      <w:r>
        <w:rPr>
          <w:rFonts w:ascii="Calibri" w:cs="Calibri" w:eastAsia="Calibri" w:hAnsi="Calibri"/>
          <w:b/>
          <w:bCs/>
          <w:sz w:val="22"/>
          <w:szCs w:val="22"/>
        </w:rPr>
        <w:t xml:space="preserve">Environment Type: </w:t>
      </w:r>
      <w:r>
        <w:rPr>
          <w:rFonts w:ascii="Calibri" w:cs="Calibri" w:eastAsia="Calibri" w:hAnsi="Calibri"/>
          <w:sz w:val="22"/>
          <w:szCs w:val="22"/>
        </w:rPr>
        <w:t xml:space="preserve">Simulated small-business compliance baseline (portfolio / training lab)</w:t>
      </w:r>
    </w:p>
    <w:p>
      <w:pPr>
        <w:spacing w:after="40" w:before="40"/>
      </w:pPr>
      <w:r>
        <w:rPr>
          <w:rFonts w:ascii="Calibri" w:cs="Calibri" w:eastAsia="Calibri" w:hAnsi="Calibri"/>
          <w:b/>
          <w:bCs/>
          <w:sz w:val="22"/>
          <w:szCs w:val="22"/>
        </w:rPr>
        <w:t xml:space="preserve">Domain: </w:t>
      </w:r>
      <w:r>
        <w:rPr>
          <w:rFonts w:ascii="Calibri" w:cs="Calibri" w:eastAsia="Calibri" w:hAnsi="Calibri"/>
          <w:sz w:val="22"/>
          <w:szCs w:val="22"/>
        </w:rPr>
        <w:t xml:space="preserve">nistlab.local (on-premises-style Active Directory forest hosted on Azure IaaS)</w:t>
      </w:r>
    </w:p>
    <w:p>
      <w:pPr>
        <w:spacing w:after="40" w:before="40"/>
      </w:pPr>
      <w:r>
        <w:rPr>
          <w:rFonts w:ascii="Calibri" w:cs="Calibri" w:eastAsia="Calibri" w:hAnsi="Calibri"/>
          <w:b/>
          <w:bCs/>
          <w:sz w:val="22"/>
          <w:szCs w:val="22"/>
        </w:rPr>
        <w:t xml:space="preserve">Cloud Tenant: </w:t>
      </w:r>
      <w:r>
        <w:rPr>
          <w:rFonts w:ascii="Calibri" w:cs="Calibri" w:eastAsia="Calibri" w:hAnsi="Calibri"/>
          <w:sz w:val="22"/>
          <w:szCs w:val="22"/>
        </w:rPr>
        <w:t xml:space="preserve">Microsoft Entra ID tenant (Personal579.onmicrosoft.com), Entra ID P2 / Microsoft 365 E3</w:t>
      </w:r>
    </w:p>
    <w:p>
      <w:pPr>
        <w:spacing w:after="40" w:before="40"/>
      </w:pPr>
      <w:r>
        <w:rPr>
          <w:rFonts w:ascii="Calibri" w:cs="Calibri" w:eastAsia="Calibri" w:hAnsi="Calibri"/>
          <w:b/>
          <w:bCs/>
          <w:sz w:val="22"/>
          <w:szCs w:val="22"/>
        </w:rPr>
        <w:t xml:space="preserve">Assessment Date: </w:t>
      </w:r>
      <w:r>
        <w:rPr>
          <w:rFonts w:ascii="Calibri" w:cs="Calibri" w:eastAsia="Calibri" w:hAnsi="Calibri"/>
          <w:sz w:val="22"/>
          <w:szCs w:val="22"/>
        </w:rPr>
        <w:t xml:space="preserve">July 2026</w:t>
      </w:r>
    </w:p>
    <w:p>
      <w:pPr>
        <w:pStyle w:val="Heading1"/>
        <w:spacing w:after="100" w:before="220"/>
      </w:pPr>
      <w:r>
        <w:rPr>
          <w:rFonts w:ascii="Calibri" w:cs="Calibri" w:eastAsia="Calibri" w:hAnsi="Calibri"/>
          <w:b/>
          <w:bCs/>
          <w:color w:val="1F3864"/>
          <w:sz w:val="30"/>
          <w:szCs w:val="30"/>
        </w:rPr>
        <w:t xml:space="preserve">2. System Environment &amp; Boundary Description</w:t>
      </w:r>
    </w:p>
    <w:p>
      <w:pPr>
        <w:spacing w:after="40" w:before="40"/>
      </w:pPr>
      <w:r>
        <w:rPr>
          <w:rFonts w:ascii="Calibri" w:cs="Calibri" w:eastAsia="Calibri" w:hAnsi="Calibri"/>
          <w:sz w:val="22"/>
          <w:szCs w:val="22"/>
        </w:rPr>
        <w:t xml:space="preserve">This System Security Plan documents the security control implementation for a simulated small-business IT environment built to model the compliance posture required of a Department of Defense contractor under NIST SP 800-171 and the Cybersecurity Maturity Model Certification (CMMC) Level 2 framework. The environment was constructed hands-on to demonstrate practical implementation of identity, access control, endpoint compliance, and network protection controls rather than relying solely on documentation review.</w:t>
      </w:r>
    </w:p>
    <w:p>
      <w:pPr>
        <w:spacing w:after="40" w:before="40"/>
      </w:pPr>
      <w:r>
        <w:rPr>
          <w:rFonts w:ascii="Calibri" w:cs="Calibri" w:eastAsia="Calibri" w:hAnsi="Calibri"/>
          <w:sz w:val="22"/>
          <w:szCs w:val="22"/>
        </w:rPr>
        <w:t xml:space="preserve">The system boundary consists of the following components:</w:t>
      </w:r>
    </w:p>
    <w:p>
      <w:pPr>
        <w:pStyle w:val="ListParagraph"/>
        <w:numPr>
          <w:ilvl w:val="0"/>
          <w:numId w:val="1"/>
        </w:numPr>
        <w:spacing w:after="20" w:before="20"/>
      </w:pPr>
      <w:r>
        <w:rPr>
          <w:rFonts w:ascii="Calibri" w:cs="Calibri" w:eastAsia="Calibri" w:hAnsi="Calibri"/>
          <w:sz w:val="22"/>
          <w:szCs w:val="22"/>
        </w:rPr>
        <w:t xml:space="preserve">A Windows Server 2022 Domain Controller (nist-lab-dc01) hosted on Azure IaaS, running Active Directory Domain Services (AD DS) and DNS. This is the main domain controller for the lab.</w:t>
      </w:r>
    </w:p>
    <w:p>
      <w:pPr>
        <w:pStyle w:val="ListParagraph"/>
        <w:numPr>
          <w:ilvl w:val="0"/>
          <w:numId w:val="1"/>
        </w:numPr>
        <w:spacing w:after="20" w:before="20"/>
      </w:pPr>
      <w:r>
        <w:rPr>
          <w:rFonts w:ascii="Calibri" w:cs="Calibri" w:eastAsia="Calibri" w:hAnsi="Calibri"/>
          <w:sz w:val="22"/>
          <w:szCs w:val="22"/>
        </w:rPr>
        <w:t xml:space="preserve">A Microsoft Entra ID tenant providing cloud identity, Conditional Access enforcement, and device compliance evaluation through Microsoft Intune.</w:t>
      </w:r>
    </w:p>
    <w:p>
      <w:pPr>
        <w:pStyle w:val="ListParagraph"/>
        <w:numPr>
          <w:ilvl w:val="0"/>
          <w:numId w:val="1"/>
        </w:numPr>
        <w:spacing w:after="20" w:before="20"/>
      </w:pPr>
      <w:r>
        <w:rPr>
          <w:rFonts w:ascii="Calibri" w:cs="Calibri" w:eastAsia="Calibri" w:hAnsi="Calibri"/>
          <w:sz w:val="22"/>
          <w:szCs w:val="22"/>
        </w:rPr>
        <w:t xml:space="preserve">An organizational unit structure (Employees OU) with Group Policy Objects enforcing password and account lockout controls.</w:t>
      </w:r>
    </w:p>
    <w:p>
      <w:pPr>
        <w:pStyle w:val="ListParagraph"/>
        <w:numPr>
          <w:ilvl w:val="0"/>
          <w:numId w:val="1"/>
        </w:numPr>
        <w:spacing w:after="20" w:before="20"/>
      </w:pPr>
      <w:r>
        <w:rPr>
          <w:rFonts w:ascii="Calibri" w:cs="Calibri" w:eastAsia="Calibri" w:hAnsi="Calibri"/>
          <w:sz w:val="22"/>
          <w:szCs w:val="22"/>
        </w:rPr>
        <w:t xml:space="preserve">A Windows endpoint enrolled in Microsoft Intune and evaluated against a custom compliance policy.</w:t>
      </w:r>
    </w:p>
    <w:p>
      <w:pPr>
        <w:pStyle w:val="ListParagraph"/>
        <w:numPr>
          <w:ilvl w:val="0"/>
          <w:numId w:val="1"/>
        </w:numPr>
        <w:spacing w:after="20" w:before="20"/>
      </w:pPr>
      <w:r>
        <w:rPr>
          <w:rFonts w:ascii="Calibri" w:cs="Calibri" w:eastAsia="Calibri" w:hAnsi="Calibri"/>
          <w:sz w:val="22"/>
          <w:szCs w:val="22"/>
        </w:rPr>
        <w:t xml:space="preserve">Windows Defender Firewall with Advanced Security, configured with custom inbound and outbound rules that restrict insecure protocols and limit internal service exposure.</w:t>
      </w:r>
    </w:p>
    <w:p>
      <w:pPr>
        <w:pStyle w:val="ListParagraph"/>
        <w:numPr>
          <w:ilvl w:val="0"/>
          <w:numId w:val="1"/>
        </w:numPr>
        <w:spacing w:after="20" w:before="20"/>
      </w:pPr>
      <w:r>
        <w:rPr>
          <w:rFonts w:ascii="Calibri" w:cs="Calibri" w:eastAsia="Calibri" w:hAnsi="Calibri"/>
          <w:sz w:val="22"/>
          <w:szCs w:val="22"/>
        </w:rPr>
        <w:t xml:space="preserve">A HubSpot CRM instance simulating customer onboarding and support ticket workflows, similar to how a managed compliance service provider would track a client engagement.</w:t>
      </w:r>
    </w:p>
    <w:p>
      <w:pPr>
        <w:pStyle w:val="Heading1"/>
        <w:spacing w:after="100" w:before="220"/>
      </w:pPr>
      <w:r>
        <w:rPr>
          <w:rFonts w:ascii="Calibri" w:cs="Calibri" w:eastAsia="Calibri" w:hAnsi="Calibri"/>
          <w:b/>
          <w:bCs/>
          <w:color w:val="1F3864"/>
          <w:sz w:val="30"/>
          <w:szCs w:val="30"/>
        </w:rPr>
        <w:t xml:space="preserve">3. Control Implementation Summary</w:t>
      </w:r>
    </w:p>
    <w:p>
      <w:pPr>
        <w:spacing w:after="40" w:before="40"/>
      </w:pPr>
      <w:r>
        <w:rPr>
          <w:rFonts w:ascii="Calibri" w:cs="Calibri" w:eastAsia="Calibri" w:hAnsi="Calibri"/>
          <w:sz w:val="22"/>
          <w:szCs w:val="22"/>
        </w:rPr>
        <w:t xml:space="preserve">The table below maps each control implemented in this environment to its corresponding NIST SP 800-171 requirement, the technical evidence of implementation, and current status. Controls marked "Planned" represent identified gaps intentionally scoped out of this lab iteration and noted here for completeness, consistent with standard SSP practice of documenting both implemented and outstanding controls.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50"/>
        <w:gridCol w:w="2100"/>
        <w:gridCol w:w="5230"/>
        <w:gridCol w:w="1600"/>
      </w:tblGrid>
      <w:tr>
        <w:trPr>
          <w:tblHeader/>
        </w:trPr>
        <w:tc>
          <w:tcPr>
            <w:tcW w:type="dxa" w:w="1150"/>
            <w:shd w:fill="1F3864"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9"/>
                <w:szCs w:val="19"/>
              </w:rPr>
              <w:t xml:space="preserve">Control ID</w:t>
            </w:r>
          </w:p>
        </w:tc>
        <w:tc>
          <w:tcPr>
            <w:tcW w:type="dxa" w:w="2100"/>
            <w:shd w:fill="1F3864"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9"/>
                <w:szCs w:val="19"/>
              </w:rPr>
              <w:t xml:space="preserve">Requirement</w:t>
            </w:r>
          </w:p>
        </w:tc>
        <w:tc>
          <w:tcPr>
            <w:tcW w:type="dxa" w:w="5230"/>
            <w:shd w:fill="1F3864"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9"/>
                <w:szCs w:val="19"/>
              </w:rPr>
              <w:t xml:space="preserve">Implementation Evidence</w:t>
            </w:r>
          </w:p>
        </w:tc>
        <w:tc>
          <w:tcPr>
            <w:tcW w:type="dxa" w:w="1600"/>
            <w:shd w:fill="1F3864"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9"/>
                <w:szCs w:val="19"/>
              </w:rPr>
              <w:t xml:space="preserve">Status</w:t>
            </w:r>
          </w:p>
        </w:tc>
      </w:tr>
      <w:tr>
        <w:tc>
          <w:tcPr>
            <w:tcW w:type="dxa" w:w="1150"/>
            <w:tcMar>
              <w:top w:type="dxa" w:w="60"/>
              <w:left w:type="dxa" w:w="80"/>
              <w:bottom w:type="dxa" w:w="60"/>
              <w:right w:type="dxa" w:w="80"/>
            </w:tcMar>
            <w:vAlign w:val="center"/>
          </w:tcPr>
          <w:p>
            <w:pPr>
              <w:spacing w:after="20" w:before="20"/>
            </w:pPr>
            <w:r>
              <w:rPr>
                <w:rFonts w:ascii="Calibri" w:cs="Calibri" w:eastAsia="Calibri" w:hAnsi="Calibri"/>
                <w:b/>
                <w:bCs/>
                <w:sz w:val="19"/>
                <w:szCs w:val="19"/>
              </w:rPr>
              <w:t xml:space="preserve">3.1.1</w:t>
            </w:r>
          </w:p>
        </w:tc>
        <w:tc>
          <w:tcPr>
            <w:tcW w:type="dxa" w:w="210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Limit system access to authorized users, processes, and devices</w:t>
            </w:r>
          </w:p>
        </w:tc>
        <w:tc>
          <w:tcPr>
            <w:tcW w:type="dxa" w:w="523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Active Directory domain (nistlab.local) with dedicated Employees OU; all accounts provisioned and managed through AD; local administrative access restricted to designated admin accounts.</w:t>
            </w:r>
          </w:p>
        </w:tc>
        <w:tc>
          <w:tcPr>
            <w:tcW w:type="dxa" w:w="1600"/>
            <w:shd w:fill="C6EFCE" w:val="clear"/>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Implemented</w:t>
            </w:r>
          </w:p>
        </w:tc>
      </w:tr>
      <w:tr>
        <w:tc>
          <w:tcPr>
            <w:tcW w:type="dxa" w:w="1150"/>
            <w:tcMar>
              <w:top w:type="dxa" w:w="60"/>
              <w:left w:type="dxa" w:w="80"/>
              <w:bottom w:type="dxa" w:w="60"/>
              <w:right w:type="dxa" w:w="80"/>
            </w:tcMar>
            <w:vAlign w:val="center"/>
          </w:tcPr>
          <w:p>
            <w:pPr>
              <w:spacing w:after="20" w:before="20"/>
            </w:pPr>
            <w:r>
              <w:rPr>
                <w:rFonts w:ascii="Calibri" w:cs="Calibri" w:eastAsia="Calibri" w:hAnsi="Calibri"/>
                <w:b/>
                <w:bCs/>
                <w:sz w:val="19"/>
                <w:szCs w:val="19"/>
              </w:rPr>
              <w:t xml:space="preserve">3.1.8</w:t>
            </w:r>
          </w:p>
        </w:tc>
        <w:tc>
          <w:tcPr>
            <w:tcW w:type="dxa" w:w="210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Limit unsuccessful logon attempts</w:t>
            </w:r>
          </w:p>
        </w:tc>
        <w:tc>
          <w:tcPr>
            <w:tcW w:type="dxa" w:w="523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GPO "Password and Account Lockout Policy" linked to Employees OU: lockout threshold of 5 invalid attempts, 15-minute lockout duration, 15-minute counter reset.</w:t>
            </w:r>
          </w:p>
        </w:tc>
        <w:tc>
          <w:tcPr>
            <w:tcW w:type="dxa" w:w="1600"/>
            <w:shd w:fill="C6EFCE" w:val="clear"/>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Implemented</w:t>
            </w:r>
          </w:p>
        </w:tc>
      </w:tr>
      <w:tr>
        <w:tc>
          <w:tcPr>
            <w:tcW w:type="dxa" w:w="1150"/>
            <w:tcMar>
              <w:top w:type="dxa" w:w="60"/>
              <w:left w:type="dxa" w:w="80"/>
              <w:bottom w:type="dxa" w:w="60"/>
              <w:right w:type="dxa" w:w="80"/>
            </w:tcMar>
            <w:vAlign w:val="center"/>
          </w:tcPr>
          <w:p>
            <w:pPr>
              <w:spacing w:after="20" w:before="20"/>
            </w:pPr>
            <w:r>
              <w:rPr>
                <w:rFonts w:ascii="Calibri" w:cs="Calibri" w:eastAsia="Calibri" w:hAnsi="Calibri"/>
                <w:b/>
                <w:bCs/>
                <w:sz w:val="19"/>
                <w:szCs w:val="19"/>
              </w:rPr>
              <w:t xml:space="preserve">3.1.20</w:t>
            </w:r>
          </w:p>
        </w:tc>
        <w:tc>
          <w:tcPr>
            <w:tcW w:type="dxa" w:w="210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Verify and control/limit connections to external systems</w:t>
            </w:r>
          </w:p>
        </w:tc>
        <w:tc>
          <w:tcPr>
            <w:tcW w:type="dxa" w:w="523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Windows Defender Firewall outbound rule blocking Telnet (TCP/23); inbound SMB (TCP/445) scoped to internal subnet (172.16.0.0/24) only.</w:t>
            </w:r>
          </w:p>
        </w:tc>
        <w:tc>
          <w:tcPr>
            <w:tcW w:type="dxa" w:w="1600"/>
            <w:shd w:fill="C6EFCE" w:val="clear"/>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Implemented</w:t>
            </w:r>
          </w:p>
        </w:tc>
      </w:tr>
      <w:tr>
        <w:tc>
          <w:tcPr>
            <w:tcW w:type="dxa" w:w="1150"/>
            <w:tcMar>
              <w:top w:type="dxa" w:w="60"/>
              <w:left w:type="dxa" w:w="80"/>
              <w:bottom w:type="dxa" w:w="60"/>
              <w:right w:type="dxa" w:w="80"/>
            </w:tcMar>
            <w:vAlign w:val="center"/>
          </w:tcPr>
          <w:p>
            <w:pPr>
              <w:spacing w:after="20" w:before="20"/>
            </w:pPr>
            <w:r>
              <w:rPr>
                <w:rFonts w:ascii="Calibri" w:cs="Calibri" w:eastAsia="Calibri" w:hAnsi="Calibri"/>
                <w:b/>
                <w:bCs/>
                <w:sz w:val="19"/>
                <w:szCs w:val="19"/>
              </w:rPr>
              <w:t xml:space="preserve">3.5.7</w:t>
            </w:r>
          </w:p>
        </w:tc>
        <w:tc>
          <w:tcPr>
            <w:tcW w:type="dxa" w:w="210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Enforce a minimum password complexity and change of characters</w:t>
            </w:r>
          </w:p>
        </w:tc>
        <w:tc>
          <w:tcPr>
            <w:tcW w:type="dxa" w:w="523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GPO enforces 14-character minimum length and Windows password complexity requirements (mixed case, numeric, special character).</w:t>
            </w:r>
          </w:p>
        </w:tc>
        <w:tc>
          <w:tcPr>
            <w:tcW w:type="dxa" w:w="1600"/>
            <w:shd w:fill="C6EFCE" w:val="clear"/>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Implemented</w:t>
            </w:r>
          </w:p>
        </w:tc>
      </w:tr>
      <w:tr>
        <w:tc>
          <w:tcPr>
            <w:tcW w:type="dxa" w:w="1150"/>
            <w:tcMar>
              <w:top w:type="dxa" w:w="60"/>
              <w:left w:type="dxa" w:w="80"/>
              <w:bottom w:type="dxa" w:w="60"/>
              <w:right w:type="dxa" w:w="80"/>
            </w:tcMar>
            <w:vAlign w:val="center"/>
          </w:tcPr>
          <w:p>
            <w:pPr>
              <w:spacing w:after="20" w:before="20"/>
            </w:pPr>
            <w:r>
              <w:rPr>
                <w:rFonts w:ascii="Calibri" w:cs="Calibri" w:eastAsia="Calibri" w:hAnsi="Calibri"/>
                <w:b/>
                <w:bCs/>
                <w:sz w:val="19"/>
                <w:szCs w:val="19"/>
              </w:rPr>
              <w:t xml:space="preserve">3.5.8</w:t>
            </w:r>
          </w:p>
        </w:tc>
        <w:tc>
          <w:tcPr>
            <w:tcW w:type="dxa" w:w="210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Prohibit password reuse for a specified number of generations</w:t>
            </w:r>
          </w:p>
        </w:tc>
        <w:tc>
          <w:tcPr>
            <w:tcW w:type="dxa" w:w="523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GPO enforces password history of 24 remembered passwords.</w:t>
            </w:r>
          </w:p>
        </w:tc>
        <w:tc>
          <w:tcPr>
            <w:tcW w:type="dxa" w:w="1600"/>
            <w:shd w:fill="C6EFCE" w:val="clear"/>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Implemented</w:t>
            </w:r>
          </w:p>
        </w:tc>
      </w:tr>
      <w:tr>
        <w:tc>
          <w:tcPr>
            <w:tcW w:type="dxa" w:w="1150"/>
            <w:tcMar>
              <w:top w:type="dxa" w:w="60"/>
              <w:left w:type="dxa" w:w="80"/>
              <w:bottom w:type="dxa" w:w="60"/>
              <w:right w:type="dxa" w:w="80"/>
            </w:tcMar>
            <w:vAlign w:val="center"/>
          </w:tcPr>
          <w:p>
            <w:pPr>
              <w:spacing w:after="20" w:before="20"/>
            </w:pPr>
            <w:r>
              <w:rPr>
                <w:rFonts w:ascii="Calibri" w:cs="Calibri" w:eastAsia="Calibri" w:hAnsi="Calibri"/>
                <w:b/>
                <w:bCs/>
                <w:sz w:val="19"/>
                <w:szCs w:val="19"/>
              </w:rPr>
              <w:t xml:space="preserve">3.5.9</w:t>
            </w:r>
          </w:p>
        </w:tc>
        <w:tc>
          <w:tcPr>
            <w:tcW w:type="dxa" w:w="210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Allow temporary password use for system logons with an immediate change to a permanent password</w:t>
            </w:r>
          </w:p>
        </w:tc>
        <w:tc>
          <w:tcPr>
            <w:tcW w:type="dxa" w:w="523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Minimum password age of 1 day configured; maximum password age of 60 days configured to force periodic rotation.</w:t>
            </w:r>
          </w:p>
        </w:tc>
        <w:tc>
          <w:tcPr>
            <w:tcW w:type="dxa" w:w="1600"/>
            <w:shd w:fill="C6EFCE" w:val="clear"/>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Implemented</w:t>
            </w:r>
          </w:p>
        </w:tc>
      </w:tr>
      <w:tr>
        <w:tc>
          <w:tcPr>
            <w:tcW w:type="dxa" w:w="1150"/>
            <w:tcMar>
              <w:top w:type="dxa" w:w="60"/>
              <w:left w:type="dxa" w:w="80"/>
              <w:bottom w:type="dxa" w:w="60"/>
              <w:right w:type="dxa" w:w="80"/>
            </w:tcMar>
            <w:vAlign w:val="center"/>
          </w:tcPr>
          <w:p>
            <w:pPr>
              <w:spacing w:after="20" w:before="20"/>
            </w:pPr>
            <w:r>
              <w:rPr>
                <w:rFonts w:ascii="Calibri" w:cs="Calibri" w:eastAsia="Calibri" w:hAnsi="Calibri"/>
                <w:b/>
                <w:bCs/>
                <w:sz w:val="19"/>
                <w:szCs w:val="19"/>
              </w:rPr>
              <w:t xml:space="preserve">3.1.3 / 3.13.1</w:t>
            </w:r>
          </w:p>
        </w:tc>
        <w:tc>
          <w:tcPr>
            <w:tcW w:type="dxa" w:w="210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Control/monitor/protect organizational communications at external boundaries</w:t>
            </w:r>
          </w:p>
        </w:tc>
        <w:tc>
          <w:tcPr>
            <w:tcW w:type="dxa" w:w="523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Windows Defender Firewall with Advanced Security configured with custom inbound/outbound rules restricting SMB and insecure protocols (Telnet) at the host boundary.</w:t>
            </w:r>
          </w:p>
        </w:tc>
        <w:tc>
          <w:tcPr>
            <w:tcW w:type="dxa" w:w="1600"/>
            <w:shd w:fill="C6EFCE" w:val="clear"/>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Implemented</w:t>
            </w:r>
          </w:p>
        </w:tc>
      </w:tr>
      <w:tr>
        <w:tc>
          <w:tcPr>
            <w:tcW w:type="dxa" w:w="1150"/>
            <w:tcMar>
              <w:top w:type="dxa" w:w="60"/>
              <w:left w:type="dxa" w:w="80"/>
              <w:bottom w:type="dxa" w:w="60"/>
              <w:right w:type="dxa" w:w="80"/>
            </w:tcMar>
            <w:vAlign w:val="center"/>
          </w:tcPr>
          <w:p>
            <w:pPr>
              <w:spacing w:after="20" w:before="20"/>
            </w:pPr>
            <w:r>
              <w:rPr>
                <w:rFonts w:ascii="Calibri" w:cs="Calibri" w:eastAsia="Calibri" w:hAnsi="Calibri"/>
                <w:b/>
                <w:bCs/>
                <w:sz w:val="19"/>
                <w:szCs w:val="19"/>
              </w:rPr>
              <w:t xml:space="preserve">3.4.2</w:t>
            </w:r>
          </w:p>
        </w:tc>
        <w:tc>
          <w:tcPr>
            <w:tcW w:type="dxa" w:w="210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Establish and enforce security configuration settings for IT products</w:t>
            </w:r>
          </w:p>
        </w:tc>
        <w:tc>
          <w:tcPr>
            <w:tcW w:type="dxa" w:w="523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Microsoft Intune compliance policy ("Corporate Device Compliance Baseline") enforcing device-level security configuration; evaluated device reporting Compliant status.</w:t>
            </w:r>
          </w:p>
        </w:tc>
        <w:tc>
          <w:tcPr>
            <w:tcW w:type="dxa" w:w="1600"/>
            <w:shd w:fill="C6EFCE" w:val="clear"/>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Implemented</w:t>
            </w:r>
          </w:p>
        </w:tc>
      </w:tr>
      <w:tr>
        <w:tc>
          <w:tcPr>
            <w:tcW w:type="dxa" w:w="1150"/>
            <w:tcMar>
              <w:top w:type="dxa" w:w="60"/>
              <w:left w:type="dxa" w:w="80"/>
              <w:bottom w:type="dxa" w:w="60"/>
              <w:right w:type="dxa" w:w="80"/>
            </w:tcMar>
            <w:vAlign w:val="center"/>
          </w:tcPr>
          <w:p>
            <w:pPr>
              <w:spacing w:after="20" w:before="20"/>
            </w:pPr>
            <w:r>
              <w:rPr>
                <w:rFonts w:ascii="Calibri" w:cs="Calibri" w:eastAsia="Calibri" w:hAnsi="Calibri"/>
                <w:b/>
                <w:bCs/>
                <w:sz w:val="19"/>
                <w:szCs w:val="19"/>
              </w:rPr>
              <w:t xml:space="preserve">3.1.1 / 3.1.2 (Access Control - Conditional)</w:t>
            </w:r>
          </w:p>
        </w:tc>
        <w:tc>
          <w:tcPr>
            <w:tcW w:type="dxa" w:w="210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Limit information system access to the types of transactions and functions authorized users are permitted to execute</w:t>
            </w:r>
          </w:p>
        </w:tc>
        <w:tc>
          <w:tcPr>
            <w:tcW w:type="dxa" w:w="523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Microsoft Entra Conditional Access policy "Require Compliant Device for Access" requiring device compliance (Intune-evaluated) before granting access to cloud applications. Deployed in Report-only mode for controlled evaluation prior to enforcement.</w:t>
            </w:r>
          </w:p>
        </w:tc>
        <w:tc>
          <w:tcPr>
            <w:tcW w:type="dxa" w:w="1600"/>
            <w:shd w:fill="C6EFCE" w:val="clear"/>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Implemented (Report-only)</w:t>
            </w:r>
          </w:p>
        </w:tc>
      </w:tr>
      <w:tr>
        <w:tc>
          <w:tcPr>
            <w:tcW w:type="dxa" w:w="1150"/>
            <w:tcMar>
              <w:top w:type="dxa" w:w="60"/>
              <w:left w:type="dxa" w:w="80"/>
              <w:bottom w:type="dxa" w:w="60"/>
              <w:right w:type="dxa" w:w="80"/>
            </w:tcMar>
            <w:vAlign w:val="center"/>
          </w:tcPr>
          <w:p>
            <w:pPr>
              <w:spacing w:after="20" w:before="20"/>
            </w:pPr>
            <w:r>
              <w:rPr>
                <w:rFonts w:ascii="Calibri" w:cs="Calibri" w:eastAsia="Calibri" w:hAnsi="Calibri"/>
                <w:b/>
                <w:bCs/>
                <w:sz w:val="19"/>
                <w:szCs w:val="19"/>
              </w:rPr>
              <w:t xml:space="preserve">3.13.11</w:t>
            </w:r>
          </w:p>
        </w:tc>
        <w:tc>
          <w:tcPr>
            <w:tcW w:type="dxa" w:w="210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Employ FIPS-validated cryptography when used to protect the confidentiality of CUI</w:t>
            </w:r>
          </w:p>
        </w:tc>
        <w:tc>
          <w:tcPr>
            <w:tcW w:type="dxa" w:w="523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Not yet implemented in this lab environment; identified as a gap for production deployment (BitLocker with FIPS mode, TLS 1.2+ enforcement).</w:t>
            </w:r>
          </w:p>
        </w:tc>
        <w:tc>
          <w:tcPr>
            <w:tcW w:type="dxa" w:w="1600"/>
            <w:shd w:fill="FCE4D6" w:val="clear"/>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Planned</w:t>
            </w:r>
          </w:p>
        </w:tc>
      </w:tr>
      <w:tr>
        <w:tc>
          <w:tcPr>
            <w:tcW w:type="dxa" w:w="1150"/>
            <w:tcMar>
              <w:top w:type="dxa" w:w="60"/>
              <w:left w:type="dxa" w:w="80"/>
              <w:bottom w:type="dxa" w:w="60"/>
              <w:right w:type="dxa" w:w="80"/>
            </w:tcMar>
            <w:vAlign w:val="center"/>
          </w:tcPr>
          <w:p>
            <w:pPr>
              <w:spacing w:after="20" w:before="20"/>
            </w:pPr>
            <w:r>
              <w:rPr>
                <w:rFonts w:ascii="Calibri" w:cs="Calibri" w:eastAsia="Calibri" w:hAnsi="Calibri"/>
                <w:b/>
                <w:bCs/>
                <w:sz w:val="19"/>
                <w:szCs w:val="19"/>
              </w:rPr>
              <w:t xml:space="preserve">3.11.2</w:t>
            </w:r>
          </w:p>
        </w:tc>
        <w:tc>
          <w:tcPr>
            <w:tcW w:type="dxa" w:w="210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Scan for vulnerabilities in organizational systems and applications periodically</w:t>
            </w:r>
          </w:p>
        </w:tc>
        <w:tc>
          <w:tcPr>
            <w:tcW w:type="dxa" w:w="523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Not covered within this project's scope; recommend integration with existing vulnerability management tooling (see related Nessus vulnerability pipeline project).</w:t>
            </w:r>
          </w:p>
        </w:tc>
        <w:tc>
          <w:tcPr>
            <w:tcW w:type="dxa" w:w="1600"/>
            <w:shd w:fill="FCE4D6" w:val="clear"/>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Planned</w:t>
            </w:r>
          </w:p>
        </w:tc>
      </w:tr>
    </w:tbl>
    <w:p>
      <w:r>
        <w:br w:type="page"/>
      </w:r>
    </w:p>
    <w:p>
      <w:pPr>
        <w:pStyle w:val="Heading1"/>
        <w:spacing w:after="100" w:before="220"/>
      </w:pPr>
      <w:r>
        <w:rPr>
          <w:rFonts w:ascii="Calibri" w:cs="Calibri" w:eastAsia="Calibri" w:hAnsi="Calibri"/>
          <w:b/>
          <w:bCs/>
          <w:color w:val="1F3864"/>
          <w:sz w:val="30"/>
          <w:szCs w:val="30"/>
        </w:rPr>
        <w:t xml:space="preserve">4. CMMC Level 2 Self-Assessment Scorecard</w:t>
      </w:r>
    </w:p>
    <w:p>
      <w:pPr>
        <w:spacing w:after="40" w:before="40"/>
      </w:pPr>
      <w:r>
        <w:rPr>
          <w:rFonts w:ascii="Calibri" w:cs="Calibri" w:eastAsia="Calibri" w:hAnsi="Calibri"/>
          <w:sz w:val="22"/>
          <w:szCs w:val="22"/>
        </w:rPr>
        <w:t xml:space="preserve">The scorecard below summarizes assessed practice areas against CMMC Level 2 domains relevant to the controls implemented in this environment. This is a self-assessment scoped to the technical controls demonstrated in this project and is not a substitute for a formal C3PAO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1960"/>
        <w:gridCol w:w="1960"/>
        <w:gridCol w:w="1960"/>
      </w:tblGrid>
      <w:tr>
        <w:trPr>
          <w:tblHeader/>
        </w:trPr>
        <w:tc>
          <w:tcPr>
            <w:tcW w:type="dxa" w:w="1300"/>
            <w:shd w:fill="1F3864"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9"/>
                <w:szCs w:val="19"/>
              </w:rPr>
              <w:t xml:space="preserve">Domain</w:t>
            </w:r>
          </w:p>
        </w:tc>
        <w:tc>
          <w:tcPr>
            <w:tcW w:type="dxa" w:w="2900"/>
            <w:shd w:fill="1F3864"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9"/>
                <w:szCs w:val="19"/>
              </w:rPr>
              <w:t xml:space="preserve">Practice Area</w:t>
            </w:r>
          </w:p>
        </w:tc>
        <w:tc>
          <w:tcPr>
            <w:tcW w:type="dxa" w:w="1960"/>
            <w:shd w:fill="1F3864"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9"/>
                <w:szCs w:val="19"/>
              </w:rPr>
              <w:t xml:space="preserve">Practices Assessed</w:t>
            </w:r>
          </w:p>
        </w:tc>
        <w:tc>
          <w:tcPr>
            <w:tcW w:type="dxa" w:w="1960"/>
            <w:shd w:fill="1F3864"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9"/>
                <w:szCs w:val="19"/>
              </w:rPr>
              <w:t xml:space="preserve">Practices Met</w:t>
            </w:r>
          </w:p>
        </w:tc>
        <w:tc>
          <w:tcPr>
            <w:tcW w:type="dxa" w:w="1960"/>
            <w:shd w:fill="1F3864" w:val="clear"/>
            <w:tcMar>
              <w:top w:type="dxa" w:w="60"/>
              <w:left w:type="dxa" w:w="80"/>
              <w:bottom w:type="dxa" w:w="60"/>
              <w:right w:type="dxa" w:w="80"/>
            </w:tcMar>
            <w:vAlign w:val="center"/>
          </w:tcPr>
          <w:p>
            <w:pPr>
              <w:spacing w:after="20" w:before="20"/>
            </w:pPr>
            <w:r>
              <w:rPr>
                <w:rFonts w:ascii="Calibri" w:cs="Calibri" w:eastAsia="Calibri" w:hAnsi="Calibri"/>
                <w:b/>
                <w:bCs/>
                <w:color w:val="FFFFFF"/>
                <w:sz w:val="19"/>
                <w:szCs w:val="19"/>
              </w:rPr>
              <w:t xml:space="preserve">Status</w:t>
            </w:r>
          </w:p>
        </w:tc>
      </w:tr>
      <w:tr>
        <w:tc>
          <w:tcPr>
            <w:tcW w:type="dxa" w:w="1300"/>
            <w:tcMar>
              <w:top w:type="dxa" w:w="60"/>
              <w:left w:type="dxa" w:w="80"/>
              <w:bottom w:type="dxa" w:w="60"/>
              <w:right w:type="dxa" w:w="80"/>
            </w:tcMar>
            <w:vAlign w:val="center"/>
          </w:tcPr>
          <w:p>
            <w:pPr>
              <w:spacing w:after="20" w:before="20"/>
            </w:pPr>
            <w:r>
              <w:rPr>
                <w:rFonts w:ascii="Calibri" w:cs="Calibri" w:eastAsia="Calibri" w:hAnsi="Calibri"/>
                <w:b/>
                <w:bCs/>
                <w:sz w:val="19"/>
                <w:szCs w:val="19"/>
              </w:rPr>
              <w:t xml:space="preserve">AC</w:t>
            </w:r>
          </w:p>
        </w:tc>
        <w:tc>
          <w:tcPr>
            <w:tcW w:type="dxa" w:w="290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Access Control</w:t>
            </w:r>
          </w:p>
        </w:tc>
        <w:tc>
          <w:tcPr>
            <w:tcW w:type="dxa" w:w="196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4</w:t>
            </w:r>
          </w:p>
        </w:tc>
        <w:tc>
          <w:tcPr>
            <w:tcW w:type="dxa" w:w="196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3</w:t>
            </w:r>
          </w:p>
        </w:tc>
        <w:tc>
          <w:tcPr>
            <w:tcW w:type="dxa" w:w="1960"/>
            <w:shd w:fill="FFF2CC" w:val="clear"/>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75% Met</w:t>
            </w:r>
          </w:p>
        </w:tc>
      </w:tr>
      <w:tr>
        <w:tc>
          <w:tcPr>
            <w:tcW w:type="dxa" w:w="1300"/>
            <w:tcMar>
              <w:top w:type="dxa" w:w="60"/>
              <w:left w:type="dxa" w:w="80"/>
              <w:bottom w:type="dxa" w:w="60"/>
              <w:right w:type="dxa" w:w="80"/>
            </w:tcMar>
            <w:vAlign w:val="center"/>
          </w:tcPr>
          <w:p>
            <w:pPr>
              <w:spacing w:after="20" w:before="20"/>
            </w:pPr>
            <w:r>
              <w:rPr>
                <w:rFonts w:ascii="Calibri" w:cs="Calibri" w:eastAsia="Calibri" w:hAnsi="Calibri"/>
                <w:b/>
                <w:bCs/>
                <w:sz w:val="19"/>
                <w:szCs w:val="19"/>
              </w:rPr>
              <w:t xml:space="preserve">IA</w:t>
            </w:r>
          </w:p>
        </w:tc>
        <w:tc>
          <w:tcPr>
            <w:tcW w:type="dxa" w:w="290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Identification &amp; Authentication</w:t>
            </w:r>
          </w:p>
        </w:tc>
        <w:tc>
          <w:tcPr>
            <w:tcW w:type="dxa" w:w="196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3</w:t>
            </w:r>
          </w:p>
        </w:tc>
        <w:tc>
          <w:tcPr>
            <w:tcW w:type="dxa" w:w="196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3</w:t>
            </w:r>
          </w:p>
        </w:tc>
        <w:tc>
          <w:tcPr>
            <w:tcW w:type="dxa" w:w="1960"/>
            <w:shd w:fill="C6EFCE" w:val="clear"/>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100% Met</w:t>
            </w:r>
          </w:p>
        </w:tc>
      </w:tr>
      <w:tr>
        <w:tc>
          <w:tcPr>
            <w:tcW w:type="dxa" w:w="1300"/>
            <w:tcMar>
              <w:top w:type="dxa" w:w="60"/>
              <w:left w:type="dxa" w:w="80"/>
              <w:bottom w:type="dxa" w:w="60"/>
              <w:right w:type="dxa" w:w="80"/>
            </w:tcMar>
            <w:vAlign w:val="center"/>
          </w:tcPr>
          <w:p>
            <w:pPr>
              <w:spacing w:after="20" w:before="20"/>
            </w:pPr>
            <w:r>
              <w:rPr>
                <w:rFonts w:ascii="Calibri" w:cs="Calibri" w:eastAsia="Calibri" w:hAnsi="Calibri"/>
                <w:b/>
                <w:bCs/>
                <w:sz w:val="19"/>
                <w:szCs w:val="19"/>
              </w:rPr>
              <w:t xml:space="preserve">SC</w:t>
            </w:r>
          </w:p>
        </w:tc>
        <w:tc>
          <w:tcPr>
            <w:tcW w:type="dxa" w:w="290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System &amp; Communications Protection</w:t>
            </w:r>
          </w:p>
        </w:tc>
        <w:tc>
          <w:tcPr>
            <w:tcW w:type="dxa" w:w="196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3</w:t>
            </w:r>
          </w:p>
        </w:tc>
        <w:tc>
          <w:tcPr>
            <w:tcW w:type="dxa" w:w="196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2</w:t>
            </w:r>
          </w:p>
        </w:tc>
        <w:tc>
          <w:tcPr>
            <w:tcW w:type="dxa" w:w="1960"/>
            <w:shd w:fill="FFF2CC" w:val="clear"/>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67% Met</w:t>
            </w:r>
          </w:p>
        </w:tc>
      </w:tr>
      <w:tr>
        <w:tc>
          <w:tcPr>
            <w:tcW w:type="dxa" w:w="1300"/>
            <w:tcMar>
              <w:top w:type="dxa" w:w="60"/>
              <w:left w:type="dxa" w:w="80"/>
              <w:bottom w:type="dxa" w:w="60"/>
              <w:right w:type="dxa" w:w="80"/>
            </w:tcMar>
            <w:vAlign w:val="center"/>
          </w:tcPr>
          <w:p>
            <w:pPr>
              <w:spacing w:after="20" w:before="20"/>
            </w:pPr>
            <w:r>
              <w:rPr>
                <w:rFonts w:ascii="Calibri" w:cs="Calibri" w:eastAsia="Calibri" w:hAnsi="Calibri"/>
                <w:b/>
                <w:bCs/>
                <w:sz w:val="19"/>
                <w:szCs w:val="19"/>
              </w:rPr>
              <w:t xml:space="preserve">CM</w:t>
            </w:r>
          </w:p>
        </w:tc>
        <w:tc>
          <w:tcPr>
            <w:tcW w:type="dxa" w:w="290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Configuration Management</w:t>
            </w:r>
          </w:p>
        </w:tc>
        <w:tc>
          <w:tcPr>
            <w:tcW w:type="dxa" w:w="196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1</w:t>
            </w:r>
          </w:p>
        </w:tc>
        <w:tc>
          <w:tcPr>
            <w:tcW w:type="dxa" w:w="196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1</w:t>
            </w:r>
          </w:p>
        </w:tc>
        <w:tc>
          <w:tcPr>
            <w:tcW w:type="dxa" w:w="1960"/>
            <w:shd w:fill="C6EFCE" w:val="clear"/>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100% Met</w:t>
            </w:r>
          </w:p>
        </w:tc>
      </w:tr>
      <w:tr>
        <w:tc>
          <w:tcPr>
            <w:tcW w:type="dxa" w:w="1300"/>
            <w:tcMar>
              <w:top w:type="dxa" w:w="60"/>
              <w:left w:type="dxa" w:w="80"/>
              <w:bottom w:type="dxa" w:w="60"/>
              <w:right w:type="dxa" w:w="80"/>
            </w:tcMar>
            <w:vAlign w:val="center"/>
          </w:tcPr>
          <w:p>
            <w:pPr>
              <w:spacing w:after="20" w:before="20"/>
            </w:pPr>
            <w:r>
              <w:rPr>
                <w:rFonts w:ascii="Calibri" w:cs="Calibri" w:eastAsia="Calibri" w:hAnsi="Calibri"/>
                <w:b/>
                <w:bCs/>
                <w:sz w:val="19"/>
                <w:szCs w:val="19"/>
              </w:rPr>
              <w:t xml:space="preserve">RA</w:t>
            </w:r>
          </w:p>
        </w:tc>
        <w:tc>
          <w:tcPr>
            <w:tcW w:type="dxa" w:w="290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Risk Assessment</w:t>
            </w:r>
          </w:p>
        </w:tc>
        <w:tc>
          <w:tcPr>
            <w:tcW w:type="dxa" w:w="196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1</w:t>
            </w:r>
          </w:p>
        </w:tc>
        <w:tc>
          <w:tcPr>
            <w:tcW w:type="dxa" w:w="1960"/>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0</w:t>
            </w:r>
          </w:p>
        </w:tc>
        <w:tc>
          <w:tcPr>
            <w:tcW w:type="dxa" w:w="1960"/>
            <w:shd w:fill="FCE4D6" w:val="clear"/>
            <w:tcMar>
              <w:top w:type="dxa" w:w="60"/>
              <w:left w:type="dxa" w:w="80"/>
              <w:bottom w:type="dxa" w:w="60"/>
              <w:right w:type="dxa" w:w="80"/>
            </w:tcMar>
            <w:vAlign w:val="center"/>
          </w:tcPr>
          <w:p>
            <w:pPr>
              <w:spacing w:after="20" w:before="20"/>
            </w:pPr>
            <w:r>
              <w:rPr>
                <w:rFonts w:ascii="Calibri" w:cs="Calibri" w:eastAsia="Calibri" w:hAnsi="Calibri"/>
                <w:sz w:val="19"/>
                <w:szCs w:val="19"/>
              </w:rPr>
              <w:t xml:space="preserve">0% Met</w:t>
            </w:r>
          </w:p>
        </w:tc>
      </w:tr>
    </w:tbl>
    <w:p>
      <w:pPr>
        <w:pStyle w:val="Heading2"/>
        <w:spacing w:after="100" w:before="220"/>
      </w:pPr>
      <w:r>
        <w:rPr>
          <w:rFonts w:ascii="Calibri" w:cs="Calibri" w:eastAsia="Calibri" w:hAnsi="Calibri"/>
          <w:b/>
          <w:bCs/>
          <w:color w:val="1F3864"/>
          <w:sz w:val="24"/>
          <w:szCs w:val="24"/>
        </w:rPr>
        <w:t xml:space="preserve">Assessment Result</w:t>
      </w:r>
    </w:p>
    <w:p>
      <w:pPr>
        <w:spacing w:after="40" w:before="40"/>
      </w:pPr>
      <w:r>
        <w:rPr>
          <w:rFonts w:ascii="Calibri" w:cs="Calibri" w:eastAsia="Calibri" w:hAnsi="Calibri"/>
          <w:sz w:val="22"/>
          <w:szCs w:val="22"/>
        </w:rPr>
        <w:t xml:space="preserve">This lab environment shows 12 of 15 assessed practices met, based on hands-on configuration work and screenshot-documented evidence. The two gaps, FIPS-validated cryptography and periodic vulnerability scanning, are realistic items for a production rollout and match the kind of remediation list a managed compliance service provider would hand a client during onboarding.</w:t>
      </w:r>
    </w:p>
    <w:p>
      <w:pPr>
        <w:pStyle w:val="Heading1"/>
        <w:spacing w:after="100" w:before="220"/>
      </w:pPr>
      <w:r>
        <w:rPr>
          <w:rFonts w:ascii="Calibri" w:cs="Calibri" w:eastAsia="Calibri" w:hAnsi="Calibri"/>
          <w:b/>
          <w:bCs/>
          <w:color w:val="1F3864"/>
          <w:sz w:val="30"/>
          <w:szCs w:val="30"/>
        </w:rPr>
        <w:t xml:space="preserve">5. Remediation Roadmap</w:t>
      </w:r>
    </w:p>
    <w:p>
      <w:pPr>
        <w:pStyle w:val="ListParagraph"/>
        <w:numPr>
          <w:ilvl w:val="0"/>
          <w:numId w:val="1"/>
        </w:numPr>
        <w:spacing w:after="20" w:before="20"/>
      </w:pPr>
      <w:r>
        <w:rPr>
          <w:rFonts w:ascii="Calibri" w:cs="Calibri" w:eastAsia="Calibri" w:hAnsi="Calibri"/>
          <w:sz w:val="22"/>
          <w:szCs w:val="22"/>
        </w:rPr>
        <w:t xml:space="preserve">Enable BitLocker with FIPS-compliant algorithm selection on all managed endpoints (addresses 3.13.11).</w:t>
      </w:r>
    </w:p>
    <w:p>
      <w:pPr>
        <w:pStyle w:val="ListParagraph"/>
        <w:numPr>
          <w:ilvl w:val="0"/>
          <w:numId w:val="1"/>
        </w:numPr>
        <w:spacing w:after="20" w:before="20"/>
      </w:pPr>
      <w:r>
        <w:rPr>
          <w:rFonts w:ascii="Calibri" w:cs="Calibri" w:eastAsia="Calibri" w:hAnsi="Calibri"/>
          <w:sz w:val="22"/>
          <w:szCs w:val="22"/>
        </w:rPr>
        <w:t xml:space="preserve">Integrate a recurring vulnerability scanning cadence (e.g., Nessus or equivalent) against domain-joined and Intune-managed assets (addresses 3.11.2).</w:t>
      </w:r>
    </w:p>
    <w:p>
      <w:pPr>
        <w:pStyle w:val="ListParagraph"/>
        <w:numPr>
          <w:ilvl w:val="0"/>
          <w:numId w:val="1"/>
        </w:numPr>
        <w:spacing w:after="20" w:before="20"/>
      </w:pPr>
      <w:r>
        <w:rPr>
          <w:rFonts w:ascii="Calibri" w:cs="Calibri" w:eastAsia="Calibri" w:hAnsi="Calibri"/>
          <w:sz w:val="22"/>
          <w:szCs w:val="22"/>
        </w:rPr>
        <w:t xml:space="preserve">Transition the Conditional Access policy from Report-only to enforced (On) status following a monitoring period to confirm no unintended access disruption.</w:t>
      </w:r>
    </w:p>
    <w:p>
      <w:pPr>
        <w:pStyle w:val="ListParagraph"/>
        <w:numPr>
          <w:ilvl w:val="0"/>
          <w:numId w:val="1"/>
        </w:numPr>
        <w:spacing w:after="20" w:before="20"/>
      </w:pPr>
      <w:r>
        <w:rPr>
          <w:rFonts w:ascii="Calibri" w:cs="Calibri" w:eastAsia="Calibri" w:hAnsi="Calibri"/>
          <w:sz w:val="22"/>
          <w:szCs w:val="22"/>
        </w:rPr>
        <w:t xml:space="preserve">Extend Intune compliance policy coverage to mobile platforms (iOS/Android) referenced in the broader customer device management scope.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4"/>
        <w:szCs w:val="14"/>
      </w:rPr>
      <w:t xml:space="preserve">Page </w:t>
    </w:r>
    <w:r>
      <w:rPr>
        <w:rFonts w:ascii="Calibri" w:cs="Calibri" w:eastAsia="Calibri" w:hAnsi="Calibri"/>
        <w:color w:val="808080"/>
        <w:sz w:val="14"/>
        <w:szCs w:val="14"/>
      </w:rPr>
      <w:fldChar w:fldCharType="begin"/>
      <w:instrText xml:space="preserve">PAGE</w:instrText>
      <w:fldChar w:fldCharType="separate"/>
      <w:fldChar w:fldCharType="end"/>
    </w:r>
    <w:r>
      <w:rPr>
        <w:rFonts w:ascii="Calibri" w:cs="Calibri" w:eastAsia="Calibri" w:hAnsi="Calibri"/>
        <w:color w:val="808080"/>
        <w:sz w:val="14"/>
        <w:szCs w:val="14"/>
      </w:rPr>
      <w:t xml:space="preserve"> of </w:t>
    </w:r>
    <w:r>
      <w:rPr>
        <w:rFonts w:ascii="Calibri" w:cs="Calibri" w:eastAsia="Calibri" w:hAnsi="Calibri"/>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4"/>
        <w:szCs w:val="14"/>
      </w:rPr>
      <w:t xml:space="preserve">System Security Plan, NIST 800-171 / CMMC Level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2026-07-17T03:52:33.908Z</dcterms:created>
  <dcterms:modified xsi:type="dcterms:W3CDTF">2026-07-17T03:52:33.908Z</dcterms:modified>
</cp:coreProperties>
</file>

<file path=docProps/custom.xml><?xml version="1.0" encoding="utf-8"?>
<Properties xmlns="http://schemas.openxmlformats.org/officeDocument/2006/custom-properties" xmlns:vt="http://schemas.openxmlformats.org/officeDocument/2006/docPropsVTypes"/>
</file>