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z w:val="30"/>
          <w:szCs w:val="30"/>
        </w:rPr>
        <w:t xml:space="preserve">NOTE D'ANALYSE — DILIGENCE AVANT ACQUISITION</w:t>
      </w:r>
    </w:p>
    <w:p>
      <w:pPr>
        <w:spacing w:after="40"/>
      </w:pPr>
      <w:r>
        <w:rPr>
          <w:i/>
          <w:iCs/>
          <w:color w:val="595959"/>
          <w:sz w:val="22"/>
          <w:szCs w:val="22"/>
        </w:rPr>
        <w:t xml:space="preserve">Bien situé 21 rue Maria Casarès, 49100 Angers — Historique sinistre « fissures / structure »</w:t>
      </w:r>
    </w:p>
    <w:p>
      <w:pPr>
        <w:pBdr>
          <w:bottom w:val="single" w:color="2E5496" w:sz="12" w:space="4"/>
        </w:pBdr>
        <w:spacing w:after="60"/>
      </w:pPr>
      <w:r>
        <w:rPr>
          <w:color w:val="595959"/>
          <w:sz w:val="18"/>
          <w:szCs w:val="18"/>
        </w:rPr>
        <w:t xml:space="preserve">Établie le 30/07/2026 · Document d'aide à la décision</w:t>
      </w:r>
    </w:p>
    <w:p>
      <w:pPr>
        <w:pStyle w:val="Heading1"/>
        <w:spacing w:after="140" w:before="280"/>
      </w:pPr>
      <w:r>
        <w:rPr>
          <w:b/>
          <w:bCs/>
          <w:color w:val="1F3864"/>
          <w:sz w:val="28"/>
          <w:szCs w:val="28"/>
        </w:rPr>
        <w:t xml:space="preserve">1. Objet et réponse synthétique</w:t>
      </w:r>
    </w:p>
    <w:p>
      <w:pPr>
        <w:spacing w:after="120" w:line="276"/>
      </w:pPr>
      <w:r>
        <w:rPr>
          <w:sz w:val="21"/>
          <w:szCs w:val="21"/>
        </w:rPr>
        <w:t xml:space="preserve">Vous êtes en cours de signature du compromis. Vous demandez : (i) la chronologie des événements, (ii) une analyse, (iii) une recommandation — le dossier est-il « safe » ou faut-il faire intervenir un expert ?</w:t>
      </w:r>
    </w:p>
    <w:p>
      <w:pPr>
        <w:spacing w:after="120" w:line="276"/>
      </w:pPr>
      <w:r>
        <w:rPr>
          <w:b/>
          <w:bCs/>
          <w:sz w:val="21"/>
          <w:szCs w:val="21"/>
        </w:rPr>
        <w:t xml:space="preserve">Réponse directe : </w:t>
      </w:r>
      <w:r>
        <w:rPr>
          <w:sz w:val="21"/>
          <w:szCs w:val="21"/>
        </w:rPr>
        <w:t xml:space="preserve">le bien n'est pas « à fuir », mais il ne peut pas être qualifié de « safe » en l'état. Le désordre principal a touché un </w:t>
      </w:r>
      <w:r>
        <w:rPr>
          <w:b/>
          <w:bCs/>
          <w:sz w:val="21"/>
          <w:szCs w:val="21"/>
        </w:rPr>
        <w:t xml:space="preserve">élément porteur (la poutre maîtresse du séjour)</w:t>
      </w:r>
      <w:r>
        <w:rPr>
          <w:sz w:val="21"/>
          <w:szCs w:val="21"/>
        </w:rPr>
        <w:t xml:space="preserve"> et a été officiellement reconnu comme une </w:t>
      </w:r>
      <w:r>
        <w:rPr>
          <w:b/>
          <w:bCs/>
          <w:sz w:val="21"/>
          <w:szCs w:val="21"/>
        </w:rPr>
        <w:t xml:space="preserve">atteinte à la solidité de l'ouvrage</w:t>
      </w:r>
      <w:r>
        <w:rPr>
          <w:sz w:val="21"/>
          <w:szCs w:val="21"/>
        </w:rPr>
        <w:t xml:space="preserve"> — soit un désordre de nature décennale. La réparation a été réalisée sous étude d'ingénierie, mais avec une exécution contestée (sommiers non posés, variante), une </w:t>
      </w:r>
      <w:r>
        <w:rPr>
          <w:b/>
          <w:bCs/>
          <w:sz w:val="21"/>
          <w:szCs w:val="21"/>
        </w:rPr>
        <w:t xml:space="preserve">réception prononcée AVEC réserves</w:t>
      </w:r>
      <w:r>
        <w:rPr>
          <w:sz w:val="21"/>
          <w:szCs w:val="21"/>
        </w:rPr>
        <w:t xml:space="preserve">, et un second sinistre en 2024 directement causé par ces travaux. Dans ce contexte, nous recommandons de faire intervenir un expert bâtiment / structure indépendant avant l'acte définitif (idéalement via une condition suspensive).</w:t>
      </w:r>
    </w:p>
    <w:p>
      <w:pPr>
        <w:pStyle w:val="Heading1"/>
        <w:spacing w:after="140" w:before="280"/>
      </w:pPr>
      <w:r>
        <w:rPr>
          <w:b/>
          <w:bCs/>
          <w:color w:val="1F3864"/>
          <w:sz w:val="28"/>
          <w:szCs w:val="28"/>
        </w:rPr>
        <w:t xml:space="preserve">2. Chronologie des événements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jc w:val="left"/>
            </w:pPr>
            <w:r>
              <w:rPr>
                <w:b/>
                <w:bCs/>
                <w:color w:val="FFFFFF"/>
                <w:sz w:val="19"/>
                <w:szCs w:val="19"/>
              </w:rPr>
              <w:t xml:space="preserve">Date</w:t>
            </w:r>
          </w:p>
        </w:tc>
        <w:tc>
          <w:tcPr>
            <w:tcW w:type="dxa" w:w="7860"/>
            <w:shd w:fill="1F3864" w:color="auto" w:val="clear"/>
            <w:tcMar>
              <w:top w:type="dxa" w:w="60"/>
              <w:left w:type="dxa" w:w="90"/>
              <w:bottom w:type="dxa" w:w="60"/>
              <w:right w:type="dxa" w:w="90"/>
            </w:tcMar>
          </w:tcPr>
          <w:p>
            <w:pPr>
              <w:jc w:val="left"/>
            </w:pPr>
            <w:r>
              <w:rPr>
                <w:b/>
                <w:bCs/>
                <w:color w:val="FFFFFF"/>
                <w:sz w:val="19"/>
                <w:szCs w:val="19"/>
              </w:rPr>
              <w:t xml:space="preserve">Événement</w:t>
            </w:r>
          </w:p>
        </w:tc>
      </w:tr>
      <w:tr>
        <w:tc>
          <w:tcPr>
            <w:tcW w:type="dxa" w:w="1500"/>
            <w:shd w:fill="F2F5FB" w:color="auto" w:val="clear"/>
            <w:tcMar>
              <w:top w:type="dxa" w:w="60"/>
              <w:left w:type="dxa" w:w="90"/>
              <w:bottom w:type="dxa" w:w="60"/>
              <w:right w:type="dxa" w:w="90"/>
            </w:tcMar>
          </w:tcPr>
          <w:p>
            <w:pPr>
              <w:jc w:val="left"/>
            </w:pPr>
            <w:r>
              <w:rPr>
                <w:b/>
                <w:bCs/>
                <w:color w:val="000000"/>
                <w:sz w:val="19"/>
                <w:szCs w:val="19"/>
              </w:rPr>
              <w:t xml:space="preserve">13/06/2017</w:t>
            </w:r>
          </w:p>
        </w:tc>
        <w:tc>
          <w:tcPr>
            <w:tcW w:type="dxa" w:w="7860"/>
            <w:shd w:fill="F2F5FB" w:color="auto" w:val="clear"/>
            <w:tcMar>
              <w:top w:type="dxa" w:w="60"/>
              <w:left w:type="dxa" w:w="90"/>
              <w:bottom w:type="dxa" w:w="60"/>
              <w:right w:type="dxa" w:w="90"/>
            </w:tcMar>
          </w:tcPr>
          <w:p>
            <w:pPr>
              <w:jc w:val="left"/>
            </w:pPr>
            <w:r>
              <w:rPr>
                <w:b w:val="false"/>
                <w:bCs w:val="false"/>
                <w:color w:val="000000"/>
                <w:sz w:val="19"/>
                <w:szCs w:val="19"/>
              </w:rPr>
              <w:t xml:space="preserve">Signature du Contrat de Construction de Maison Individuelle (CCMI) avec la SARL LOGEMAINE (constructeur). Gros œuvre / ravalement sous-traités à la SARL CHEVALLIER.</w:t>
            </w:r>
          </w:p>
        </w:tc>
      </w:tr>
      <w:tr>
        <w:tc>
          <w:tcPr>
            <w:tcW w:type="dxa" w:w="1500"/>
            <w:shd w:fill="FFFFFF" w:color="auto" w:val="clear"/>
            <w:tcMar>
              <w:top w:type="dxa" w:w="60"/>
              <w:left w:type="dxa" w:w="90"/>
              <w:bottom w:type="dxa" w:w="60"/>
              <w:right w:type="dxa" w:w="90"/>
            </w:tcMar>
          </w:tcPr>
          <w:p>
            <w:pPr>
              <w:jc w:val="left"/>
            </w:pPr>
            <w:r>
              <w:rPr>
                <w:b/>
                <w:bCs/>
                <w:color w:val="000000"/>
                <w:sz w:val="19"/>
                <w:szCs w:val="19"/>
              </w:rPr>
              <w:t xml:space="preserve">13/10/2017</w:t>
            </w:r>
          </w:p>
        </w:tc>
        <w:tc>
          <w:tcPr>
            <w:tcW w:type="dxa" w:w="7860"/>
            <w:shd w:fill="FFFFFF" w:color="auto" w:val="clear"/>
            <w:tcMar>
              <w:top w:type="dxa" w:w="60"/>
              <w:left w:type="dxa" w:w="90"/>
              <w:bottom w:type="dxa" w:w="60"/>
              <w:right w:type="dxa" w:w="90"/>
            </w:tcMar>
          </w:tcPr>
          <w:p>
            <w:pPr>
              <w:jc w:val="left"/>
            </w:pPr>
            <w:r>
              <w:rPr>
                <w:b w:val="false"/>
                <w:bCs w:val="false"/>
                <w:color w:val="000000"/>
                <w:sz w:val="19"/>
                <w:szCs w:val="19"/>
              </w:rPr>
              <w:t xml:space="preserve">Date d'Ouverture de Chantier (DOC) — point de départ des garanties (vérifiée).</w:t>
            </w:r>
          </w:p>
        </w:tc>
      </w:tr>
      <w:tr>
        <w:tc>
          <w:tcPr>
            <w:tcW w:type="dxa" w:w="1500"/>
            <w:shd w:fill="F2F5FB" w:color="auto" w:val="clear"/>
            <w:tcMar>
              <w:top w:type="dxa" w:w="60"/>
              <w:left w:type="dxa" w:w="90"/>
              <w:bottom w:type="dxa" w:w="60"/>
              <w:right w:type="dxa" w:w="90"/>
            </w:tcMar>
          </w:tcPr>
          <w:p>
            <w:pPr>
              <w:jc w:val="left"/>
            </w:pPr>
            <w:r>
              <w:rPr>
                <w:b/>
                <w:bCs/>
                <w:color w:val="000000"/>
                <w:sz w:val="19"/>
                <w:szCs w:val="19"/>
              </w:rPr>
              <w:t xml:space="preserve">09/07/2018</w:t>
            </w:r>
          </w:p>
        </w:tc>
        <w:tc>
          <w:tcPr>
            <w:tcW w:type="dxa" w:w="7860"/>
            <w:shd w:fill="F2F5FB" w:color="auto" w:val="clear"/>
            <w:tcMar>
              <w:top w:type="dxa" w:w="60"/>
              <w:left w:type="dxa" w:w="90"/>
              <w:bottom w:type="dxa" w:w="60"/>
              <w:right w:type="dxa" w:w="90"/>
            </w:tcMar>
          </w:tcPr>
          <w:p>
            <w:pPr>
              <w:jc w:val="left"/>
            </w:pPr>
            <w:r>
              <w:rPr>
                <w:b w:val="false"/>
                <w:bCs w:val="false"/>
                <w:color w:val="000000"/>
                <w:sz w:val="19"/>
                <w:szCs w:val="19"/>
              </w:rPr>
              <w:t xml:space="preserve">Réception de la maison SANS réserve (PV Logemaine). Départ des garanties légales : parfait achèvement (1 an), bon fonctionnement (2 ans) et décennale (10 ans, soit jusqu'au 09/07/2028).</w:t>
            </w:r>
          </w:p>
        </w:tc>
      </w:tr>
      <w:tr>
        <w:tc>
          <w:tcPr>
            <w:tcW w:type="dxa" w:w="1500"/>
            <w:shd w:fill="FFFFFF" w:color="auto" w:val="clear"/>
            <w:tcMar>
              <w:top w:type="dxa" w:w="60"/>
              <w:left w:type="dxa" w:w="90"/>
              <w:bottom w:type="dxa" w:w="60"/>
              <w:right w:type="dxa" w:w="90"/>
            </w:tcMar>
          </w:tcPr>
          <w:p>
            <w:pPr>
              <w:jc w:val="left"/>
            </w:pPr>
            <w:r>
              <w:rPr>
                <w:b/>
                <w:bCs/>
                <w:color w:val="000000"/>
                <w:sz w:val="19"/>
                <w:szCs w:val="19"/>
              </w:rPr>
              <w:t xml:space="preserve">26/08/2019</w:t>
            </w:r>
          </w:p>
        </w:tc>
        <w:tc>
          <w:tcPr>
            <w:tcW w:type="dxa" w:w="7860"/>
            <w:shd w:fill="FFFFFF" w:color="auto" w:val="clear"/>
            <w:tcMar>
              <w:top w:type="dxa" w:w="60"/>
              <w:left w:type="dxa" w:w="90"/>
              <w:bottom w:type="dxa" w:w="60"/>
              <w:right w:type="dxa" w:w="90"/>
            </w:tcMar>
          </w:tcPr>
          <w:p>
            <w:pPr>
              <w:jc w:val="left"/>
            </w:pPr>
            <w:r>
              <w:rPr>
                <w:b w:val="false"/>
                <w:bCs w:val="false"/>
                <w:color w:val="000000"/>
                <w:sz w:val="19"/>
                <w:szCs w:val="19"/>
              </w:rPr>
              <w:t xml:space="preserve">Déclaration de sinistre n°1 (Dommages-Ouvrage MMA, réf. 19727711263B) : fissures multiples et désordres divers (2ᵉ année de garantie).</w:t>
            </w:r>
          </w:p>
        </w:tc>
      </w:tr>
      <w:tr>
        <w:tc>
          <w:tcPr>
            <w:tcW w:type="dxa" w:w="1500"/>
            <w:shd w:fill="F2F5FB" w:color="auto" w:val="clear"/>
            <w:tcMar>
              <w:top w:type="dxa" w:w="60"/>
              <w:left w:type="dxa" w:w="90"/>
              <w:bottom w:type="dxa" w:w="60"/>
              <w:right w:type="dxa" w:w="90"/>
            </w:tcMar>
          </w:tcPr>
          <w:p>
            <w:pPr>
              <w:jc w:val="left"/>
            </w:pPr>
            <w:r>
              <w:rPr>
                <w:b/>
                <w:bCs/>
                <w:color w:val="000000"/>
                <w:sz w:val="19"/>
                <w:szCs w:val="19"/>
              </w:rPr>
              <w:t xml:space="preserve">22/10/2019</w:t>
            </w:r>
          </w:p>
        </w:tc>
        <w:tc>
          <w:tcPr>
            <w:tcW w:type="dxa" w:w="7860"/>
            <w:shd w:fill="F2F5FB" w:color="auto" w:val="clear"/>
            <w:tcMar>
              <w:top w:type="dxa" w:w="60"/>
              <w:left w:type="dxa" w:w="90"/>
              <w:bottom w:type="dxa" w:w="60"/>
              <w:right w:type="dxa" w:w="90"/>
            </w:tcMar>
          </w:tcPr>
          <w:p>
            <w:pPr>
              <w:jc w:val="left"/>
            </w:pPr>
            <w:r>
              <w:rPr>
                <w:b w:val="false"/>
                <w:bCs w:val="false"/>
                <w:color w:val="000000"/>
                <w:sz w:val="19"/>
                <w:szCs w:val="19"/>
              </w:rPr>
              <w:t xml:space="preserve">Rapport préliminaire EURISK : 7 désordres relevés. Le désordre n°4 (fissures pignon Sud-Ouest, 1er étage) est le seul potentiellement structurel — chiffre d'ouverture 40 000 €. L'expert d'assuré (M. Chenais) évoque une atteinte à la solidité.</w:t>
            </w:r>
          </w:p>
        </w:tc>
      </w:tr>
      <w:tr>
        <w:tc>
          <w:tcPr>
            <w:tcW w:type="dxa" w:w="1500"/>
            <w:shd w:fill="FFFFFF" w:color="auto" w:val="clear"/>
            <w:tcMar>
              <w:top w:type="dxa" w:w="60"/>
              <w:left w:type="dxa" w:w="90"/>
              <w:bottom w:type="dxa" w:w="60"/>
              <w:right w:type="dxa" w:w="90"/>
            </w:tcMar>
          </w:tcPr>
          <w:p>
            <w:pPr>
              <w:jc w:val="left"/>
            </w:pPr>
            <w:r>
              <w:rPr>
                <w:b/>
                <w:bCs/>
                <w:color w:val="000000"/>
                <w:sz w:val="19"/>
                <w:szCs w:val="19"/>
              </w:rPr>
              <w:t xml:space="preserve">10/07/2020</w:t>
            </w:r>
          </w:p>
        </w:tc>
        <w:tc>
          <w:tcPr>
            <w:tcW w:type="dxa" w:w="7860"/>
            <w:shd w:fill="FFFFFF" w:color="auto" w:val="clear"/>
            <w:tcMar>
              <w:top w:type="dxa" w:w="60"/>
              <w:left w:type="dxa" w:w="90"/>
              <w:bottom w:type="dxa" w:w="60"/>
              <w:right w:type="dxa" w:w="90"/>
            </w:tcMar>
          </w:tcPr>
          <w:p>
            <w:pPr>
              <w:jc w:val="left"/>
            </w:pPr>
            <w:r>
              <w:rPr>
                <w:b w:val="false"/>
                <w:bCs w:val="false"/>
                <w:color w:val="000000"/>
                <w:sz w:val="19"/>
                <w:szCs w:val="19"/>
              </w:rPr>
              <w:t xml:space="preserve">Diagnostic structure du BET AIA INGÉNIERIE : cause = flexion de la poutre maîtresse du séjour. Solution préconisée = renforcement par profilé métallique (PRS) ancré dans les murs, avec reprise des charges en about par sommiers béton.</w:t>
            </w:r>
          </w:p>
        </w:tc>
      </w:tr>
      <w:tr>
        <w:tc>
          <w:tcPr>
            <w:tcW w:type="dxa" w:w="1500"/>
            <w:shd w:fill="F2F5FB" w:color="auto" w:val="clear"/>
            <w:tcMar>
              <w:top w:type="dxa" w:w="60"/>
              <w:left w:type="dxa" w:w="90"/>
              <w:bottom w:type="dxa" w:w="60"/>
              <w:right w:type="dxa" w:w="90"/>
            </w:tcMar>
          </w:tcPr>
          <w:p>
            <w:pPr>
              <w:jc w:val="left"/>
            </w:pPr>
            <w:r>
              <w:rPr>
                <w:b/>
                <w:bCs/>
                <w:color w:val="000000"/>
                <w:sz w:val="19"/>
                <w:szCs w:val="19"/>
              </w:rPr>
              <w:t xml:space="preserve">03/11/2020</w:t>
            </w:r>
          </w:p>
        </w:tc>
        <w:tc>
          <w:tcPr>
            <w:tcW w:type="dxa" w:w="7860"/>
            <w:shd w:fill="F2F5FB" w:color="auto" w:val="clear"/>
            <w:tcMar>
              <w:top w:type="dxa" w:w="60"/>
              <w:left w:type="dxa" w:w="90"/>
              <w:bottom w:type="dxa" w:w="60"/>
              <w:right w:type="dxa" w:w="90"/>
            </w:tcMar>
          </w:tcPr>
          <w:p>
            <w:pPr>
              <w:jc w:val="left"/>
            </w:pPr>
            <w:r>
              <w:rPr>
                <w:b w:val="false"/>
                <w:bCs w:val="false"/>
                <w:color w:val="000000"/>
                <w:sz w:val="19"/>
                <w:szCs w:val="19"/>
              </w:rPr>
              <w:t xml:space="preserve">Rapport d'expertise DO : garantie ACCORDÉE pour le désordre n°4 ; garanties refusées pour les désordres n°1, 2, 3, 5, 6, 7 (non structurels, sans évolution).</w:t>
            </w:r>
          </w:p>
        </w:tc>
      </w:tr>
      <w:tr>
        <w:tc>
          <w:tcPr>
            <w:tcW w:type="dxa" w:w="1500"/>
            <w:shd w:fill="FFFFFF" w:color="auto" w:val="clear"/>
            <w:tcMar>
              <w:top w:type="dxa" w:w="60"/>
              <w:left w:type="dxa" w:w="90"/>
              <w:bottom w:type="dxa" w:w="60"/>
              <w:right w:type="dxa" w:w="90"/>
            </w:tcMar>
          </w:tcPr>
          <w:p>
            <w:pPr>
              <w:jc w:val="left"/>
            </w:pPr>
            <w:r>
              <w:rPr>
                <w:b/>
                <w:bCs/>
                <w:color w:val="000000"/>
                <w:sz w:val="19"/>
                <w:szCs w:val="19"/>
              </w:rPr>
              <w:t xml:space="preserve">04/01/2021</w:t>
            </w:r>
          </w:p>
        </w:tc>
        <w:tc>
          <w:tcPr>
            <w:tcW w:type="dxa" w:w="7860"/>
            <w:shd w:fill="FFFFFF" w:color="auto" w:val="clear"/>
            <w:tcMar>
              <w:top w:type="dxa" w:w="60"/>
              <w:left w:type="dxa" w:w="90"/>
              <w:bottom w:type="dxa" w:w="60"/>
              <w:right w:type="dxa" w:w="90"/>
            </w:tcMar>
          </w:tcPr>
          <w:p>
            <w:pPr>
              <w:jc w:val="left"/>
            </w:pPr>
            <w:r>
              <w:rPr>
                <w:b w:val="false"/>
                <w:bCs w:val="false"/>
                <w:color w:val="000000"/>
                <w:sz w:val="19"/>
                <w:szCs w:val="19"/>
              </w:rPr>
              <w:t xml:space="preserve">Début des travaux de réparation par la SARL CHEVALLIER (entreprise d'origine).</w:t>
            </w:r>
          </w:p>
        </w:tc>
      </w:tr>
      <w:tr>
        <w:tc>
          <w:tcPr>
            <w:tcW w:type="dxa" w:w="1500"/>
            <w:shd w:fill="F2F5FB" w:color="auto" w:val="clear"/>
            <w:tcMar>
              <w:top w:type="dxa" w:w="60"/>
              <w:left w:type="dxa" w:w="90"/>
              <w:bottom w:type="dxa" w:w="60"/>
              <w:right w:type="dxa" w:w="90"/>
            </w:tcMar>
          </w:tcPr>
          <w:p>
            <w:pPr>
              <w:jc w:val="left"/>
            </w:pPr>
            <w:r>
              <w:rPr>
                <w:b/>
                <w:bCs/>
                <w:color w:val="000000"/>
                <w:sz w:val="19"/>
                <w:szCs w:val="19"/>
              </w:rPr>
              <w:t xml:space="preserve">Janvier 2021</w:t>
            </w:r>
          </w:p>
        </w:tc>
        <w:tc>
          <w:tcPr>
            <w:tcW w:type="dxa" w:w="7860"/>
            <w:shd w:fill="F2F5FB" w:color="auto" w:val="clear"/>
            <w:tcMar>
              <w:top w:type="dxa" w:w="60"/>
              <w:left w:type="dxa" w:w="90"/>
              <w:bottom w:type="dxa" w:w="60"/>
              <w:right w:type="dxa" w:w="90"/>
            </w:tcMar>
          </w:tcPr>
          <w:p>
            <w:pPr>
              <w:jc w:val="left"/>
            </w:pPr>
            <w:r>
              <w:rPr>
                <w:b w:val="false"/>
                <w:bCs w:val="false"/>
                <w:color w:val="000000"/>
                <w:sz w:val="19"/>
                <w:szCs w:val="19"/>
              </w:rPr>
              <w:t xml:space="preserve">Mme Chevalier constate, après ouverture d'un doublage, l'ABSENCE des sommiers béton prévus. Arrêt du chantier demandé (courriel du 08/01/2021).</w:t>
            </w:r>
          </w:p>
        </w:tc>
      </w:tr>
      <w:tr>
        <w:tc>
          <w:tcPr>
            <w:tcW w:type="dxa" w:w="1500"/>
            <w:shd w:fill="FFFFFF" w:color="auto" w:val="clear"/>
            <w:tcMar>
              <w:top w:type="dxa" w:w="60"/>
              <w:left w:type="dxa" w:w="90"/>
              <w:bottom w:type="dxa" w:w="60"/>
              <w:right w:type="dxa" w:w="90"/>
            </w:tcMar>
          </w:tcPr>
          <w:p>
            <w:pPr>
              <w:jc w:val="left"/>
            </w:pPr>
            <w:r>
              <w:rPr>
                <w:b/>
                <w:bCs/>
                <w:color w:val="000000"/>
                <w:sz w:val="19"/>
                <w:szCs w:val="19"/>
              </w:rPr>
              <w:t xml:space="preserve">09/02/2021</w:t>
            </w:r>
          </w:p>
        </w:tc>
        <w:tc>
          <w:tcPr>
            <w:tcW w:type="dxa" w:w="7860"/>
            <w:shd w:fill="FFFFFF" w:color="auto" w:val="clear"/>
            <w:tcMar>
              <w:top w:type="dxa" w:w="60"/>
              <w:left w:type="dxa" w:w="90"/>
              <w:bottom w:type="dxa" w:w="60"/>
              <w:right w:type="dxa" w:w="90"/>
            </w:tcMar>
          </w:tcPr>
          <w:p>
            <w:pPr>
              <w:jc w:val="left"/>
            </w:pPr>
            <w:r>
              <w:rPr>
                <w:b w:val="false"/>
                <w:bCs w:val="false"/>
                <w:color w:val="000000"/>
                <w:sz w:val="19"/>
                <w:szCs w:val="19"/>
              </w:rPr>
              <w:t xml:space="preserve">Réunion contradictoire (EURISK, ECAUMEX, SARETEC/Générali pour l'assureur RC de Chevallier, M. Chenais pour les propriétaires, BE Malèvre). L'entreprise confirme l'absence de sommiers ; une variante (reprise sur maçonnerie / chaînage) doit être justifiée par le BET.</w:t>
            </w:r>
          </w:p>
        </w:tc>
      </w:tr>
      <w:tr>
        <w:tc>
          <w:tcPr>
            <w:tcW w:type="dxa" w:w="1500"/>
            <w:shd w:fill="F2F5FB" w:color="auto" w:val="clear"/>
            <w:tcMar>
              <w:top w:type="dxa" w:w="60"/>
              <w:left w:type="dxa" w:w="90"/>
              <w:bottom w:type="dxa" w:w="60"/>
              <w:right w:type="dxa" w:w="90"/>
            </w:tcMar>
          </w:tcPr>
          <w:p>
            <w:pPr>
              <w:jc w:val="left"/>
            </w:pPr>
            <w:r>
              <w:rPr>
                <w:b/>
                <w:bCs/>
                <w:color w:val="000000"/>
                <w:sz w:val="19"/>
                <w:szCs w:val="19"/>
              </w:rPr>
              <w:t xml:space="preserve">11/02 &amp; 24/02/2021</w:t>
            </w:r>
          </w:p>
        </w:tc>
        <w:tc>
          <w:tcPr>
            <w:tcW w:type="dxa" w:w="7860"/>
            <w:shd w:fill="F2F5FB" w:color="auto" w:val="clear"/>
            <w:tcMar>
              <w:top w:type="dxa" w:w="60"/>
              <w:left w:type="dxa" w:w="90"/>
              <w:bottom w:type="dxa" w:w="60"/>
              <w:right w:type="dxa" w:w="90"/>
            </w:tcMar>
          </w:tcPr>
          <w:p>
            <w:pPr>
              <w:jc w:val="left"/>
            </w:pPr>
            <w:r>
              <w:rPr>
                <w:b w:val="false"/>
                <w:bCs w:val="false"/>
                <w:color w:val="000000"/>
                <w:sz w:val="19"/>
                <w:szCs w:val="19"/>
              </w:rPr>
              <w:t xml:space="preserve">Note d'information n°4 puis rapport complémentaire DO : le désordre n°4 est formellement qualifié d'atteinte à la solidité de l'ossature et à la destination de l'ouvrage. Responsabilité CHEVALLIER 100 % (défaut d'exécution). Coût total du sinistre : 26 735,22 €.</w:t>
            </w:r>
          </w:p>
        </w:tc>
      </w:tr>
      <w:tr>
        <w:tc>
          <w:tcPr>
            <w:tcW w:type="dxa" w:w="1500"/>
            <w:shd w:fill="FFFFFF" w:color="auto" w:val="clear"/>
            <w:tcMar>
              <w:top w:type="dxa" w:w="60"/>
              <w:left w:type="dxa" w:w="90"/>
              <w:bottom w:type="dxa" w:w="60"/>
              <w:right w:type="dxa" w:w="90"/>
            </w:tcMar>
          </w:tcPr>
          <w:p>
            <w:pPr>
              <w:jc w:val="left"/>
            </w:pPr>
            <w:r>
              <w:rPr>
                <w:b/>
                <w:bCs/>
                <w:color w:val="000000"/>
                <w:sz w:val="19"/>
                <w:szCs w:val="19"/>
              </w:rPr>
              <w:t xml:space="preserve">Étude Malèvre (ind. E/F)</w:t>
            </w:r>
          </w:p>
        </w:tc>
        <w:tc>
          <w:tcPr>
            <w:tcW w:type="dxa" w:w="7860"/>
            <w:shd w:fill="FFFFFF" w:color="auto" w:val="clear"/>
            <w:tcMar>
              <w:top w:type="dxa" w:w="60"/>
              <w:left w:type="dxa" w:w="90"/>
              <w:bottom w:type="dxa" w:w="60"/>
              <w:right w:type="dxa" w:w="90"/>
            </w:tcMar>
          </w:tcPr>
          <w:p>
            <w:pPr>
              <w:jc w:val="left"/>
            </w:pPr>
            <w:r>
              <w:rPr>
                <w:b w:val="false"/>
                <w:bCs w:val="false"/>
                <w:color w:val="000000"/>
                <w:sz w:val="19"/>
                <w:szCs w:val="19"/>
              </w:rPr>
              <w:t xml:space="preserve">Plans d'exécution du BE Malèvre : renforcement par PRS en U (100x25/250x12/100x25, acier S235) + platines soudées/boulonnées en about (M14 cl.10.9, chevilles HST3 M12). Le sommier béton d'origine est remplacé par une reprise sur chaînage linéaire existant (variante calculée).</w:t>
            </w:r>
          </w:p>
        </w:tc>
      </w:tr>
      <w:tr>
        <w:tc>
          <w:tcPr>
            <w:tcW w:type="dxa" w:w="1500"/>
            <w:shd w:fill="F2F5FB" w:color="auto" w:val="clear"/>
            <w:tcMar>
              <w:top w:type="dxa" w:w="60"/>
              <w:left w:type="dxa" w:w="90"/>
              <w:bottom w:type="dxa" w:w="60"/>
              <w:right w:type="dxa" w:w="90"/>
            </w:tcMar>
          </w:tcPr>
          <w:p>
            <w:pPr>
              <w:jc w:val="left"/>
            </w:pPr>
            <w:r>
              <w:rPr>
                <w:b/>
                <w:bCs/>
                <w:color w:val="000000"/>
                <w:sz w:val="19"/>
                <w:szCs w:val="19"/>
              </w:rPr>
              <w:t xml:space="preserve">01/03/2021</w:t>
            </w:r>
          </w:p>
        </w:tc>
        <w:tc>
          <w:tcPr>
            <w:tcW w:type="dxa" w:w="7860"/>
            <w:shd w:fill="F2F5FB" w:color="auto" w:val="clear"/>
            <w:tcMar>
              <w:top w:type="dxa" w:w="60"/>
              <w:left w:type="dxa" w:w="90"/>
              <w:bottom w:type="dxa" w:w="60"/>
              <w:right w:type="dxa" w:w="90"/>
            </w:tcMar>
          </w:tcPr>
          <w:p>
            <w:pPr>
              <w:jc w:val="left"/>
            </w:pPr>
            <w:r>
              <w:rPr>
                <w:b w:val="false"/>
                <w:bCs w:val="false"/>
                <w:color w:val="000000"/>
                <w:sz w:val="19"/>
                <w:szCs w:val="19"/>
              </w:rPr>
              <w:t xml:space="preserve">PV de réception des travaux de réparation CHEVALLIER — prononcée AVEC réserve(s) (mention manuscrite, remédiation demandée).</w:t>
            </w:r>
          </w:p>
        </w:tc>
      </w:tr>
      <w:tr>
        <w:tc>
          <w:tcPr>
            <w:tcW w:type="dxa" w:w="1500"/>
            <w:shd w:fill="FFFFFF" w:color="auto" w:val="clear"/>
            <w:tcMar>
              <w:top w:type="dxa" w:w="60"/>
              <w:left w:type="dxa" w:w="90"/>
              <w:bottom w:type="dxa" w:w="60"/>
              <w:right w:type="dxa" w:w="90"/>
            </w:tcMar>
          </w:tcPr>
          <w:p>
            <w:pPr>
              <w:jc w:val="left"/>
            </w:pPr>
            <w:r>
              <w:rPr>
                <w:b/>
                <w:bCs/>
                <w:color w:val="000000"/>
                <w:sz w:val="19"/>
                <w:szCs w:val="19"/>
              </w:rPr>
              <w:t xml:space="preserve">02/01/2024</w:t>
            </w:r>
          </w:p>
        </w:tc>
        <w:tc>
          <w:tcPr>
            <w:tcW w:type="dxa" w:w="7860"/>
            <w:shd w:fill="FFFFFF" w:color="auto" w:val="clear"/>
            <w:tcMar>
              <w:top w:type="dxa" w:w="60"/>
              <w:left w:type="dxa" w:w="90"/>
              <w:bottom w:type="dxa" w:w="60"/>
              <w:right w:type="dxa" w:w="90"/>
            </w:tcMar>
          </w:tcPr>
          <w:p>
            <w:pPr>
              <w:jc w:val="left"/>
            </w:pPr>
            <w:r>
              <w:rPr>
                <w:b w:val="false"/>
                <w:bCs w:val="false"/>
                <w:color w:val="000000"/>
                <w:sz w:val="19"/>
                <w:szCs w:val="19"/>
              </w:rPr>
              <w:t xml:space="preserve">Déclaration de sinistre n°2 (DO MMA, réf. 24727700031G) : infiltration d'eau au plafond du séjour (goutte-à-goutte).</w:t>
            </w:r>
          </w:p>
        </w:tc>
      </w:tr>
      <w:tr>
        <w:tc>
          <w:tcPr>
            <w:tcW w:type="dxa" w:w="1500"/>
            <w:shd w:fill="F2F5FB" w:color="auto" w:val="clear"/>
            <w:tcMar>
              <w:top w:type="dxa" w:w="60"/>
              <w:left w:type="dxa" w:w="90"/>
              <w:bottom w:type="dxa" w:w="60"/>
              <w:right w:type="dxa" w:w="90"/>
            </w:tcMar>
          </w:tcPr>
          <w:p>
            <w:pPr>
              <w:jc w:val="left"/>
            </w:pPr>
            <w:r>
              <w:rPr>
                <w:b/>
                <w:bCs/>
                <w:color w:val="000000"/>
                <w:sz w:val="19"/>
                <w:szCs w:val="19"/>
              </w:rPr>
              <w:t xml:space="preserve">03/04/2024</w:t>
            </w:r>
          </w:p>
        </w:tc>
        <w:tc>
          <w:tcPr>
            <w:tcW w:type="dxa" w:w="7860"/>
            <w:shd w:fill="F2F5FB" w:color="auto" w:val="clear"/>
            <w:tcMar>
              <w:top w:type="dxa" w:w="60"/>
              <w:left w:type="dxa" w:w="90"/>
              <w:bottom w:type="dxa" w:w="60"/>
              <w:right w:type="dxa" w:w="90"/>
            </w:tcMar>
          </w:tcPr>
          <w:p>
            <w:pPr>
              <w:jc w:val="left"/>
            </w:pPr>
            <w:r>
              <w:rPr>
                <w:b w:val="false"/>
                <w:bCs w:val="false"/>
                <w:color w:val="000000"/>
                <w:sz w:val="19"/>
                <w:szCs w:val="19"/>
              </w:rPr>
              <w:t xml:space="preserve">Expertise STELLIANT : cause = défaut d'étanchéité en pied de jambage de la fenêtre Sud-Ouest, le joint ayant été déposé lors du piquetage d'enduit réalisé dans le cadre du sinistre n°1. Il s'agit donc d'une conséquence des travaux de réparation.</w:t>
            </w:r>
          </w:p>
        </w:tc>
      </w:tr>
      <w:tr>
        <w:tc>
          <w:tcPr>
            <w:tcW w:type="dxa" w:w="1500"/>
            <w:shd w:fill="FFFFFF" w:color="auto" w:val="clear"/>
            <w:tcMar>
              <w:top w:type="dxa" w:w="60"/>
              <w:left w:type="dxa" w:w="90"/>
              <w:bottom w:type="dxa" w:w="60"/>
              <w:right w:type="dxa" w:w="90"/>
            </w:tcMar>
          </w:tcPr>
          <w:p>
            <w:pPr>
              <w:jc w:val="left"/>
            </w:pPr>
            <w:r>
              <w:rPr>
                <w:b/>
                <w:bCs/>
                <w:color w:val="000000"/>
                <w:sz w:val="19"/>
                <w:szCs w:val="19"/>
              </w:rPr>
              <w:t xml:space="preserve">12/04/2024</w:t>
            </w:r>
          </w:p>
        </w:tc>
        <w:tc>
          <w:tcPr>
            <w:tcW w:type="dxa" w:w="7860"/>
            <w:shd w:fill="FFFFFF" w:color="auto" w:val="clear"/>
            <w:tcMar>
              <w:top w:type="dxa" w:w="60"/>
              <w:left w:type="dxa" w:w="90"/>
              <w:bottom w:type="dxa" w:w="60"/>
              <w:right w:type="dxa" w:w="90"/>
            </w:tcMar>
          </w:tcPr>
          <w:p>
            <w:pPr>
              <w:jc w:val="left"/>
            </w:pPr>
            <w:r>
              <w:rPr>
                <w:b w:val="false"/>
                <w:bCs w:val="false"/>
                <w:color w:val="000000"/>
                <w:sz w:val="19"/>
                <w:szCs w:val="19"/>
              </w:rPr>
              <w:t xml:space="preserve">Accord d'indemnité DO : 2 928,45 € pour la reprise (bavette, plafond placo, peinture). Travaux exécutés mai–juin 2024 (Cadeau, Michel-Lecomte).</w:t>
            </w:r>
          </w:p>
        </w:tc>
      </w:tr>
    </w:tbl>
    <w:p>
      <w:pPr>
        <w:spacing w:after="120" w:before="100"/>
      </w:pPr>
      <w:r>
        <w:rPr>
          <w:b/>
          <w:bCs/>
          <w:i/>
          <w:iCs/>
          <w:sz w:val="21"/>
          <w:szCs w:val="21"/>
        </w:rPr>
        <w:t xml:space="preserve">Note : </w:t>
      </w:r>
      <w:r>
        <w:rPr>
          <w:i/>
          <w:iCs/>
          <w:color w:val="595959"/>
          <w:sz w:val="21"/>
          <w:szCs w:val="21"/>
        </w:rPr>
        <w:t xml:space="preserve">deux sinistres distincts mais liés coexistent — le sinistre « structure » de 2019-2021 (poutre) et le sinistre « infiltration » de 2024, ce dernier étant une conséquence des travaux de réparation du premier.</w:t>
      </w:r>
    </w:p>
    <w:p>
      <w:pPr>
        <w:pStyle w:val="Heading1"/>
        <w:spacing w:after="140" w:before="280"/>
      </w:pPr>
      <w:r>
        <w:rPr>
          <w:b/>
          <w:bCs/>
          <w:color w:val="1F3864"/>
          <w:sz w:val="28"/>
          <w:szCs w:val="28"/>
        </w:rPr>
        <w:t xml:space="preserve">3. Analyse</w:t>
      </w:r>
    </w:p>
    <w:p>
      <w:pPr>
        <w:pStyle w:val="Heading2"/>
        <w:spacing w:after="100" w:before="200"/>
      </w:pPr>
      <w:r>
        <w:rPr>
          <w:b/>
          <w:bCs/>
          <w:color w:val="2E5496"/>
          <w:sz w:val="24"/>
          <w:szCs w:val="24"/>
        </w:rPr>
        <w:t xml:space="preserve">3.1 Nature réelle du désordre — un enjeu structurel, pas cosmétique</w:t>
      </w:r>
    </w:p>
    <w:p>
      <w:pPr>
        <w:spacing w:after="120" w:line="276"/>
      </w:pPr>
      <w:r>
        <w:rPr>
          <w:sz w:val="21"/>
          <w:szCs w:val="21"/>
        </w:rPr>
        <w:t xml:space="preserve">Contrairement à de simples fissures d'enduit, le désordre garanti (n°4) trouve son origine dans une flexion de la poutre maîtresse en béton armé du séjour. Le rapport complémentaire du 24/02/2021 est explicite : le dommage « porte atteinte à la solidité de l'ossature et à la destination de l'ouvrage ». C'est la caractérisation d'un sinistre de garantie décennale, et non d'un désordre esthétique.</w:t>
      </w:r>
    </w:p>
    <w:p>
      <w:pPr>
        <w:pStyle w:val="Heading2"/>
        <w:spacing w:after="100" w:before="200"/>
      </w:pPr>
      <w:r>
        <w:rPr>
          <w:b/>
          <w:bCs/>
          <w:color w:val="2E5496"/>
          <w:sz w:val="24"/>
          <w:szCs w:val="24"/>
        </w:rPr>
        <w:t xml:space="preserve">3.2 La réparation : correctement conçue, mais exécution initialement défaillante</w:t>
      </w:r>
    </w:p>
    <w:p>
      <w:pPr>
        <w:pStyle w:val="ListParagraph"/>
        <w:numPr>
          <w:ilvl w:val="0"/>
          <w:numId w:val="1"/>
        </w:numPr>
        <w:spacing w:after="80" w:line="270"/>
      </w:pPr>
      <w:r>
        <w:rPr>
          <w:b/>
          <w:bCs/>
          <w:sz w:val="21"/>
          <w:szCs w:val="21"/>
        </w:rPr>
        <w:t xml:space="preserve">Conception solide : </w:t>
      </w:r>
      <w:r>
        <w:rPr>
          <w:sz w:val="21"/>
          <w:szCs w:val="21"/>
        </w:rPr>
        <w:t xml:space="preserve">diagnostic du BET AIA, puis plans d'exécution du BE Malèvre (renforcement par profilé PRS en U ancré + platines boulonnées en about). Il existe donc une étude structure traçable.</w:t>
      </w:r>
    </w:p>
    <w:p>
      <w:pPr>
        <w:pStyle w:val="ListParagraph"/>
        <w:numPr>
          <w:ilvl w:val="0"/>
          <w:numId w:val="1"/>
        </w:numPr>
        <w:spacing w:after="80" w:line="270"/>
      </w:pPr>
      <w:r>
        <w:rPr>
          <w:b/>
          <w:bCs/>
          <w:sz w:val="21"/>
          <w:szCs w:val="21"/>
        </w:rPr>
        <w:t xml:space="preserve">Exécution problématique : </w:t>
      </w:r>
      <w:r>
        <w:rPr>
          <w:sz w:val="21"/>
          <w:szCs w:val="21"/>
        </w:rPr>
        <w:t xml:space="preserve">l'entreprise a refermé les doublages avant vérification et n'a pas posé les sommiers béton prévus. C'est la propriétaire elle-même qui a détecté l'anomalie et fait arrêter le chantier.</w:t>
      </w:r>
    </w:p>
    <w:p>
      <w:pPr>
        <w:pStyle w:val="ListParagraph"/>
        <w:numPr>
          <w:ilvl w:val="0"/>
          <w:numId w:val="1"/>
        </w:numPr>
        <w:spacing w:after="80" w:line="270"/>
      </w:pPr>
      <w:r>
        <w:rPr>
          <w:b/>
          <w:bCs/>
          <w:sz w:val="21"/>
          <w:szCs w:val="21"/>
        </w:rPr>
        <w:t xml:space="preserve">Variante non tracée jusqu'au bout : </w:t>
      </w:r>
      <w:r>
        <w:rPr>
          <w:sz w:val="21"/>
          <w:szCs w:val="21"/>
        </w:rPr>
        <w:t xml:space="preserve">une solution de remplacement (reprise sur chaînage existant au lieu des sommiers) a été étudiée par le BE Malèvre, mais le dossier ne contient pas de validation formelle de cette variante par le BET AIA, ni de procès-verbal de levée des réserves du 01/03/2021.</w:t>
      </w:r>
    </w:p>
    <w:p>
      <w:pPr>
        <w:pStyle w:val="Heading2"/>
        <w:spacing w:after="100" w:before="200"/>
      </w:pPr>
      <w:r>
        <w:rPr>
          <w:b/>
          <w:bCs/>
          <w:color w:val="2E5496"/>
          <w:sz w:val="24"/>
          <w:szCs w:val="24"/>
        </w:rPr>
        <w:t xml:space="preserve">3.3 Signal faible : le sinistre de 2024</w:t>
      </w:r>
    </w:p>
    <w:p>
      <w:pPr>
        <w:spacing w:after="120" w:line="276"/>
      </w:pPr>
      <w:r>
        <w:rPr>
          <w:sz w:val="21"/>
          <w:szCs w:val="21"/>
        </w:rPr>
        <w:t xml:space="preserve">L'infiltration de 2024 est directement imputable aux travaux de 2021 (joint d'étanchéité déposé lors du piquetage et non rétabli). Cela ne remet pas en cause la structure, mais illustre un défaut de soin dans la finalisation des reprises — ce qui renforce la nécessité d'un contrôle du travail réellement exécuté.</w:t>
      </w:r>
    </w:p>
    <w:p>
      <w:pPr>
        <w:pStyle w:val="Heading2"/>
        <w:spacing w:after="100" w:before="200"/>
      </w:pPr>
      <w:r>
        <w:rPr>
          <w:b/>
          <w:bCs/>
          <w:color w:val="2E5496"/>
          <w:sz w:val="24"/>
          <w:szCs w:val="24"/>
        </w:rPr>
        <w:t xml:space="preserve">3.4 Ce qui joue en votre faveur</w:t>
      </w:r>
    </w:p>
    <w:p>
      <w:pPr>
        <w:pStyle w:val="ListParagraph"/>
        <w:numPr>
          <w:ilvl w:val="0"/>
          <w:numId w:val="1"/>
        </w:numPr>
        <w:spacing w:after="80" w:line="270"/>
      </w:pPr>
      <w:r>
        <w:rPr>
          <w:b/>
          <w:bCs/>
          <w:sz w:val="21"/>
          <w:szCs w:val="21"/>
        </w:rPr>
        <w:t xml:space="preserve">La garantie décennale court jusqu'au 09/07/2028</w:t>
      </w:r>
      <w:r>
        <w:rPr>
          <w:sz w:val="21"/>
          <w:szCs w:val="21"/>
        </w:rPr>
        <w:t xml:space="preserve"> (10 ans après la réception du 09/07/2018) : elle est attachée à l'ouvrage et se transmet automatiquement à l'acquéreur. Il reste donc ~2 ans de couverture.</w:t>
      </w:r>
    </w:p>
    <w:p>
      <w:pPr>
        <w:pStyle w:val="ListParagraph"/>
        <w:numPr>
          <w:ilvl w:val="0"/>
          <w:numId w:val="1"/>
        </w:numPr>
        <w:spacing w:after="80" w:line="270"/>
      </w:pPr>
      <w:r>
        <w:rPr>
          <w:sz w:val="21"/>
          <w:szCs w:val="21"/>
        </w:rPr>
        <w:t xml:space="preserve">Le sinistre a été pris en charge, indemnisé, et la responsabilité de l'entreprise (Chevallier / assureur Générali) clairement établie à 100 %.</w:t>
      </w:r>
    </w:p>
    <w:p>
      <w:pPr>
        <w:pStyle w:val="ListParagraph"/>
        <w:numPr>
          <w:ilvl w:val="0"/>
          <w:numId w:val="1"/>
        </w:numPr>
        <w:spacing w:after="80" w:line="270"/>
      </w:pPr>
      <w:r>
        <w:rPr>
          <w:sz w:val="21"/>
          <w:szCs w:val="21"/>
        </w:rPr>
        <w:t xml:space="preserve">La documentation est abondante et cohérente (rapports d'expertise, étude structure, devis, PV) — un expert pourra travailler efficacement.</w:t>
      </w:r>
    </w:p>
    <w:p>
      <w:pPr>
        <w:pStyle w:val="Heading1"/>
        <w:spacing w:after="140" w:before="280"/>
      </w:pPr>
      <w:r>
        <w:rPr>
          <w:b/>
          <w:bCs/>
          <w:color w:val="1F3864"/>
          <w:sz w:val="28"/>
          <w:szCs w:val="28"/>
        </w:rPr>
        <w:t xml:space="preserve">4. Recommandation</w:t>
      </w:r>
    </w:p>
    <w:p>
      <w:pPr>
        <w:pBdr>
          <w:left w:val="single" w:color="BF8F00" w:sz="18" w:space="8"/>
        </w:pBdr>
        <w:shd w:fill="FFF2CC" w:color="auto" w:val="clear"/>
        <w:spacing w:after="120" w:before="60"/>
      </w:pPr>
      <w:r>
        <w:rPr>
          <w:b/>
          <w:bCs/>
          <w:color w:val="7F6000"/>
          <w:sz w:val="22"/>
          <w:szCs w:val="22"/>
        </w:rPr>
        <w:t xml:space="preserve">Ne pas signer l'acte authentique sans avoir fait vérifier la structure par un expert indépendant. Le compromis peut être signé, à condition d'y insérer une condition suspensive d'expertise favorable (ou de sécuriser la période avant l'acte).</w:t>
      </w:r>
    </w:p>
    <w:p>
      <w:pPr>
        <w:spacing w:after="120" w:line="276"/>
      </w:pPr>
      <w:r>
        <w:rPr>
          <w:sz w:val="21"/>
          <w:szCs w:val="21"/>
        </w:rPr>
        <w:t xml:space="preserve">Le coût d'une visite d'expert bâtiment / structure (quelques centaines d'euros) est sans commune mesure avec le risque financier d'un renforcement de poutre mal exécuté. C'est une assurance rationnelle sur un point précis et identifié.</w:t>
      </w:r>
    </w:p>
    <w:p>
      <w:pPr>
        <w:pStyle w:val="Heading1"/>
        <w:spacing w:after="140" w:before="280"/>
      </w:pPr>
      <w:r>
        <w:rPr>
          <w:b/>
          <w:bCs/>
          <w:color w:val="1F3864"/>
          <w:sz w:val="28"/>
          <w:szCs w:val="28"/>
        </w:rPr>
        <w:t xml:space="preserve">5. Actions concrètes avant l'acte définitif</w:t>
      </w:r>
    </w:p>
    <w:p>
      <w:pPr>
        <w:pStyle w:val="Heading2"/>
        <w:spacing w:after="100" w:before="200"/>
      </w:pPr>
      <w:r>
        <w:rPr>
          <w:b/>
          <w:bCs/>
          <w:color w:val="2E5496"/>
          <w:sz w:val="24"/>
          <w:szCs w:val="24"/>
        </w:rPr>
        <w:t xml:space="preserve">À demander au vendeur / notaire (pièces à annexer à l'acte)</w:t>
      </w:r>
    </w:p>
    <w:p>
      <w:pPr>
        <w:pStyle w:val="ListParagraph"/>
        <w:numPr>
          <w:ilvl w:val="0"/>
          <w:numId w:val="1"/>
        </w:numPr>
        <w:spacing w:after="80" w:line="270"/>
      </w:pPr>
      <w:r>
        <w:rPr>
          <w:sz w:val="21"/>
          <w:szCs w:val="21"/>
        </w:rPr>
        <w:t xml:space="preserve">Le PV de levée des réserves des travaux du 01/03/2021 (preuve que les réserves ont été traitées).</w:t>
      </w:r>
    </w:p>
    <w:p>
      <w:pPr>
        <w:pStyle w:val="ListParagraph"/>
        <w:numPr>
          <w:ilvl w:val="0"/>
          <w:numId w:val="1"/>
        </w:numPr>
        <w:spacing w:after="80" w:line="270"/>
      </w:pPr>
      <w:r>
        <w:rPr>
          <w:sz w:val="21"/>
          <w:szCs w:val="21"/>
        </w:rPr>
        <w:t xml:space="preserve">La validation par le BET AIA de la variante d'appui (chaînage au lieu des sommiers), ou à défaut une note de calcul finale du BE Malèvre attestant la conformité de la solution posée.</w:t>
      </w:r>
    </w:p>
    <w:p>
      <w:pPr>
        <w:pStyle w:val="ListParagraph"/>
        <w:numPr>
          <w:ilvl w:val="0"/>
          <w:numId w:val="1"/>
        </w:numPr>
        <w:spacing w:after="80" w:line="270"/>
      </w:pPr>
      <w:r>
        <w:rPr>
          <w:sz w:val="21"/>
          <w:szCs w:val="21"/>
        </w:rPr>
        <w:t xml:space="preserve">Les factures acquittées des travaux de réparation (Chevallier) et la confirmation de clôture du dossier DO/RC.</w:t>
      </w:r>
    </w:p>
    <w:p>
      <w:pPr>
        <w:pStyle w:val="ListParagraph"/>
        <w:numPr>
          <w:ilvl w:val="0"/>
          <w:numId w:val="1"/>
        </w:numPr>
        <w:spacing w:after="80" w:line="270"/>
      </w:pPr>
      <w:r>
        <w:rPr>
          <w:sz w:val="21"/>
          <w:szCs w:val="21"/>
        </w:rPr>
        <w:t xml:space="preserve">Les attestations d'assurance décennale des entreprises intervenues (Logemaine, Chevallier) valables à la date des travaux, et l'attestation DO.</w:t>
      </w:r>
    </w:p>
    <w:p>
      <w:pPr>
        <w:pStyle w:val="Heading2"/>
        <w:spacing w:after="100" w:before="200"/>
      </w:pPr>
      <w:r>
        <w:rPr>
          <w:b/>
          <w:bCs/>
          <w:color w:val="2E5496"/>
          <w:sz w:val="24"/>
          <w:szCs w:val="24"/>
        </w:rPr>
        <w:t xml:space="preserve">À faire réaliser de votre côté</w:t>
      </w:r>
    </w:p>
    <w:p>
      <w:pPr>
        <w:pStyle w:val="ListParagraph"/>
        <w:numPr>
          <w:ilvl w:val="0"/>
          <w:numId w:val="1"/>
        </w:numPr>
        <w:spacing w:after="80" w:line="270"/>
      </w:pPr>
      <w:r>
        <w:rPr>
          <w:b/>
          <w:bCs/>
          <w:sz w:val="21"/>
          <w:szCs w:val="21"/>
        </w:rPr>
        <w:t xml:space="preserve">Faire intervenir un expert bâtiment indépendant</w:t>
      </w:r>
      <w:r>
        <w:rPr>
          <w:sz w:val="21"/>
          <w:szCs w:val="21"/>
        </w:rPr>
        <w:t xml:space="preserve"> pour un contrôle ciblé du renforcement de la poutre (contrôle visuel, éventuel sondage du doublage, lecture des plans Malèvre) et un avis sur l'absence d'évolution des fissures non garanties (n°1, 2, 3).</w:t>
      </w:r>
    </w:p>
    <w:p>
      <w:pPr>
        <w:pStyle w:val="ListParagraph"/>
        <w:numPr>
          <w:ilvl w:val="0"/>
          <w:numId w:val="1"/>
        </w:numPr>
        <w:spacing w:after="80" w:line="270"/>
      </w:pPr>
      <w:r>
        <w:rPr>
          <w:b/>
          <w:bCs/>
          <w:sz w:val="21"/>
          <w:szCs w:val="21"/>
        </w:rPr>
        <w:t xml:space="preserve">Insérer une condition suspensive</w:t>
      </w:r>
      <w:r>
        <w:rPr>
          <w:sz w:val="21"/>
          <w:szCs w:val="21"/>
        </w:rPr>
        <w:t xml:space="preserve"> au compromis subordonnant la vente à un rapport d'expertise structure ne révélant pas de désordre affectant la solidité.</w:t>
      </w:r>
    </w:p>
    <w:p>
      <w:pPr>
        <w:pStyle w:val="ListParagraph"/>
        <w:numPr>
          <w:ilvl w:val="0"/>
          <w:numId w:val="1"/>
        </w:numPr>
        <w:spacing w:after="80" w:line="270"/>
      </w:pPr>
      <w:r>
        <w:rPr>
          <w:sz w:val="21"/>
          <w:szCs w:val="21"/>
        </w:rPr>
        <w:t xml:space="preserve">Faire acter par le notaire la transmission du bénéfice des garanties DO et décennale, et l'annexion de l'intégralité du dossier sinistre à l'acte.</w:t>
      </w:r>
    </w:p>
    <w:p>
      <w:pPr>
        <w:pBdr>
          <w:top w:val="single" w:color="BFBFBF" w:sz="8" w:space="6"/>
        </w:pBdr>
        <w:spacing w:before="260"/>
      </w:pPr>
      <w:r>
        <w:rPr>
          <w:i/>
          <w:iCs/>
          <w:color w:val="595959"/>
          <w:sz w:val="17"/>
          <w:szCs w:val="17"/>
        </w:rPr>
        <w:t xml:space="preserve">Avertissement : la présente note est une aide à la décision fondée sur les seules pièces transmises. Elle ne constitue ni un avis juridique, ni une expertise technique de structure. Pour toute portée juridique, consultez votre notaire ; pour la solidité de l'ouvrage, faites intervenir un expert bâtiment / ingénieur structure.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2026-07-30T07:55:36.648Z</dcterms:created>
  <dcterms:modified xsi:type="dcterms:W3CDTF">2026-07-30T07:55:36.648Z</dcterms:modified>
</cp:coreProperties>
</file>

<file path=docProps/custom.xml><?xml version="1.0" encoding="utf-8"?>
<Properties xmlns="http://schemas.openxmlformats.org/officeDocument/2006/custom-properties" xmlns:vt="http://schemas.openxmlformats.org/officeDocument/2006/docPropsVTypes"/>
</file>