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5C99"/>
          <w:sz w:val="48"/>
          <w:szCs w:val="48"/>
        </w:rPr>
        <w:t xml:space="preserve">SOC 2 Type I Audit</w:t>
      </w:r>
    </w:p>
    <w:p>
      <w:pPr>
        <w:spacing w:after="80"/>
        <w:jc w:val="center"/>
      </w:pPr>
      <w:r>
        <w:rPr>
          <w:rFonts w:ascii="Arial" w:cs="Arial" w:eastAsia="Arial" w:hAnsi="Arial"/>
          <w:b/>
          <w:bCs/>
          <w:color w:val="2E75B6"/>
          <w:sz w:val="32"/>
          <w:szCs w:val="32"/>
        </w:rPr>
        <w:t xml:space="preserve">Scope &amp; Planning Document</w:t>
      </w:r>
    </w:p>
    <w:p>
      <w:pPr>
        <w:spacing w:after="80"/>
        <w:jc w:val="center"/>
      </w:pPr>
      <w:r>
        <w:rPr>
          <w:rFonts w:ascii="Arial" w:cs="Arial" w:eastAsia="Arial" w:hAnsi="Arial"/>
          <w:color w:val="444444"/>
          <w:sz w:val="22"/>
          <w:szCs w:val="22"/>
        </w:rPr>
        <w:t xml:space="preserve">SOC Automation Lab — Ronan Kongala</w:t>
      </w:r>
    </w:p>
    <w:p>
      <w:pPr>
        <w:spacing w:after="480"/>
        <w:jc w:val="center"/>
      </w:pPr>
      <w:r>
        <w:rPr>
          <w:rFonts w:ascii="Arial" w:cs="Arial" w:eastAsia="Arial" w:hAnsi="Arial"/>
          <w:color w:val="888888"/>
          <w:sz w:val="20"/>
          <w:szCs w:val="20"/>
        </w:rPr>
        <w:t xml:space="preserve">Audit Date: April 7, 2026  |  Document Version: 1.0</w:t>
      </w:r>
    </w:p>
    <w:p>
      <w:pPr>
        <w:pStyle w:val="Heading1"/>
        <w:pBdr>
          <w:bottom w:val="single" w:color="1F5C99" w:sz="6" w:space="4"/>
        </w:pBdr>
        <w:spacing w:after="160" w:before="320"/>
      </w:pPr>
      <w:r>
        <w:rPr>
          <w:rFonts w:ascii="Arial" w:cs="Arial" w:eastAsia="Arial" w:hAnsi="Arial"/>
          <w:b/>
          <w:bCs/>
          <w:color w:val="1F5C99"/>
          <w:sz w:val="32"/>
          <w:szCs w:val="32"/>
        </w:rPr>
        <w:t xml:space="preserve">1. Purpose</w:t>
      </w:r>
    </w:p>
    <w:p>
      <w:pPr>
        <w:spacing w:after="120"/>
      </w:pPr>
      <w:r>
        <w:rPr>
          <w:rFonts w:ascii="Arial" w:cs="Arial" w:eastAsia="Arial" w:hAnsi="Arial"/>
          <w:color w:val="000000"/>
          <w:sz w:val="20"/>
          <w:szCs w:val="20"/>
        </w:rPr>
        <w:t xml:space="preserve">This document defines the scope, boundaries, and planning parameters for a SOC 2 Type I audit of the SOC Automation Lab. The audit assesses the design of controls relevant to the selected Trust Service Criteria as of the audit date. It does not assess operating effectiveness over a period of time (that would be a Type II audit).</w:t>
      </w:r>
    </w:p>
    <w:p>
      <w:pPr>
        <w:spacing w:after="120"/>
      </w:pPr>
      <w:r>
        <w:rPr>
          <w:rFonts w:ascii="Arial" w:cs="Arial" w:eastAsia="Arial" w:hAnsi="Arial"/>
          <w:color w:val="000000"/>
          <w:sz w:val="20"/>
          <w:szCs w:val="20"/>
        </w:rPr>
        <w:t xml:space="preserve">This project serves as a practical application of GRC and audit methodology, demonstrating hands-on experience with industry-standard compliance frameworks.</w:t>
      </w:r>
    </w:p>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2. System Description</w:t>
      </w:r>
    </w:p>
    <w:p>
      <w:pPr>
        <w:pStyle w:val="Heading2"/>
        <w:spacing w:after="120" w:before="240"/>
      </w:pPr>
      <w:r>
        <w:rPr>
          <w:rFonts w:ascii="Arial" w:cs="Arial" w:eastAsia="Arial" w:hAnsi="Arial"/>
          <w:b/>
          <w:bCs/>
          <w:color w:val="2E75B6"/>
          <w:sz w:val="26"/>
          <w:szCs w:val="26"/>
        </w:rPr>
        <w:t xml:space="preserve">2.1 Service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System 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SOC Automation Lab</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Author / Auditor</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Ronan Kongala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Affiliation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MS Cybersecurity, Northeastern University</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Audit type</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SOC 2 Type I (point-in-time)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Audit date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April 7, 2026</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Repository</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github.com/ronanlucky/SOC-Automation-Lab</w:t>
            </w:r>
          </w:p>
        </w:tc>
      </w:tr>
    </w:tbl>
    <w:p>
      <w:r>
        <w:t xml:space="preserve"/>
      </w:r>
    </w:p>
    <w:p>
      <w:pPr>
        <w:pStyle w:val="Heading2"/>
        <w:spacing w:after="120" w:before="240"/>
      </w:pPr>
      <w:r>
        <w:rPr>
          <w:rFonts w:ascii="Arial" w:cs="Arial" w:eastAsia="Arial" w:hAnsi="Arial"/>
          <w:b/>
          <w:bCs/>
          <w:color w:val="2E75B6"/>
          <w:sz w:val="26"/>
          <w:szCs w:val="26"/>
        </w:rPr>
        <w:t xml:space="preserve">2.2 System Overview</w:t>
      </w:r>
    </w:p>
    <w:p>
      <w:pPr>
        <w:spacing w:after="120"/>
      </w:pPr>
      <w:r>
        <w:rPr>
          <w:rFonts w:ascii="Arial" w:cs="Arial" w:eastAsia="Arial" w:hAnsi="Arial"/>
          <w:color w:val="000000"/>
          <w:sz w:val="20"/>
          <w:szCs w:val="20"/>
        </w:rPr>
        <w:t xml:space="preserve">The SOC Automation Lab is an end-to-end security operations pipeline that automatically detects, analyzes, and responds to security threats. The system ingests Windows security events, processes them through a SIEM, enriches alerts using AI, and delivers notifications to a Slack channel.</w:t>
      </w:r>
    </w:p>
    <w:p>
      <w:r>
        <w:t xml:space="preserve"/>
      </w:r>
    </w:p>
    <w:p>
      <w:pPr>
        <w:pStyle w:val="Heading2"/>
        <w:spacing w:after="120" w:before="240"/>
      </w:pPr>
      <w:r>
        <w:rPr>
          <w:rFonts w:ascii="Arial" w:cs="Arial" w:eastAsia="Arial" w:hAnsi="Arial"/>
          <w:b/>
          <w:bCs/>
          <w:color w:val="2E75B6"/>
          <w:sz w:val="26"/>
          <w:szCs w:val="26"/>
        </w:rPr>
        <w:t xml:space="preserve">2.3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IP Address</w:t>
            </w:r>
          </w:p>
        </w:tc>
        <w:tc>
          <w:tcPr>
            <w:tcW w:type="dxa" w:w="33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Event source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Windows 10 + Sysmon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192.168.116.130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Generate security events (Event ID 4625)</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SIEM</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Splunk Enterprise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192.168.116.128</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Log aggregation, alerting, SPL queries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Orchestration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n8n (Docker)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192.168.116.133</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Workflow automation and webhook routing</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AI analysis</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OpenAI GPT-4</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Cloud (API)</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Threat intelligence and MITRE ATT&amp;CK mapping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Notification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Slack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Cloud (SaaS)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Security alert delivery to #alerts channel</w:t>
            </w:r>
          </w:p>
        </w:tc>
      </w:tr>
    </w:tbl>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3. Trust Service Criteria</w:t>
      </w:r>
    </w:p>
    <w:p>
      <w:pPr>
        <w:pStyle w:val="Heading2"/>
        <w:spacing w:after="120" w:before="240"/>
      </w:pPr>
      <w:r>
        <w:rPr>
          <w:rFonts w:ascii="Arial" w:cs="Arial" w:eastAsia="Arial" w:hAnsi="Arial"/>
          <w:b/>
          <w:bCs/>
          <w:color w:val="2E75B6"/>
          <w:sz w:val="26"/>
          <w:szCs w:val="26"/>
        </w:rPr>
        <w:t xml:space="preserve">3.1 Selected Criteria</w:t>
      </w:r>
    </w:p>
    <w:p>
      <w:pPr>
        <w:spacing w:after="120"/>
      </w:pPr>
      <w:r>
        <w:rPr>
          <w:rFonts w:ascii="Arial" w:cs="Arial" w:eastAsia="Arial" w:hAnsi="Arial"/>
          <w:color w:val="000000"/>
          <w:sz w:val="20"/>
          <w:szCs w:val="20"/>
        </w:rPr>
        <w:t xml:space="preserve">The following Trust Service Criteria (TSC) have been selected for this audit based on relevance to the system's function: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53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Rationale for inclusion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CC series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Security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Mandatory for all SOC 2 audits. Covers logical access, change management, risk assessment, and monitoring controls.</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 series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Availability</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The lab's detection pipeline must be operational for the SOC function to work. Uptime of Splunk and n8n is directly tied to security outcomes.</w:t>
            </w:r>
          </w:p>
        </w:tc>
      </w:tr>
    </w:tbl>
    <w:p>
      <w:r>
        <w:t xml:space="preserve"/>
      </w:r>
    </w:p>
    <w:p>
      <w:pPr>
        <w:pStyle w:val="Heading2"/>
        <w:spacing w:after="120" w:before="240"/>
      </w:pPr>
      <w:r>
        <w:rPr>
          <w:rFonts w:ascii="Arial" w:cs="Arial" w:eastAsia="Arial" w:hAnsi="Arial"/>
          <w:b/>
          <w:bCs/>
          <w:color w:val="2E75B6"/>
          <w:sz w:val="26"/>
          <w:szCs w:val="26"/>
        </w:rPr>
        <w:t xml:space="preserve">3.2 Excluded Criteria</w:t>
      </w:r>
    </w:p>
    <w:p>
      <w:pPr>
        <w:spacing w:after="120"/>
      </w:pPr>
      <w:r>
        <w:rPr>
          <w:rFonts w:ascii="Arial" w:cs="Arial" w:eastAsia="Arial" w:hAnsi="Arial"/>
          <w:color w:val="000000"/>
          <w:sz w:val="20"/>
          <w:szCs w:val="20"/>
        </w:rPr>
        <w:t xml:space="preserve">The following TSC are excluded from this audit with documented rationale: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71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Rationale for exclusion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Confidentiality (C series)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The lab does not process or store confidential customer data.</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Processing Integrity (PI series)</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The lab performs detection and alerting, not transaction processing requiring completeness guarantees.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Privacy (P series)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No personal information is collected or processed by the lab environment.</w:t>
            </w:r>
          </w:p>
        </w:tc>
      </w:tr>
    </w:tbl>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4. Scope Boundaries</w:t>
      </w:r>
    </w:p>
    <w:p>
      <w:pPr>
        <w:pStyle w:val="Heading2"/>
        <w:spacing w:after="120" w:before="240"/>
      </w:pPr>
      <w:r>
        <w:rPr>
          <w:rFonts w:ascii="Arial" w:cs="Arial" w:eastAsia="Arial" w:hAnsi="Arial"/>
          <w:b/>
          <w:bCs/>
          <w:color w:val="2E75B6"/>
          <w:sz w:val="26"/>
          <w:szCs w:val="26"/>
        </w:rPr>
        <w:t xml:space="preserve">4.1 In Scope</w:t>
      </w:r>
    </w:p>
    <w:p>
      <w:pPr>
        <w:pStyle w:val="ListParagraph"/>
        <w:numPr>
          <w:ilvl w:val="0"/>
          <w:numId w:val="2"/>
        </w:numPr>
        <w:spacing w:after="80"/>
      </w:pPr>
      <w:r>
        <w:rPr>
          <w:rFonts w:ascii="Arial" w:cs="Arial" w:eastAsia="Arial" w:hAnsi="Arial"/>
          <w:color w:val="000000"/>
          <w:sz w:val="20"/>
          <w:szCs w:val="20"/>
        </w:rPr>
        <w:t xml:space="preserve">Windows 10 VM (192.168.116.130) — event generation and Sysmon configuration</w:t>
      </w:r>
    </w:p>
    <w:p>
      <w:pPr>
        <w:pStyle w:val="ListParagraph"/>
        <w:numPr>
          <w:ilvl w:val="0"/>
          <w:numId w:val="2"/>
        </w:numPr>
        <w:spacing w:after="80"/>
      </w:pPr>
      <w:r>
        <w:rPr>
          <w:rFonts w:ascii="Arial" w:cs="Arial" w:eastAsia="Arial" w:hAnsi="Arial"/>
          <w:color w:val="000000"/>
          <w:sz w:val="20"/>
          <w:szCs w:val="20"/>
        </w:rPr>
        <w:t xml:space="preserve">Splunk Enterprise VM (192.168.116.128) — SIEM configuration, alert rules, access controls</w:t>
      </w:r>
    </w:p>
    <w:p>
      <w:pPr>
        <w:pStyle w:val="ListParagraph"/>
        <w:numPr>
          <w:ilvl w:val="0"/>
          <w:numId w:val="2"/>
        </w:numPr>
        <w:spacing w:after="80"/>
      </w:pPr>
      <w:r>
        <w:rPr>
          <w:rFonts w:ascii="Arial" w:cs="Arial" w:eastAsia="Arial" w:hAnsi="Arial"/>
          <w:color w:val="000000"/>
          <w:sz w:val="20"/>
          <w:szCs w:val="20"/>
        </w:rPr>
        <w:t xml:space="preserve">n8n automation VM (192.168.116.133) — workflow logic, webhook security, Docker configuration</w:t>
      </w:r>
    </w:p>
    <w:p>
      <w:pPr>
        <w:pStyle w:val="ListParagraph"/>
        <w:numPr>
          <w:ilvl w:val="0"/>
          <w:numId w:val="2"/>
        </w:numPr>
        <w:spacing w:after="80"/>
      </w:pPr>
      <w:r>
        <w:rPr>
          <w:rFonts w:ascii="Arial" w:cs="Arial" w:eastAsia="Arial" w:hAnsi="Arial"/>
          <w:color w:val="000000"/>
          <w:sz w:val="20"/>
          <w:szCs w:val="20"/>
        </w:rPr>
        <w:t xml:space="preserve">OpenAI GPT-4 API integration — API key management, prompt handling</w:t>
      </w:r>
    </w:p>
    <w:p>
      <w:pPr>
        <w:pStyle w:val="ListParagraph"/>
        <w:numPr>
          <w:ilvl w:val="0"/>
          <w:numId w:val="2"/>
        </w:numPr>
        <w:spacing w:after="80"/>
      </w:pPr>
      <w:r>
        <w:rPr>
          <w:rFonts w:ascii="Arial" w:cs="Arial" w:eastAsia="Arial" w:hAnsi="Arial"/>
          <w:color w:val="000000"/>
          <w:sz w:val="20"/>
          <w:szCs w:val="20"/>
        </w:rPr>
        <w:t xml:space="preserve">Slack integration — bot token management, channel access controls</w:t>
      </w:r>
    </w:p>
    <w:p>
      <w:pPr>
        <w:pStyle w:val="ListParagraph"/>
        <w:numPr>
          <w:ilvl w:val="0"/>
          <w:numId w:val="2"/>
        </w:numPr>
        <w:spacing w:after="80"/>
      </w:pPr>
      <w:r>
        <w:rPr>
          <w:rFonts w:ascii="Arial" w:cs="Arial" w:eastAsia="Arial" w:hAnsi="Arial"/>
          <w:color w:val="000000"/>
          <w:sz w:val="20"/>
          <w:szCs w:val="20"/>
        </w:rPr>
        <w:t xml:space="preserve">Network configuration — static IP assignment, inter-VM communication</w:t>
      </w:r>
    </w:p>
    <w:p>
      <w:r>
        <w:t xml:space="preserve"/>
      </w:r>
    </w:p>
    <w:p>
      <w:pPr>
        <w:pStyle w:val="Heading2"/>
        <w:spacing w:after="120" w:before="240"/>
      </w:pPr>
      <w:r>
        <w:rPr>
          <w:rFonts w:ascii="Arial" w:cs="Arial" w:eastAsia="Arial" w:hAnsi="Arial"/>
          <w:b/>
          <w:bCs/>
          <w:color w:val="2E75B6"/>
          <w:sz w:val="26"/>
          <w:szCs w:val="26"/>
        </w:rPr>
        <w:t xml:space="preserve">4.2 Out of Scope</w:t>
      </w:r>
    </w:p>
    <w:p>
      <w:pPr>
        <w:pStyle w:val="ListParagraph"/>
        <w:numPr>
          <w:ilvl w:val="0"/>
          <w:numId w:val="2"/>
        </w:numPr>
        <w:spacing w:after="80"/>
      </w:pPr>
      <w:r>
        <w:rPr>
          <w:rFonts w:ascii="Arial" w:cs="Arial" w:eastAsia="Arial" w:hAnsi="Arial"/>
          <w:color w:val="000000"/>
          <w:sz w:val="20"/>
          <w:szCs w:val="20"/>
        </w:rPr>
        <w:t xml:space="preserve">Underlying VMware hypervisor and host operating system</w:t>
      </w:r>
    </w:p>
    <w:p>
      <w:pPr>
        <w:pStyle w:val="ListParagraph"/>
        <w:numPr>
          <w:ilvl w:val="0"/>
          <w:numId w:val="2"/>
        </w:numPr>
        <w:spacing w:after="80"/>
      </w:pPr>
      <w:r>
        <w:rPr>
          <w:rFonts w:ascii="Arial" w:cs="Arial" w:eastAsia="Arial" w:hAnsi="Arial"/>
          <w:color w:val="000000"/>
          <w:sz w:val="20"/>
          <w:szCs w:val="20"/>
        </w:rPr>
        <w:t xml:space="preserve">Internet-facing infrastructure beyond the lab VMs</w:t>
      </w:r>
    </w:p>
    <w:p>
      <w:pPr>
        <w:pStyle w:val="ListParagraph"/>
        <w:numPr>
          <w:ilvl w:val="0"/>
          <w:numId w:val="2"/>
        </w:numPr>
        <w:spacing w:after="80"/>
      </w:pPr>
      <w:r>
        <w:rPr>
          <w:rFonts w:ascii="Arial" w:cs="Arial" w:eastAsia="Arial" w:hAnsi="Arial"/>
          <w:color w:val="000000"/>
          <w:sz w:val="20"/>
          <w:szCs w:val="20"/>
        </w:rPr>
        <w:t xml:space="preserve">OpenAI and Slack platform-level security (those are vendor responsibilities)</w:t>
      </w:r>
    </w:p>
    <w:p>
      <w:pPr>
        <w:pStyle w:val="ListParagraph"/>
        <w:numPr>
          <w:ilvl w:val="0"/>
          <w:numId w:val="2"/>
        </w:numPr>
        <w:spacing w:after="80"/>
      </w:pPr>
      <w:r>
        <w:rPr>
          <w:rFonts w:ascii="Arial" w:cs="Arial" w:eastAsia="Arial" w:hAnsi="Arial"/>
          <w:color w:val="000000"/>
          <w:sz w:val="20"/>
          <w:szCs w:val="20"/>
        </w:rPr>
        <w:t xml:space="preserve">Physical security of the host machine</w:t>
      </w:r>
    </w:p>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5. Audit Approach</w:t>
      </w:r>
    </w:p>
    <w:p>
      <w:pPr>
        <w:pStyle w:val="Heading2"/>
        <w:spacing w:after="120" w:before="240"/>
      </w:pPr>
      <w:r>
        <w:rPr>
          <w:rFonts w:ascii="Arial" w:cs="Arial" w:eastAsia="Arial" w:hAnsi="Arial"/>
          <w:b/>
          <w:bCs/>
          <w:color w:val="2E75B6"/>
          <w:sz w:val="26"/>
          <w:szCs w:val="26"/>
        </w:rPr>
        <w:t xml:space="preserve">5.1 Audit Type</w:t>
      </w:r>
    </w:p>
    <w:p>
      <w:pPr>
        <w:spacing w:after="120"/>
      </w:pPr>
      <w:r>
        <w:rPr>
          <w:rFonts w:ascii="Arial" w:cs="Arial" w:eastAsia="Arial" w:hAnsi="Arial"/>
          <w:color w:val="000000"/>
          <w:sz w:val="20"/>
          <w:szCs w:val="20"/>
        </w:rPr>
        <w:t xml:space="preserve">This is a SOC 2 Type I audit, which evaluates whether controls are suitably designed as of a specific point in time (April 7, 2026). It does not assess whether controls operated effectively over a period. A future Type II audit would extend the observation window to 6-12 months.</w:t>
      </w:r>
    </w:p>
    <w:p>
      <w:r>
        <w:t xml:space="preserve"/>
      </w:r>
    </w:p>
    <w:p>
      <w:pPr>
        <w:pStyle w:val="Heading2"/>
        <w:spacing w:after="120" w:before="240"/>
      </w:pPr>
      <w:r>
        <w:rPr>
          <w:rFonts w:ascii="Arial" w:cs="Arial" w:eastAsia="Arial" w:hAnsi="Arial"/>
          <w:b/>
          <w:bCs/>
          <w:color w:val="2E75B6"/>
          <w:sz w:val="26"/>
          <w:szCs w:val="26"/>
        </w:rPr>
        <w:t xml:space="preserve">5.2 Audit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2400"/>
      </w:tblGrid>
      <w:tr>
        <w:tc>
          <w:tcPr>
            <w:tcW w:type="dxa" w:w="1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W w:type="dxa" w:w="33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Scoping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Define system boundary, TSC selection, audit period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This document</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Risk assessment</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Identify threats, rate likelihood and impact using NIST SP 800-30</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Risk register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Control mapping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Map existing controls to SOC 2 TSC, identify gaps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Control matrix</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Audit report</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Document findings, gaps, and remediation recommendations</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Audit findings report</w:t>
            </w:r>
          </w:p>
        </w:tc>
      </w:tr>
    </w:tbl>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6. System Performance Baseline</w:t>
      </w:r>
    </w:p>
    <w:p>
      <w:pPr>
        <w:spacing w:after="120"/>
      </w:pPr>
      <w:r>
        <w:rPr>
          <w:rFonts w:ascii="Arial" w:cs="Arial" w:eastAsia="Arial" w:hAnsi="Arial"/>
          <w:color w:val="000000"/>
          <w:sz w:val="20"/>
          <w:szCs w:val="20"/>
        </w:rPr>
        <w:t xml:space="preserve">The following metrics from the lab's implementation are noted as baseline performance indicators relevant to the Availability criteria: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57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Detection rate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100% of test events captured</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Event-to-alert time</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&lt; 60 seconds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Average processing time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8.95 seconds</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Automation success rate</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5/5 executions (100%)</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False positives during testing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0</w:t>
            </w:r>
          </w:p>
        </w:tc>
      </w:tr>
    </w:tbl>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c>
          <w:tcPr>
            <w:tcW w:type="dxa" w:w="2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3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April 7, 2026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Ronan Kongala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Initial draft</w:t>
            </w:r>
          </w:p>
        </w:tc>
      </w:tr>
    </w:tbl>
    <w:p>
      <w:r>
        <w:t xml:space="preserve"/>
      </w:r>
    </w:p>
    <w:p>
      <w:pPr>
        <w:spacing w:after="120"/>
      </w:pPr>
      <w:r>
        <w:rPr>
          <w:rFonts w:ascii="Arial" w:cs="Arial" w:eastAsia="Arial" w:hAnsi="Arial"/>
          <w:color w:val="000000"/>
          <w:sz w:val="20"/>
          <w:szCs w:val="20"/>
        </w:rPr>
        <w:t xml:space="preserve">Next phase: Risk Assessment (Phase 2) — build a risk register for the SOC Automation Lab using NIST SP 800-30.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2026-04-07T18:24:49.350Z</dcterms:created>
  <dcterms:modified xsi:type="dcterms:W3CDTF">2026-04-07T18:24:49.351Z</dcterms:modified>
</cp:coreProperties>
</file>

<file path=docProps/custom.xml><?xml version="1.0" encoding="utf-8"?>
<Properties xmlns="http://schemas.openxmlformats.org/officeDocument/2006/custom-properties" xmlns:vt="http://schemas.openxmlformats.org/officeDocument/2006/docPropsVTypes"/>
</file>