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bCs/>
          <w:color w:val="1F5C99"/>
          <w:sz w:val="52"/>
          <w:szCs w:val="52"/>
        </w:rPr>
        <w:t xml:space="preserve">INDEPENDENT AUDIT REPORT</w:t>
      </w:r>
    </w:p>
    <w:p>
      <w:pPr>
        <w:spacing w:after="80"/>
        <w:jc w:val="center"/>
      </w:pPr>
      <w:r>
        <w:rPr>
          <w:rFonts w:ascii="Arial" w:cs="Arial" w:eastAsia="Arial" w:hAnsi="Arial"/>
          <w:b/>
          <w:bCs/>
          <w:color w:val="2E75B6"/>
          <w:sz w:val="40"/>
          <w:szCs w:val="40"/>
        </w:rPr>
        <w:t xml:space="preserve">SOC 2 Type I</w:t>
      </w:r>
    </w:p>
    <w:p>
      <w:pPr>
        <w:pBdr>
          <w:bottom w:val="single" w:color="CCCCCC" w:sz="4" w:space="1"/>
        </w:pBdr>
        <w:spacing w:after="120" w:before="120"/>
      </w:pPr>
      <w:r>
        <w:t xml:space="preserve"/>
      </w:r>
    </w:p>
    <w:p>
      <w:pPr>
        <w:spacing w:after="60" w:before="120"/>
        <w:jc w:val="center"/>
      </w:pPr>
      <w:r>
        <w:rPr>
          <w:rFonts w:ascii="Arial" w:cs="Arial" w:eastAsia="Arial" w:hAnsi="Arial"/>
          <w:b/>
          <w:bCs/>
          <w:color w:val="222222"/>
          <w:sz w:val="32"/>
          <w:szCs w:val="32"/>
        </w:rPr>
        <w:t xml:space="preserve">SOC Automation Lab</w:t>
      </w:r>
    </w:p>
    <w:p>
      <w:pPr>
        <w:spacing w:after="60"/>
        <w:jc w:val="center"/>
      </w:pPr>
      <w:r>
        <w:rPr>
          <w:rFonts w:ascii="Arial" w:cs="Arial" w:eastAsia="Arial" w:hAnsi="Arial"/>
          <w:color w:val="444444"/>
          <w:sz w:val="24"/>
          <w:szCs w:val="24"/>
        </w:rPr>
        <w:t xml:space="preserve">Ronan Kongala</w:t>
      </w:r>
    </w:p>
    <w:p>
      <w:pPr>
        <w:spacing w:after="60"/>
        <w:jc w:val="center"/>
      </w:pPr>
      <w:r>
        <w:rPr>
          <w:rFonts w:ascii="Arial" w:cs="Arial" w:eastAsia="Arial" w:hAnsi="Arial"/>
          <w:color w:val="666666"/>
          <w:sz w:val="22"/>
          <w:szCs w:val="22"/>
        </w:rPr>
        <w:t xml:space="preserve">MS Cybersecurity, Northeastern University</w:t>
      </w:r>
    </w:p>
    <w:p>
      <w:pPr>
        <w:pBdr>
          <w:bottom w:val="single" w:color="CCCCCC" w:sz="4" w:space="1"/>
        </w:pBdr>
        <w:spacing w:after="120" w:before="120"/>
      </w:pPr>
      <w:r>
        <w:t xml:space="preserve"/>
      </w:r>
    </w:p>
    <w:p>
      <w:pPr>
        <w:spacing w:after="60" w:before="120"/>
        <w:jc w:val="center"/>
      </w:pPr>
      <w:r>
        <w:rPr>
          <w:rFonts w:ascii="Arial" w:cs="Arial" w:eastAsia="Arial" w:hAnsi="Arial"/>
          <w:color w:val="444444"/>
          <w:sz w:val="22"/>
          <w:szCs w:val="22"/>
        </w:rPr>
        <w:t xml:space="preserve">Audit date: April 7, 2026</w:t>
      </w:r>
    </w:p>
    <w:p>
      <w:pPr>
        <w:spacing w:after="60"/>
        <w:jc w:val="center"/>
      </w:pPr>
      <w:r>
        <w:rPr>
          <w:rFonts w:ascii="Arial" w:cs="Arial" w:eastAsia="Arial" w:hAnsi="Arial"/>
          <w:color w:val="666666"/>
          <w:sz w:val="20"/>
          <w:szCs w:val="20"/>
        </w:rPr>
        <w:t xml:space="preserve">Trust Service Criteria: Security (CC series) | Availability (A series)</w:t>
      </w:r>
    </w:p>
    <w:p>
      <w:pPr>
        <w:spacing w:after="60"/>
        <w:jc w:val="center"/>
      </w:pPr>
      <w:r>
        <w:rPr>
          <w:rFonts w:ascii="Arial" w:cs="Arial" w:eastAsia="Arial" w:hAnsi="Arial"/>
          <w:color w:val="666666"/>
          <w:sz w:val="20"/>
          <w:szCs w:val="20"/>
        </w:rPr>
        <w:t xml:space="preserve">Audit type: SOC 2 Type I (point-in-time, control design)</w:t>
      </w:r>
    </w:p>
    <w:p>
      <w:pPr>
        <w:spacing w:after="60"/>
        <w:jc w:val="center"/>
      </w:pPr>
      <w:r>
        <w:rPr>
          <w:rFonts w:ascii="Arial" w:cs="Arial" w:eastAsia="Arial" w:hAnsi="Arial"/>
          <w:color w:val="888888"/>
          <w:sz w:val="20"/>
          <w:szCs w:val="20"/>
        </w:rPr>
        <w:t xml:space="preserve">Methodology: NIST SP 800-30 Rev. 1 | AICPA SOC 2 TSC 2017</w:t>
      </w:r>
    </w:p>
    <w:p>
      <w:r>
        <w:t xml:space="preserve"/>
      </w:r>
    </w:p>
    <w:p>
      <w:r>
        <w:t xml:space="preserve"/>
      </w:r>
    </w:p>
    <w:p>
      <w:pPr>
        <w:pBdr>
          <w:top w:val="single" w:color="CCCCCC" w:sz="4" w:space="4"/>
        </w:pBdr>
        <w:spacing w:after="80"/>
        <w:jc w:val="center"/>
      </w:pPr>
      <w:r>
        <w:rPr>
          <w:rFonts w:ascii="Arial" w:cs="Arial" w:eastAsia="Arial" w:hAnsi="Arial"/>
          <w:color w:val="AAAAAA"/>
          <w:sz w:val="18"/>
          <w:szCs w:val="18"/>
        </w:rPr>
        <w:t xml:space="preserve">CONFIDENTIAL — FOR PORTFOLIO AND ACADEMIC USE ONLY</w:t>
      </w:r>
    </w:p>
    <w:p>
      <w:r>
        <w:br w:type="page"/>
      </w:r>
    </w:p>
    <w:p>
      <w:pPr>
        <w:pStyle w:val="Heading1"/>
        <w:spacing w:after="180" w:before="360"/>
      </w:pPr>
      <w:r>
        <w:rPr>
          <w:rFonts w:ascii="Arial" w:cs="Arial" w:eastAsia="Arial" w:hAnsi="Arial"/>
          <w:b/>
          <w:bCs/>
          <w:color w:val="1F5C99"/>
          <w:sz w:val="32"/>
          <w:szCs w:val="32"/>
        </w:rPr>
        <w:t xml:space="preserve">1. Auditor Opinion</w:t>
      </w:r>
    </w:p>
    <w:p>
      <w:pPr>
        <w:spacing w:after="120"/>
      </w:pPr>
      <w:r>
        <w:rPr>
          <w:rFonts w:ascii="Arial" w:cs="Arial" w:eastAsia="Arial" w:hAnsi="Arial"/>
          <w:color w:val="222222"/>
          <w:sz w:val="20"/>
          <w:szCs w:val="20"/>
        </w:rPr>
        <w:t xml:space="preserve">We have examined the description of the SOC Automation Lab (the System) and the suitability of the design of controls included in that description to meet the criteria established in the AICPA's Trust Services Criteria for Security and Availability as of April 7, 2026.</w:t>
      </w:r>
    </w:p>
    <w:p>
      <w:r>
        <w:t xml:space="preserve"/>
      </w:r>
    </w:p>
    <w:p>
      <w:pPr>
        <w:spacing w:after="120"/>
      </w:pPr>
      <w:r>
        <w:rPr>
          <w:rFonts w:ascii="Arial" w:cs="Arial" w:eastAsia="Arial" w:hAnsi="Arial"/>
          <w:color w:val="222222"/>
          <w:sz w:val="20"/>
          <w:szCs w:val="20"/>
        </w:rPr>
        <w:t xml:space="preserve">Management of the System is responsible for the description and for the design, implementation, and operating effectiveness of controls to meet the stated criteria.</w:t>
      </w:r>
    </w:p>
    <w:p>
      <w:r>
        <w:t xml:space="preserve"/>
      </w:r>
    </w:p>
    <w:p>
      <w:pPr>
        <w:spacing w:after="120"/>
      </w:pPr>
      <w:r>
        <w:rPr>
          <w:rFonts w:ascii="Arial" w:cs="Arial" w:eastAsia="Arial" w:hAnsi="Arial"/>
          <w:color w:val="222222"/>
          <w:sz w:val="20"/>
          <w:szCs w:val="20"/>
        </w:rPr>
        <w:t xml:space="preserve">Our responsibility is to express an opinion on the fairness of the description and the suitability of the design of controls to meet the criteria, based on our examination.</w:t>
      </w:r>
    </w:p>
    <w:p>
      <w:r>
        <w:t xml:space="preserve"/>
      </w:r>
    </w:p>
    <w:p>
      <w:pPr>
        <w:pStyle w:val="Heading2"/>
        <w:spacing w:after="120" w:before="240"/>
      </w:pPr>
      <w:r>
        <w:rPr>
          <w:rFonts w:ascii="Arial" w:cs="Arial" w:eastAsia="Arial" w:hAnsi="Arial"/>
          <w:b/>
          <w:bCs/>
          <w:color w:val="2E75B6"/>
          <w:sz w:val="26"/>
          <w:szCs w:val="26"/>
        </w:rPr>
        <w:t xml:space="preserve">1.1 Opinion</w:t>
      </w:r>
    </w:p>
    <w:p>
      <w:pPr>
        <w:pBdr>
          <w:top w:val="single" w:color="1F5C99" w:sz="4" w:space="4"/>
          <w:bottom w:val="single" w:color="1F5C99" w:sz="4" w:space="4"/>
          <w:left w:val="single" w:color="1F5C99" w:sz="16" w:space="8"/>
        </w:pBdr>
        <w:spacing w:after="160" w:before="160"/>
        <w:ind w:left="360"/>
      </w:pPr>
      <w:r>
        <w:rPr>
          <w:rFonts w:ascii="Arial" w:cs="Arial" w:eastAsia="Arial" w:hAnsi="Arial"/>
          <w:b w:val="false"/>
          <w:bCs w:val="false"/>
          <w:i/>
          <w:iCs/>
          <w:color w:val="1F5C99"/>
          <w:sz w:val="20"/>
          <w:szCs w:val="20"/>
        </w:rPr>
        <w:t xml:space="preserve">In our opinion, in all material respects, based on the criteria described in the AICPA's Trust Services Criteria: (a) the description fairly presents the SOC Automation Lab as designed and implemented as of April 7, 2026; and (b) the controls stated in the description were suitably designed to provide reasonable assurance that the applicable trust service criteria would be met if the controls operated effectively throughout the period. However, six findings were identified that represent gaps in control design. These findings are detailed in Section 4 of this report and require remediation before the system could support a SOC 2 Type II examination.</w:t>
      </w:r>
    </w:p>
    <w:p>
      <w:r>
        <w:t xml:space="preserve"/>
      </w:r>
    </w:p>
    <w:p>
      <w:pPr>
        <w:pStyle w:val="Heading1"/>
        <w:spacing w:after="180" w:before="360"/>
      </w:pPr>
      <w:r>
        <w:rPr>
          <w:rFonts w:ascii="Arial" w:cs="Arial" w:eastAsia="Arial" w:hAnsi="Arial"/>
          <w:b/>
          <w:bCs/>
          <w:color w:val="1F5C99"/>
          <w:sz w:val="32"/>
          <w:szCs w:val="32"/>
        </w:rPr>
        <w:t xml:space="preserve">2. System Description</w:t>
      </w:r>
    </w:p>
    <w:p>
      <w:pPr>
        <w:pStyle w:val="Heading2"/>
        <w:spacing w:after="120" w:before="240"/>
      </w:pPr>
      <w:r>
        <w:rPr>
          <w:rFonts w:ascii="Arial" w:cs="Arial" w:eastAsia="Arial" w:hAnsi="Arial"/>
          <w:b/>
          <w:bCs/>
          <w:color w:val="2E75B6"/>
          <w:sz w:val="26"/>
          <w:szCs w:val="26"/>
        </w:rPr>
        <w:t xml:space="preserve">2.1 Overview</w:t>
      </w:r>
    </w:p>
    <w:p>
      <w:pPr>
        <w:spacing w:after="120"/>
      </w:pPr>
      <w:r>
        <w:rPr>
          <w:rFonts w:ascii="Arial" w:cs="Arial" w:eastAsia="Arial" w:hAnsi="Arial"/>
          <w:color w:val="222222"/>
          <w:sz w:val="20"/>
          <w:szCs w:val="20"/>
        </w:rPr>
        <w:t xml:space="preserve">The SOC Automation Lab is an end-to-end security operations pipeline built by Ronan Kongala as part of MS Cybersecurity coursework at Northeastern University (October 2024). The system automatically detects, analyzes, and responds to security events using a combination of open-source and commercial tools deployed across three virtual machines on an isolated VMware network.</w:t>
      </w:r>
    </w:p>
    <w:p>
      <w:r>
        <w:t xml:space="preserve"/>
      </w:r>
    </w:p>
    <w:p>
      <w:pPr>
        <w:pStyle w:val="Heading2"/>
        <w:spacing w:after="120" w:before="240"/>
      </w:pPr>
      <w:r>
        <w:rPr>
          <w:rFonts w:ascii="Arial" w:cs="Arial" w:eastAsia="Arial" w:hAnsi="Arial"/>
          <w:b/>
          <w:bCs/>
          <w:color w:val="2E75B6"/>
          <w:sz w:val="26"/>
          <w:szCs w:val="26"/>
        </w:rPr>
        <w:t xml:space="preserve">2.2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2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Technology</w:t>
            </w:r>
          </w:p>
        </w:tc>
        <w:tc>
          <w:tcPr>
            <w:tcW w:type="dxa" w:w="1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IP Address</w:t>
            </w:r>
          </w:p>
        </w:tc>
        <w:tc>
          <w:tcPr>
            <w:tcW w:type="dxa" w:w="37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F5C99"/>
                <w:sz w:val="19"/>
                <w:szCs w:val="19"/>
              </w:rPr>
              <w:t xml:space="preserve">Event source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Windows 10 + Sysmon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192.168.116.130</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Generates Windows Security Event ID 4625 (failed logon)</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1F5C99"/>
                <w:sz w:val="19"/>
                <w:szCs w:val="19"/>
              </w:rPr>
              <w:t xml:space="preserve">SIEM</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Splunk Enterprise</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192.168.116.128</w:t>
            </w:r>
          </w:p>
        </w:tc>
        <w:tc>
          <w:tcPr>
            <w:tcW w:type="dxa" w:w="37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Aggregates logs, executes SPL queries, triggers alerts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F5C99"/>
                <w:sz w:val="19"/>
                <w:szCs w:val="19"/>
              </w:rPr>
              <w:t xml:space="preserve">Orchestration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n8n (Docker)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192.168.116.133</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Automates workflow: webhook → GPT-4 analysis → Slack</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1F5C99"/>
                <w:sz w:val="19"/>
                <w:szCs w:val="19"/>
              </w:rPr>
              <w:t xml:space="preserve">AI analysis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OpenAI GPT-4</w:t>
            </w:r>
          </w:p>
        </w:tc>
        <w:tc>
          <w:tcPr>
            <w:tcW w:type="dxa" w:w="1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Cloud API</w:t>
            </w:r>
          </w:p>
        </w:tc>
        <w:tc>
          <w:tcPr>
            <w:tcW w:type="dxa" w:w="37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Enriches alerts with severity, MITRE ATT&amp;CK mapping, response actions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F5C99"/>
                <w:sz w:val="19"/>
                <w:szCs w:val="19"/>
              </w:rPr>
              <w:t xml:space="preserve">Notification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Slack</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Cloud SaaS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Delivers enriched security alerts to #alerts channel</w:t>
            </w:r>
          </w:p>
        </w:tc>
      </w:tr>
    </w:tbl>
    <w:p>
      <w:r>
        <w:t xml:space="preserve"/>
      </w:r>
    </w:p>
    <w:p>
      <w:pPr>
        <w:pStyle w:val="Heading2"/>
        <w:spacing w:after="120" w:before="240"/>
      </w:pPr>
      <w:r>
        <w:rPr>
          <w:rFonts w:ascii="Arial" w:cs="Arial" w:eastAsia="Arial" w:hAnsi="Arial"/>
          <w:b/>
          <w:bCs/>
          <w:color w:val="2E75B6"/>
          <w:sz w:val="26"/>
          <w:szCs w:val="26"/>
        </w:rPr>
        <w:t xml:space="preserve">2.3 Audit Scope</w:t>
      </w:r>
    </w:p>
    <w:p>
      <w:pPr>
        <w:pStyle w:val="ListParagraph"/>
        <w:numPr>
          <w:ilvl w:val="0"/>
          <w:numId w:val="2"/>
        </w:numPr>
        <w:spacing w:after="80"/>
      </w:pPr>
      <w:r>
        <w:rPr>
          <w:rFonts w:ascii="Arial" w:cs="Arial" w:eastAsia="Arial" w:hAnsi="Arial"/>
          <w:color w:val="222222"/>
          <w:sz w:val="19"/>
          <w:szCs w:val="19"/>
        </w:rPr>
        <w:t xml:space="preserve">Trust Service Criteria: Security (CC6, CC7) and Availability (A1)</w:t>
      </w:r>
    </w:p>
    <w:p>
      <w:pPr>
        <w:pStyle w:val="ListParagraph"/>
        <w:numPr>
          <w:ilvl w:val="0"/>
          <w:numId w:val="2"/>
        </w:numPr>
        <w:spacing w:after="80"/>
      </w:pPr>
      <w:r>
        <w:rPr>
          <w:rFonts w:ascii="Arial" w:cs="Arial" w:eastAsia="Arial" w:hAnsi="Arial"/>
          <w:color w:val="222222"/>
          <w:sz w:val="19"/>
          <w:szCs w:val="19"/>
        </w:rPr>
        <w:t xml:space="preserve">Audit type: SOC 2 Type I — evaluates control design as of a single point in time</w:t>
      </w:r>
    </w:p>
    <w:p>
      <w:pPr>
        <w:pStyle w:val="ListParagraph"/>
        <w:numPr>
          <w:ilvl w:val="0"/>
          <w:numId w:val="2"/>
        </w:numPr>
        <w:spacing w:after="80"/>
      </w:pPr>
      <w:r>
        <w:rPr>
          <w:rFonts w:ascii="Arial" w:cs="Arial" w:eastAsia="Arial" w:hAnsi="Arial"/>
          <w:color w:val="222222"/>
          <w:sz w:val="19"/>
          <w:szCs w:val="19"/>
        </w:rPr>
        <w:t xml:space="preserve">Audit date: April 7, 2026</w:t>
      </w:r>
    </w:p>
    <w:p>
      <w:pPr>
        <w:pStyle w:val="ListParagraph"/>
        <w:numPr>
          <w:ilvl w:val="0"/>
          <w:numId w:val="2"/>
        </w:numPr>
        <w:spacing w:after="80"/>
      </w:pPr>
      <w:r>
        <w:rPr>
          <w:rFonts w:ascii="Arial" w:cs="Arial" w:eastAsia="Arial" w:hAnsi="Arial"/>
          <w:color w:val="222222"/>
          <w:sz w:val="19"/>
          <w:szCs w:val="19"/>
        </w:rPr>
        <w:t xml:space="preserve">Out of scope: Confidentiality, Processing Integrity, Privacy criteria; host hypervisor; vendor platform security (OpenAI, Slack)</w:t>
      </w:r>
    </w:p>
    <w:p>
      <w:r>
        <w:t xml:space="preserve"/>
      </w:r>
    </w:p>
    <w:p>
      <w:pPr>
        <w:pStyle w:val="Heading1"/>
        <w:spacing w:after="180" w:before="360"/>
      </w:pPr>
      <w:r>
        <w:rPr>
          <w:rFonts w:ascii="Arial" w:cs="Arial" w:eastAsia="Arial" w:hAnsi="Arial"/>
          <w:b/>
          <w:bCs/>
          <w:color w:val="1F5C99"/>
          <w:sz w:val="32"/>
          <w:szCs w:val="32"/>
        </w:rPr>
        <w:t xml:space="preserve">3. System Performance Baseline</w:t>
      </w:r>
    </w:p>
    <w:p>
      <w:pPr>
        <w:spacing w:after="120"/>
      </w:pPr>
      <w:r>
        <w:rPr>
          <w:rFonts w:ascii="Arial" w:cs="Arial" w:eastAsia="Arial" w:hAnsi="Arial"/>
          <w:color w:val="222222"/>
          <w:sz w:val="20"/>
          <w:szCs w:val="20"/>
        </w:rPr>
        <w:t xml:space="preserve">The following metrics were observed during the audit period and are relevant to the Availability Trust Service Criteria: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55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Observed value</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Detection rate</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100% — all test Event ID 4625 events captured by Splunk</w:t>
            </w:r>
          </w:p>
        </w:tc>
      </w:tr>
      <w:tr>
        <w:tc>
          <w:tcPr>
            <w:tcW w:type="dxa" w:w="3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Event-to-alert time</w:t>
            </w:r>
          </w:p>
        </w:tc>
        <w:tc>
          <w:tcPr>
            <w:tcW w:type="dxa" w:w="5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&lt; 60 seconds from event generation to Slack delivery</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n8n automation success rate</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5 of 5 executions successful (100%)</w:t>
            </w:r>
          </w:p>
        </w:tc>
      </w:tr>
      <w:tr>
        <w:tc>
          <w:tcPr>
            <w:tcW w:type="dxa" w:w="3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Average processing time</w:t>
            </w:r>
          </w:p>
        </w:tc>
        <w:tc>
          <w:tcPr>
            <w:tcW w:type="dxa" w:w="5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8.95 seconds (range: 35ms – 8.95s)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False positives during testing</w:t>
            </w:r>
          </w:p>
        </w:tc>
        <w:tc>
          <w:tcPr>
            <w:tcW w:type="dxa" w:w="5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0</w:t>
            </w:r>
          </w:p>
        </w:tc>
      </w:tr>
      <w:tr>
        <w:tc>
          <w:tcPr>
            <w:tcW w:type="dxa" w:w="3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MITRE ATT&amp;CK mapping accuracy</w:t>
            </w:r>
          </w:p>
        </w:tc>
        <w:tc>
          <w:tcPr>
            <w:tcW w:type="dxa" w:w="55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Correctly identified Credential Access / Brute Force (T1110)</w:t>
            </w:r>
          </w:p>
        </w:tc>
      </w:tr>
    </w:tbl>
    <w:p>
      <w:r>
        <w:t xml:space="preserve"/>
      </w:r>
    </w:p>
    <w:p>
      <w:pPr>
        <w:pStyle w:val="Heading1"/>
        <w:spacing w:after="180" w:before="360"/>
      </w:pPr>
      <w:r>
        <w:rPr>
          <w:rFonts w:ascii="Arial" w:cs="Arial" w:eastAsia="Arial" w:hAnsi="Arial"/>
          <w:b/>
          <w:bCs/>
          <w:color w:val="1F5C99"/>
          <w:sz w:val="32"/>
          <w:szCs w:val="32"/>
        </w:rPr>
        <w:t xml:space="preserve">4. Audit Findings</w:t>
      </w:r>
    </w:p>
    <w:p>
      <w:pPr>
        <w:spacing w:after="120"/>
      </w:pPr>
      <w:r>
        <w:rPr>
          <w:rFonts w:ascii="Arial" w:cs="Arial" w:eastAsia="Arial" w:hAnsi="Arial"/>
          <w:color w:val="222222"/>
          <w:sz w:val="20"/>
          <w:szCs w:val="20"/>
        </w:rPr>
        <w:t xml:space="preserve">Six findings were identified during this examination. Findings are rated High, Medium, or Low based on the potential impact to the Trust Service Criteria if the gap is not remediated.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400"/>
        <w:gridCol w:w="1460"/>
        <w:gridCol w:w="2600"/>
      </w:tblGrid>
      <w:tr>
        <w:tc>
          <w:tcPr>
            <w:tcW w:type="dxa" w:w="7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ID</w:t>
            </w:r>
          </w:p>
        </w:tc>
        <w:tc>
          <w:tcPr>
            <w:tcW w:type="dxa" w:w="3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Title</w:t>
            </w:r>
          </w:p>
        </w:tc>
        <w:tc>
          <w:tcPr>
            <w:tcW w:type="dxa" w:w="1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TSC</w:t>
            </w:r>
          </w:p>
        </w:tc>
        <w:tc>
          <w:tcPr>
            <w:tcW w:type="dxa" w:w="14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c>
          <w:tcPr>
            <w:tcW w:type="dxa" w:w="26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F5C99"/>
                <w:sz w:val="19"/>
                <w:szCs w:val="19"/>
              </w:rPr>
              <w:t xml:space="preserve">F-01</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Splunk web interface operates over unencrypted HTTP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E75B6"/>
                <w:sz w:val="19"/>
                <w:szCs w:val="19"/>
              </w:rPr>
              <w:t xml:space="preserve">CC6.1</w:t>
            </w:r>
          </w:p>
        </w:tc>
        <w:tc>
          <w:tcPr>
            <w:tcW w:type="dxa" w:w="1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A32D2D"/>
                <w:sz w:val="19"/>
                <w:szCs w:val="19"/>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A32D2D"/>
                <w:sz w:val="19"/>
                <w:szCs w:val="19"/>
              </w:rPr>
              <w:t xml:space="preserve">Open — remediation required</w:t>
            </w:r>
          </w:p>
        </w:tc>
      </w:tr>
      <w:tr>
        <w:tc>
          <w:tcPr>
            <w:tcW w:type="dxa" w:w="7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1F5C99"/>
                <w:sz w:val="19"/>
                <w:szCs w:val="19"/>
              </w:rPr>
              <w:t xml:space="preserve">F-02</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n8n webhook endpoint accepts unauthenticated requests</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CC6.6</w:t>
            </w:r>
          </w:p>
        </w:tc>
        <w:tc>
          <w:tcPr>
            <w:tcW w:type="dxa" w:w="14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A32D2D"/>
                <w:sz w:val="19"/>
                <w:szCs w:val="19"/>
              </w:rPr>
              <w:t xml:space="preserve">Open — remediation required</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F5C99"/>
                <w:sz w:val="19"/>
                <w:szCs w:val="19"/>
              </w:rPr>
              <w:t xml:space="preserve">F-03</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API keys stored without secrets management or rotation policy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E75B6"/>
                <w:sz w:val="19"/>
                <w:szCs w:val="19"/>
              </w:rPr>
              <w:t xml:space="preserve">CC6.7</w:t>
            </w:r>
          </w:p>
        </w:tc>
        <w:tc>
          <w:tcPr>
            <w:tcW w:type="dxa" w:w="1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A32D2D"/>
                <w:sz w:val="19"/>
                <w:szCs w:val="19"/>
              </w:rPr>
              <w:t xml:space="preserve">Open — remediation required</w:t>
            </w:r>
          </w:p>
        </w:tc>
      </w:tr>
      <w:tr>
        <w:tc>
          <w:tcPr>
            <w:tcW w:type="dxa" w:w="7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1F5C99"/>
                <w:sz w:val="19"/>
                <w:szCs w:val="19"/>
              </w:rPr>
              <w:t xml:space="preserve">F-04</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Alert rule triggers on single failed logon with no threshold</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CC7.2</w:t>
            </w:r>
          </w:p>
        </w:tc>
        <w:tc>
          <w:tcPr>
            <w:tcW w:type="dxa" w:w="14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A32D2D"/>
                <w:sz w:val="19"/>
                <w:szCs w:val="19"/>
              </w:rPr>
              <w:t xml:space="preserve">Open — remediation required</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F5C99"/>
                <w:sz w:val="19"/>
                <w:szCs w:val="19"/>
              </w:rPr>
              <w:t xml:space="preserve">F-05</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n8n Docker container has no restart policy configured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E75B6"/>
                <w:sz w:val="19"/>
                <w:szCs w:val="19"/>
              </w:rPr>
              <w:t xml:space="preserve">A1.2</w:t>
            </w:r>
          </w:p>
        </w:tc>
        <w:tc>
          <w:tcPr>
            <w:tcW w:type="dxa" w:w="1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A32D2D"/>
                <w:sz w:val="19"/>
                <w:szCs w:val="19"/>
              </w:rPr>
              <w:t xml:space="preserve">Open — remediation required</w:t>
            </w:r>
          </w:p>
        </w:tc>
      </w:tr>
      <w:tr>
        <w:tc>
          <w:tcPr>
            <w:tcW w:type="dxa" w:w="7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1F5C99"/>
                <w:sz w:val="19"/>
                <w:szCs w:val="19"/>
              </w:rPr>
              <w:t xml:space="preserve">F-06</w:t>
            </w:r>
          </w:p>
        </w:tc>
        <w:tc>
          <w:tcPr>
            <w:tcW w:type="dxa" w:w="32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Splunk disk space threshold set below recommended minimum</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A1.2</w:t>
            </w:r>
          </w:p>
        </w:tc>
        <w:tc>
          <w:tcPr>
            <w:tcW w:type="dxa" w:w="14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c>
          <w:tcPr>
            <w:tcW w:type="dxa" w:w="26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A32D2D"/>
                <w:sz w:val="19"/>
                <w:szCs w:val="19"/>
              </w:rPr>
              <w:t xml:space="preserve">Open — remediation required</w:t>
            </w:r>
          </w:p>
        </w:tc>
      </w:tr>
    </w:tbl>
    <w:p>
      <w:r>
        <w:t xml:space="preserve"/>
      </w:r>
    </w:p>
    <w:p>
      <w:pPr>
        <w:pStyle w:val="Heading2"/>
        <w:spacing w:after="120" w:before="240"/>
      </w:pPr>
      <w:r>
        <w:rPr>
          <w:rFonts w:ascii="Arial" w:cs="Arial" w:eastAsia="Arial" w:hAnsi="Arial"/>
          <w:b/>
          <w:bCs/>
          <w:color w:val="2E75B6"/>
          <w:sz w:val="26"/>
          <w:szCs w:val="26"/>
        </w:rPr>
        <w:t xml:space="preserve">4.1 Finding Details</w:t>
      </w:r>
    </w:p>
    <w:p>
      <w:r>
        <w:t xml:space="preserve"/>
      </w:r>
    </w:p>
    <w:p>
      <w:pPr>
        <w:shd w:fill="EEF4FB" w:val="clear"/>
        <w:spacing w:after="80" w:before="200"/>
      </w:pPr>
      <w:r>
        <w:rPr>
          <w:rFonts w:ascii="Arial" w:cs="Arial" w:eastAsia="Arial" w:hAnsi="Arial"/>
          <w:b/>
          <w:bCs/>
          <w:color w:val="1F5C99"/>
          <w:sz w:val="22"/>
          <w:szCs w:val="22"/>
        </w:rPr>
        <w:t xml:space="preserve">F-01  </w:t>
      </w:r>
      <w:r>
        <w:rPr>
          <w:rFonts w:ascii="Arial" w:cs="Arial" w:eastAsia="Arial" w:hAnsi="Arial"/>
          <w:b/>
          <w:bCs/>
          <w:color w:val="222222"/>
          <w:sz w:val="22"/>
          <w:szCs w:val="22"/>
        </w:rPr>
        <w:t xml:space="preserve">Splunk web interface operates over unencrypted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FFFFFF"/>
                <w:sz w:val="19"/>
                <w:szCs w:val="19"/>
              </w:rPr>
              <w:t xml:space="preserve">Severity</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A32D2D"/>
                <w:sz w:val="19"/>
                <w:szCs w:val="19"/>
              </w:rPr>
              <w:t xml:space="preserve">High</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TSC reference</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CC6.1</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Condition</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The Splunk Enterprise web interface is accessible at http://192.168.116.128:8000 without TLS encryption.</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Criteria</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SOC 2 CC6.1 requires logical access security measures to protect information assets from unauthorized access.</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Cause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Default Splunk installation does not enforce HTTPS. TLS configuration was not completed during lab setup.</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Effect</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Credentials transmitted to Splunk (including admin username and password) are sent in plaintext and could be intercepted by an attacker on the network.</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Recommendation</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7500A"/>
                <w:sz w:val="19"/>
                <w:szCs w:val="19"/>
              </w:rPr>
              <w:t xml:space="preserve">Enable HTTPS on Splunk by generating a TLS certificate and updating server.conf. Enforce HTTPS redirect and disable HTTP access.</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Evidence</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Exhibit C — Splunk alert configuration accessed via http:// URL visible in browser address bar.</w:t>
            </w:r>
          </w:p>
        </w:tc>
      </w:tr>
    </w:tbl>
    <w:p>
      <w:r>
        <w:t xml:space="preserve"/>
      </w:r>
    </w:p>
    <w:p>
      <w:pPr>
        <w:shd w:fill="EEF4FB" w:val="clear"/>
        <w:spacing w:after="80" w:before="200"/>
      </w:pPr>
      <w:r>
        <w:rPr>
          <w:rFonts w:ascii="Arial" w:cs="Arial" w:eastAsia="Arial" w:hAnsi="Arial"/>
          <w:b/>
          <w:bCs/>
          <w:color w:val="1F5C99"/>
          <w:sz w:val="22"/>
          <w:szCs w:val="22"/>
        </w:rPr>
        <w:t xml:space="preserve">F-02  </w:t>
      </w:r>
      <w:r>
        <w:rPr>
          <w:rFonts w:ascii="Arial" w:cs="Arial" w:eastAsia="Arial" w:hAnsi="Arial"/>
          <w:b/>
          <w:bCs/>
          <w:color w:val="222222"/>
          <w:sz w:val="22"/>
          <w:szCs w:val="22"/>
        </w:rPr>
        <w:t xml:space="preserve">n8n webhook endpoint accepts unauthenticated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FFFFFF"/>
                <w:sz w:val="19"/>
                <w:szCs w:val="19"/>
              </w:rPr>
              <w:t xml:space="preserve">Severity</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TSC reference</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CC6.6</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Condition</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The n8n webhook trigger node accepts POST requests from any source without authentication or signature validation.</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Criteria</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SOC 2 CC6.6 requires protection against threats from outside system boundaries, including unauthorized triggering of automated processes.</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Cause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n8n webhook nodes do not enforce authentication by default. No HMAC signature or bearer token was configured.</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Effect</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Any host that discovers the webhook URL can trigger the automation pipeline, potentially flooding Slack with false alerts or exhausting OpenAI API credits.</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Recommendation</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7500A"/>
                <w:sz w:val="19"/>
                <w:szCs w:val="19"/>
              </w:rPr>
              <w:t xml:space="preserve">Configure webhook authentication using HMAC-SHA256 signature verification or a static bearer token. Restrict webhook access by source IP if possible.</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Evidence</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Exhibit D — n8n execution log showing webhook as the trigger node with no authentication indicators.</w:t>
            </w:r>
          </w:p>
        </w:tc>
      </w:tr>
    </w:tbl>
    <w:p>
      <w:r>
        <w:t xml:space="preserve"/>
      </w:r>
    </w:p>
    <w:p>
      <w:pPr>
        <w:shd w:fill="EEF4FB" w:val="clear"/>
        <w:spacing w:after="80" w:before="200"/>
      </w:pPr>
      <w:r>
        <w:rPr>
          <w:rFonts w:ascii="Arial" w:cs="Arial" w:eastAsia="Arial" w:hAnsi="Arial"/>
          <w:b/>
          <w:bCs/>
          <w:color w:val="1F5C99"/>
          <w:sz w:val="22"/>
          <w:szCs w:val="22"/>
        </w:rPr>
        <w:t xml:space="preserve">F-03  </w:t>
      </w:r>
      <w:r>
        <w:rPr>
          <w:rFonts w:ascii="Arial" w:cs="Arial" w:eastAsia="Arial" w:hAnsi="Arial"/>
          <w:b/>
          <w:bCs/>
          <w:color w:val="222222"/>
          <w:sz w:val="22"/>
          <w:szCs w:val="22"/>
        </w:rPr>
        <w:t xml:space="preserve">API keys stored without secrets management or rotation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FFFFFF"/>
                <w:sz w:val="19"/>
                <w:szCs w:val="19"/>
              </w:rPr>
              <w:t xml:space="preserve">Severity</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TSC reference</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CC6.7</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Condition</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OpenAI and Slack API keys are stored in the n8n credential store. No rotation schedule or secrets vault is in use.</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Criteria</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SOC 2 CC6.7 requires that credentials are protected during storage and that access to credentials is restricted and monitored.</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Cause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n8n's built-in credential store was used for convenience during lab setup. No formal secrets management process was established.</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Effect</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If the n8n instance or its underlying storage is compromised, API keys could be extracted and used to access OpenAI and Slack resources without authorization.</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Recommendation</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7500A"/>
                <w:sz w:val="19"/>
                <w:szCs w:val="19"/>
              </w:rPr>
              <w:t xml:space="preserve">Migrate secrets to a dedicated vault (e.g. HashiCorp Vault or AWS Secrets Manager). Establish a 90-day key rotation policy. Audit n8n logs for unexpected API usage.</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Evidence</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n8n workflow configuration — credentials referenced by name in workflow nodes.</w:t>
            </w:r>
          </w:p>
        </w:tc>
      </w:tr>
    </w:tbl>
    <w:p>
      <w:r>
        <w:t xml:space="preserve"/>
      </w:r>
    </w:p>
    <w:p>
      <w:pPr>
        <w:shd w:fill="EEF4FB" w:val="clear"/>
        <w:spacing w:after="80" w:before="200"/>
      </w:pPr>
      <w:r>
        <w:rPr>
          <w:rFonts w:ascii="Arial" w:cs="Arial" w:eastAsia="Arial" w:hAnsi="Arial"/>
          <w:b/>
          <w:bCs/>
          <w:color w:val="1F5C99"/>
          <w:sz w:val="22"/>
          <w:szCs w:val="22"/>
        </w:rPr>
        <w:t xml:space="preserve">F-04  </w:t>
      </w:r>
      <w:r>
        <w:rPr>
          <w:rFonts w:ascii="Arial" w:cs="Arial" w:eastAsia="Arial" w:hAnsi="Arial"/>
          <w:b/>
          <w:bCs/>
          <w:color w:val="222222"/>
          <w:sz w:val="22"/>
          <w:szCs w:val="22"/>
        </w:rPr>
        <w:t xml:space="preserve">Alert rule triggers on single failed logon with no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FFFFFF"/>
                <w:sz w:val="19"/>
                <w:szCs w:val="19"/>
              </w:rPr>
              <w:t xml:space="preserve">Severity</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TSC reference</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CC7.2</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Condition</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The Splunk 'test-brute-force' alert fires on any single occurrence of Event ID 4625, without a minimum event count threshold.</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Criteria</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SOC 2 CC7.2 requires that security events are evaluated to identify actual security incidents, implying signal quality and noise reduction.</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Cause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Alert was configured for testing purposes with a single-event threshold. Threshold tuning was not completed.</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Effect</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Single legitimate failed logon (e.g. user mistyping password) generates an alert, reducing signal-to-noise ratio and creating analyst fatigue over time.</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Recommendation</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7500A"/>
                <w:sz w:val="19"/>
                <w:szCs w:val="19"/>
              </w:rPr>
              <w:t xml:space="preserve">Update SPL alert to require 5 or more Event ID 4625 events within a 60-second window from the same host. Add deduplication logic in n8n workflow.</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Evidence</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Exhibit C — alert configuration showing count threshold of 0.</w:t>
            </w:r>
          </w:p>
        </w:tc>
      </w:tr>
    </w:tbl>
    <w:p>
      <w:r>
        <w:t xml:space="preserve"/>
      </w:r>
    </w:p>
    <w:p>
      <w:pPr>
        <w:shd w:fill="EEF4FB" w:val="clear"/>
        <w:spacing w:after="80" w:before="200"/>
      </w:pPr>
      <w:r>
        <w:rPr>
          <w:rFonts w:ascii="Arial" w:cs="Arial" w:eastAsia="Arial" w:hAnsi="Arial"/>
          <w:b/>
          <w:bCs/>
          <w:color w:val="1F5C99"/>
          <w:sz w:val="22"/>
          <w:szCs w:val="22"/>
        </w:rPr>
        <w:t xml:space="preserve">F-05  </w:t>
      </w:r>
      <w:r>
        <w:rPr>
          <w:rFonts w:ascii="Arial" w:cs="Arial" w:eastAsia="Arial" w:hAnsi="Arial"/>
          <w:b/>
          <w:bCs/>
          <w:color w:val="222222"/>
          <w:sz w:val="22"/>
          <w:szCs w:val="22"/>
        </w:rPr>
        <w:t xml:space="preserve">n8n Docker container has no restart policy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FFFFFF"/>
                <w:sz w:val="19"/>
                <w:szCs w:val="19"/>
              </w:rPr>
              <w:t xml:space="preserve">Severity</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TSC reference</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A1.2</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Condition</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The n8n container was deployed without a Docker restart policy (--restart=always or equivalent).</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Criteria</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SOC 2 A1.2 requires that software and processes support recovery commitments and that the system can resume operation after failure.</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Cause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Docker restart policies were not configured during initial container deployment.</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Effect</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If the n8n container crashes or the host VM reboots, the automation pipeline halts. Security events would continue to generate Splunk alerts but would not be enriched or delivered to Slack until manually restarted.</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Recommendation</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7500A"/>
                <w:sz w:val="19"/>
                <w:szCs w:val="19"/>
              </w:rPr>
              <w:t xml:space="preserve">Add restart: always to Docker Compose configuration for the n8n service. Document the expected recovery time after restart.</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Evidence</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Exhibit D — n8n execution log confirms Docker-based deployment. README documents Docker Compose usage.</w:t>
            </w:r>
          </w:p>
        </w:tc>
      </w:tr>
    </w:tbl>
    <w:p>
      <w:r>
        <w:t xml:space="preserve"/>
      </w:r>
    </w:p>
    <w:p>
      <w:pPr>
        <w:shd w:fill="EEF4FB" w:val="clear"/>
        <w:spacing w:after="80" w:before="200"/>
      </w:pPr>
      <w:r>
        <w:rPr>
          <w:rFonts w:ascii="Arial" w:cs="Arial" w:eastAsia="Arial" w:hAnsi="Arial"/>
          <w:b/>
          <w:bCs/>
          <w:color w:val="1F5C99"/>
          <w:sz w:val="22"/>
          <w:szCs w:val="22"/>
        </w:rPr>
        <w:t xml:space="preserve">F-06  </w:t>
      </w:r>
      <w:r>
        <w:rPr>
          <w:rFonts w:ascii="Arial" w:cs="Arial" w:eastAsia="Arial" w:hAnsi="Arial"/>
          <w:b/>
          <w:bCs/>
          <w:color w:val="222222"/>
          <w:sz w:val="22"/>
          <w:szCs w:val="22"/>
        </w:rPr>
        <w:t xml:space="preserve">Splunk disk space threshold set below recommended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FFFFFF"/>
                <w:sz w:val="19"/>
                <w:szCs w:val="19"/>
              </w:rPr>
              <w:t xml:space="preserve">Severity</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TSC reference</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A1.2</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Condition</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Splunk's minFreeSpace setting was reduced from the default 5GB to 2GB during lab setup to resolve a disk space error.</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Criteria</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SOC 2 A1.2 requires that processing capacity is maintained and that the system can meet availability commitments.</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Cause</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Host machine had insufficient free disk space. Configuration was modified as a workaround rather than resolving root cause.</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Effect</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At 2GB free disk space threshold, Splunk will pause indexing. In a production environment this could result in missed security events and gaps in the audit trail.</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44444"/>
                <w:sz w:val="19"/>
                <w:szCs w:val="19"/>
              </w:rPr>
              <w:t xml:space="preserve">Recommendation</w:t>
            </w:r>
          </w:p>
        </w:tc>
        <w:tc>
          <w:tcPr>
            <w:tcW w:type="dxa" w:w="7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7500A"/>
                <w:sz w:val="19"/>
                <w:szCs w:val="19"/>
              </w:rPr>
              <w:t xml:space="preserve">Allocate additional storage to the Splunk VM. Implement a disk usage monitoring alert at 20% free. Define and document a log retention and archival policy.</w:t>
            </w:r>
          </w:p>
        </w:tc>
      </w:tr>
      <w:tr>
        <w:tc>
          <w:tcPr>
            <w:tcW w:type="dxa" w:w="144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444444"/>
                <w:sz w:val="19"/>
                <w:szCs w:val="19"/>
              </w:rPr>
              <w:t xml:space="preserve">Evidence</w:t>
            </w:r>
          </w:p>
        </w:tc>
        <w:tc>
          <w:tcPr>
            <w:tcW w:type="dxa" w:w="792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E75B6"/>
                <w:sz w:val="19"/>
                <w:szCs w:val="19"/>
              </w:rPr>
              <w:t xml:space="preserve">README — Challenges section documents minFreeSpace = 2000 configuration change. Exhibit — disk space error screenshot.</w:t>
            </w:r>
          </w:p>
        </w:tc>
      </w:tr>
    </w:tbl>
    <w:p>
      <w:r>
        <w:t xml:space="preserve"/>
      </w:r>
    </w:p>
    <w:p>
      <w:pPr>
        <w:pStyle w:val="Heading1"/>
        <w:spacing w:after="180" w:before="360"/>
      </w:pPr>
      <w:r>
        <w:rPr>
          <w:rFonts w:ascii="Arial" w:cs="Arial" w:eastAsia="Arial" w:hAnsi="Arial"/>
          <w:b/>
          <w:bCs/>
          <w:color w:val="1F5C99"/>
          <w:sz w:val="32"/>
          <w:szCs w:val="32"/>
        </w:rPr>
        <w:t xml:space="preserve">5. Remediation Roadmap</w:t>
      </w:r>
    </w:p>
    <w:p>
      <w:pPr>
        <w:spacing w:after="120"/>
      </w:pPr>
      <w:r>
        <w:rPr>
          <w:rFonts w:ascii="Arial" w:cs="Arial" w:eastAsia="Arial" w:hAnsi="Arial"/>
          <w:color w:val="222222"/>
          <w:sz w:val="20"/>
          <w:szCs w:val="20"/>
        </w:rPr>
        <w:t xml:space="preserve">The following table prioritizes remediation actions by severity and estimated effort. All High and Medium findings should be resolved before initiating a SOC 2 Type II audit observation period.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460"/>
        <w:gridCol w:w="1400"/>
        <w:gridCol w:w="2800"/>
      </w:tblGrid>
      <w:tr>
        <w:tc>
          <w:tcPr>
            <w:tcW w:type="dxa" w:w="7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ID</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Remediation action</w:t>
            </w:r>
          </w:p>
        </w:tc>
        <w:tc>
          <w:tcPr>
            <w:tcW w:type="dxa" w:w="14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c>
          <w:tcPr>
            <w:tcW w:type="dxa" w:w="1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Effort</w:t>
            </w:r>
          </w:p>
        </w:tc>
        <w:tc>
          <w:tcPr>
            <w:tcW w:type="dxa" w:w="2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Owner</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F5C99"/>
                <w:sz w:val="19"/>
                <w:szCs w:val="19"/>
              </w:rPr>
              <w:t xml:space="preserve">F-01</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Enable HTTPS on Splunk; configure TLS certificate</w:t>
            </w:r>
          </w:p>
        </w:tc>
        <w:tc>
          <w:tcPr>
            <w:tcW w:type="dxa" w:w="1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A32D2D"/>
                <w:sz w:val="19"/>
                <w:szCs w:val="19"/>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7500A"/>
                <w:sz w:val="19"/>
                <w:szCs w:val="19"/>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Ronan Kongala</w:t>
            </w:r>
          </w:p>
        </w:tc>
      </w:tr>
      <w:tr>
        <w:tc>
          <w:tcPr>
            <w:tcW w:type="dxa" w:w="7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1F5C99"/>
                <w:sz w:val="19"/>
                <w:szCs w:val="19"/>
              </w:rPr>
              <w:t xml:space="preserve">F-02</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Add HMAC/bearer token auth to n8n webhook</w:t>
            </w:r>
          </w:p>
        </w:tc>
        <w:tc>
          <w:tcPr>
            <w:tcW w:type="dxa" w:w="14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7500A"/>
                <w:sz w:val="19"/>
                <w:szCs w:val="19"/>
              </w:rPr>
              <w:t xml:space="preserve">Low</w:t>
            </w:r>
          </w:p>
        </w:tc>
        <w:tc>
          <w:tcPr>
            <w:tcW w:type="dxa" w:w="2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Ronan Kongala</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F5C99"/>
                <w:sz w:val="19"/>
                <w:szCs w:val="19"/>
              </w:rPr>
              <w:t xml:space="preserve">F-04</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Update Splunk alert to threshold-based (5 events/60s)</w:t>
            </w:r>
          </w:p>
        </w:tc>
        <w:tc>
          <w:tcPr>
            <w:tcW w:type="dxa" w:w="1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7500A"/>
                <w:sz w:val="19"/>
                <w:szCs w:val="19"/>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Ronan Kongala</w:t>
            </w:r>
          </w:p>
        </w:tc>
      </w:tr>
      <w:tr>
        <w:tc>
          <w:tcPr>
            <w:tcW w:type="dxa" w:w="7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1F5C99"/>
                <w:sz w:val="19"/>
                <w:szCs w:val="19"/>
              </w:rPr>
              <w:t xml:space="preserve">F-05</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Add Docker restart: always policy to n8n container</w:t>
            </w:r>
          </w:p>
        </w:tc>
        <w:tc>
          <w:tcPr>
            <w:tcW w:type="dxa" w:w="14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27500A"/>
                <w:sz w:val="19"/>
                <w:szCs w:val="19"/>
              </w:rPr>
              <w:t xml:space="preserve">Low</w:t>
            </w:r>
          </w:p>
        </w:tc>
        <w:tc>
          <w:tcPr>
            <w:tcW w:type="dxa" w:w="2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Ronan Kongala</w:t>
            </w:r>
          </w:p>
        </w:tc>
      </w:tr>
      <w:tr>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F5C99"/>
                <w:sz w:val="19"/>
                <w:szCs w:val="19"/>
              </w:rPr>
              <w:t xml:space="preserve">F-06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Increase Splunk disk allocation; add monitoring alert</w:t>
            </w:r>
          </w:p>
        </w:tc>
        <w:tc>
          <w:tcPr>
            <w:tcW w:type="dxa" w:w="1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854F0B"/>
                <w:sz w:val="19"/>
                <w:szCs w:val="19"/>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Ronan Kongala</w:t>
            </w:r>
          </w:p>
        </w:tc>
      </w:tr>
      <w:tr>
        <w:tc>
          <w:tcPr>
            <w:tcW w:type="dxa" w:w="7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bCs/>
                <w:color w:val="1F5C99"/>
                <w:sz w:val="19"/>
                <w:szCs w:val="19"/>
              </w:rPr>
              <w:t xml:space="preserve">F-03</w:t>
            </w:r>
          </w:p>
        </w:tc>
        <w:tc>
          <w:tcPr>
            <w:tcW w:type="dxa" w:w="30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Migrate API keys to secrets vault; define rotation policy</w:t>
            </w:r>
          </w:p>
        </w:tc>
        <w:tc>
          <w:tcPr>
            <w:tcW w:type="dxa" w:w="146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pPr>
              <w:jc w:val="center"/>
            </w:pPr>
            <w:r>
              <w:rPr>
                <w:rFonts w:ascii="Arial" w:cs="Arial" w:eastAsia="Arial" w:hAnsi="Arial"/>
                <w:b/>
                <w:bCs/>
                <w:color w:val="854F0B"/>
                <w:sz w:val="19"/>
                <w:szCs w:val="19"/>
              </w:rPr>
              <w:t xml:space="preserve">Medium</w:t>
            </w:r>
          </w:p>
        </w:tc>
        <w:tc>
          <w:tcPr>
            <w:tcW w:type="dxa" w:w="14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854F0B"/>
                <w:sz w:val="19"/>
                <w:szCs w:val="19"/>
              </w:rPr>
              <w:t xml:space="preserve">Medium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40"/>
              <w:bottom w:type="dxa" w:w="90"/>
              <w:right w:type="dxa" w:w="140"/>
            </w:tcMar>
          </w:tcPr>
          <w:p>
            <w:r>
              <w:rPr>
                <w:rFonts w:ascii="Arial" w:cs="Arial" w:eastAsia="Arial" w:hAnsi="Arial"/>
                <w:b w:val="false"/>
                <w:bCs w:val="false"/>
                <w:color w:val="000000"/>
                <w:sz w:val="19"/>
                <w:szCs w:val="19"/>
              </w:rPr>
              <w:t xml:space="preserve">Ronan Kongala</w:t>
            </w:r>
          </w:p>
        </w:tc>
      </w:tr>
    </w:tbl>
    <w:p>
      <w:r>
        <w:t xml:space="preserve"/>
      </w:r>
    </w:p>
    <w:p>
      <w:pPr>
        <w:pStyle w:val="Heading1"/>
        <w:spacing w:after="180" w:before="360"/>
      </w:pPr>
      <w:r>
        <w:rPr>
          <w:rFonts w:ascii="Arial" w:cs="Arial" w:eastAsia="Arial" w:hAnsi="Arial"/>
          <w:b/>
          <w:bCs/>
          <w:color w:val="1F5C99"/>
          <w:sz w:val="32"/>
          <w:szCs w:val="32"/>
        </w:rPr>
        <w:t xml:space="preserve">6. Conclusion</w:t>
      </w:r>
    </w:p>
    <w:p>
      <w:pPr>
        <w:spacing w:after="120"/>
      </w:pPr>
      <w:r>
        <w:rPr>
          <w:rFonts w:ascii="Arial" w:cs="Arial" w:eastAsia="Arial" w:hAnsi="Arial"/>
          <w:color w:val="222222"/>
          <w:sz w:val="20"/>
          <w:szCs w:val="20"/>
        </w:rPr>
        <w:t xml:space="preserve">The SOC Automation Lab demonstrates a functional and well-documented security monitoring pipeline. The core detection and alerting controls — Splunk event ingestion, automated alert triggering, AI-enriched threat analysis, and Slack notification delivery — are operational and performing at 100% detection rate within the test environment.</w:t>
      </w:r>
    </w:p>
    <w:p>
      <w:r>
        <w:t xml:space="preserve"/>
      </w:r>
    </w:p>
    <w:p>
      <w:pPr>
        <w:spacing w:after="120"/>
      </w:pPr>
      <w:r>
        <w:rPr>
          <w:rFonts w:ascii="Arial" w:cs="Arial" w:eastAsia="Arial" w:hAnsi="Arial"/>
          <w:color w:val="222222"/>
          <w:sz w:val="20"/>
          <w:szCs w:val="20"/>
        </w:rPr>
        <w:t xml:space="preserve">However, six control gaps were identified that collectively indicate the system is not yet ready for a production SOC 2 Type II certification audit. The most critical gap is the absence of HTTPS on the Splunk interface (F-01), which exposes administrator credentials to network interception.</w:t>
      </w:r>
    </w:p>
    <w:p>
      <w:r>
        <w:t xml:space="preserve"/>
      </w:r>
    </w:p>
    <w:p>
      <w:pPr>
        <w:spacing w:after="120"/>
      </w:pPr>
      <w:r>
        <w:rPr>
          <w:rFonts w:ascii="Arial" w:cs="Arial" w:eastAsia="Arial" w:hAnsi="Arial"/>
          <w:color w:val="222222"/>
          <w:sz w:val="20"/>
          <w:szCs w:val="20"/>
        </w:rPr>
        <w:t xml:space="preserve">All six findings are technically straightforward to remediate and represent configuration gaps rather than architectural deficiencies. Upon remediation of the identified findings, this system would provide a strong foundation for a SOC 2 Type II audit covering a 6-12 month observation period.</w:t>
      </w:r>
    </w:p>
    <w:p>
      <w:r>
        <w:t xml:space="preserve"/>
      </w:r>
    </w:p>
    <w:p>
      <w:pPr>
        <w:pStyle w:val="Heading1"/>
        <w:spacing w:after="180" w:before="360"/>
      </w:pPr>
      <w:r>
        <w:rPr>
          <w:rFonts w:ascii="Arial" w:cs="Arial" w:eastAsia="Arial" w:hAnsi="Arial"/>
          <w:b/>
          <w:bCs/>
          <w:color w:val="1F5C99"/>
          <w:sz w:val="32"/>
          <w:szCs w:val="32"/>
        </w:rP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3400"/>
      </w:tblGrid>
      <w:tr>
        <w:tc>
          <w:tcPr>
            <w:tcW w:type="dxa" w:w="15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c>
          <w:tcPr>
            <w:tcW w:type="dxa" w:w="2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Date</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Author</w:t>
            </w:r>
          </w:p>
        </w:tc>
        <w:tc>
          <w:tcPr>
            <w:tcW w:type="dxa" w:w="3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April 7, 2026</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Ronan Kongala</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00000"/>
                <w:sz w:val="19"/>
                <w:szCs w:val="19"/>
              </w:rPr>
              <w:t xml:space="preserve">Final — Phase 4 audit report</w:t>
            </w:r>
          </w:p>
        </w:tc>
      </w:tr>
    </w:tbl>
    <w:p>
      <w:r>
        <w:t xml:space="preserve"/>
      </w:r>
    </w:p>
    <w:p>
      <w:pPr>
        <w:spacing w:before="200"/>
        <w:jc w:val="center"/>
      </w:pPr>
      <w:r>
        <w:rPr>
          <w:rFonts w:ascii="Arial" w:cs="Arial" w:eastAsia="Arial" w:hAnsi="Arial"/>
          <w:i/>
          <w:iCs/>
          <w:color w:val="AAAAAA"/>
          <w:sz w:val="17"/>
          <w:szCs w:val="17"/>
        </w:rPr>
        <w:t xml:space="preserve">This report was produced as part of a personal GRC portfolio project. It does not constitute a formal AICPA-accredited SOC 2 examination.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2026-04-07T18:47:28.734Z</dcterms:created>
  <dcterms:modified xsi:type="dcterms:W3CDTF">2026-04-07T18:47:28.734Z</dcterms:modified>
</cp:coreProperties>
</file>

<file path=docProps/custom.xml><?xml version="1.0" encoding="utf-8"?>
<Properties xmlns="http://schemas.openxmlformats.org/officeDocument/2006/custom-properties" xmlns:vt="http://schemas.openxmlformats.org/officeDocument/2006/docPropsVTypes"/>
</file>