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1F5C99"/>
          <w:sz w:val="44"/>
          <w:szCs w:val="44"/>
        </w:rPr>
        <w:t xml:space="preserve">SOC 2 Type I Audit — Phase 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Control Mapping Matrix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SOC Automation Lab  |  Ronan Kongala  |  April 7,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maps the SOC Automation Lab's existing controls to the applicable SOC 2 Trust Service Criteria (Security — CC series; Availability — A series). For each criterion, it documents the control activity in place, the evidence supporting it, the implementation status, and any identified gaps or findings that would require remediation before a Type II audit.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Control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40"/>
                <w:szCs w:val="4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40"/>
                <w:szCs w:val="4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40"/>
                <w:szCs w:val="40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Control Matrix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Legend:  Implemented = control is fully in place  |  Partially implemented = control exists but has gaps  |  Not implemented = control is absent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1100"/>
        <w:gridCol w:w="1400"/>
        <w:gridCol w:w="1300"/>
        <w:gridCol w:w="2060"/>
      </w:tblGrid>
      <w:tr>
        <w:trPr>
          <w:tblHeader/>
        </w:trPr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TSC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activity</w:t>
            </w:r>
          </w:p>
        </w:tc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Finding</w:t>
            </w:r>
          </w:p>
        </w:tc>
      </w:tr>
      <w:tr>
        <w:tc>
          <w:tcPr>
            <w:tcW w:type="dxa" w:w="10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CC6 — Logical and Physical Access Controls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Logical access security measures restrict access to information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admin credentials protect SIEM access; only Administrator account 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Splunk SIEM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Exhibit C — Splunk alert config showing soc_splunk 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Splunk runs on HTTP (port 8000), not HTTPS. No MFA. Account lockout not configured. R-01.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Logical access security measures restrict access to information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instance accessible only from internal network (192.168.116.x/24)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Architecture diagram — internal IP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None — n8n not exposed to internet in lab environment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to data and systems is restricted to authorized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VMs communicate over isolated VMware host-only network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README architecture — 192.168.116.0/24 subnet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No host-based firewall rules between VMs. No VLAN segmentation. R-04.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CC6.6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Logical access security measures are implemented to protect against threats from outside system boundaries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webhook receives alerts from Splunk only; no public internet exposure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workflow — webhook node configured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Webhook endpoint unauthenticated — no HMAC or bearer token validation. R-02.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CC6.7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 and API keys are protected during transmission and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and Slack API keys stored as n8n workflow credentials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n8n / OpenAI / Slack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n8n credential store (internal)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Keys stored in n8n credential store, not a dedicated secrets vault. No rotation policy documented. R-03, R-07.</w:t>
            </w:r>
          </w:p>
        </w:tc>
      </w:tr>
      <w:tr>
        <w:tc>
          <w:tcPr>
            <w:tcW w:type="dxa" w:w="10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CC7 — System Operations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Vulnerabilities in system components are identified and addressed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components (Splunk, Docker, n8n) installed from official sources with current versions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README setup requirements; Docker / Splunk version documentation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No formal vulnerability scanning or patch management process documented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events are monitored and evaluated to identify security 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monitors Windows Security log for Event ID 4625 (failed logon) via SPL query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Splunk SIEM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Exhibit B — Splunk search returning 5 EventCode=4625 events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None — core detection control is operational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events are monitored and evaluated to identify security 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alert 'test-brute-force' triggers on detection of failed logon events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Splunk SIEM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Exhibit C — test-brute-force alert, status Enabled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Alert fires on single event. No threshold (e.g. 5 failures in 60s). Risk of alert noise. R-08.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events are monitored and evaluated to identify security 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GPT-4 enriches alerts with severity, MITRE ATT&amp;CK mapping, and response actions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OpenAI GPT-4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Exhibit F — Slack alert with MITRE T1110 mapping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Raw event data passed to GPT-4 without sanitization. Prompt injection risk. R-10.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CC7.3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incidents are identified, responded to, contained, and recovered 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Enriched security alerts delivered to Slack #alerts channel with response recommendations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Exhibit E — Slack alert delivery; Exhibit F — response actions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Response actions are recommendations only — no automated containment implemented</w:t>
            </w:r>
          </w:p>
        </w:tc>
      </w:tr>
      <w:tr>
        <w:tc>
          <w:tcPr>
            <w:tcW w:type="dxa" w:w="10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 — Availability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A1.1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processing capacity and usage are maintained to meet availability commitments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IP addresses assigned to all VMs to ensure pipeline connectivity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README — IP documentation; Challenges section noting IP change resolution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IPs documented but assigned manually. No DHCP reservation or DNS. One past outage due to IP change. R-09.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A1.2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protections, software, data backup processes are in place to support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volumes implemented for n8n data persistence across container restarts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README — Docker volumes for data retention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No Docker restart policy (--restart=always). Single container failure would halt pipeline. R-06.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A1.2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protections, software, data backup processes are in place to support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disk space threshold reduced to 2GB minimum to prevent ingestion stoppage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Splunk SIEM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README — minFreeSpace = 2000 config 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2GB threshold is low for production. No automated monitoring or alerting for disk usage. R-05.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A1.3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procedures are in place to restore system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Challenges and solutions documented in README for known failure scenarios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README — Challenges &amp; Solutions 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Partially implemented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No formal incident response runbook or recovery time objective (RTO) defined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Key Findings Summary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findings require remediation before a SOC 2 Type II audit period can begin: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F-01 (CC6.1) — Splunk web interface operates over HTTP. HTTPS must be enabled to protect credentials in transit.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F-02 (CC6.6) — n8n webhook accepts unauthenticated requests. HMAC or token-based authentication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F-03 (CC6.7) — API keys (OpenAI, Slack) stored in n8n credential store without rotation policy. Secrets vault and rotation schedule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F-04 (CC7.2) — Splunk alert triggers on single failed logon event. Threshold-based logic needed to reduce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F-05 (A1.2) — Docker container for n8n has no restart policy. Container failure would halt detection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F-06 (A1.2) — Splunk disk space threshold set to 2GB minimum. Automated monitoring alert needed.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Next Phase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4 — Audit Findings Report: consolidate Phases 1–3 into a formal SOC 2 Type I audit report with an auditor opinion, findings narrative, and remediation roadmap.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7,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Ronan Kongala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control matrix — Phase 3</w:t>
            </w:r>
          </w:p>
        </w:tc>
      </w:tr>
    </w:tbl>
    <w:sectPr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2026-04-07T18:45:12.911Z</dcterms:created>
  <dcterms:modified xsi:type="dcterms:W3CDTF">2026-04-07T18:45:12.912Z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