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40"/>
        <w:jc w:val="center"/>
      </w:pPr>
      <w:r>
        <w:rPr>
          <w:rFonts w:ascii="Arial" w:cs="Arial" w:eastAsia="Arial" w:hAnsi="Arial"/>
          <w:b/>
          <w:bCs/>
          <w:color w:val="1F5C99"/>
          <w:sz w:val="44"/>
          <w:szCs w:val="44"/>
        </w:rPr>
        <w:t xml:space="preserve">SOC 2 Type I Audit — Phase 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Risk Register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SOC Automation Lab  |  Ronan Kongala  |  April 7, 2026</w:t>
      </w:r>
    </w:p>
    <w:p>
      <w:pPr>
        <w:spacing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Methodology: NIST SP 800-30 Rev. 1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Methodology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risk register was developed using NIST SP 800-30 Rev. 1 (Guide for Conducting Risk Assessments). Threats and vulnerabilities were identified through review of the system architecture, component configuration, and operational documentation.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Risk scoring uses a 5x5 likelihood-impact matrix: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Likelihood (L): 1 = Very Low, 2 = Low, 3 = Moderate, 4 = High, 5 = Very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Impact (I): 1 = Very Low, 2 = Low, 3 = Moderate, 4 = High, 5 = Very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Risk Score = L x I  |  Low: 1–6  |  Medium: 7–14  |  High: 15–25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 risks (score 15–25)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risks (score 7–14)</w:t>
            </w:r>
          </w:p>
        </w:tc>
        <w:tc>
          <w:tcPr>
            <w:tcW w:type="dxa" w:w="312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risks (score 1–6)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R-01 — Brute force attack on Splunk admin accou...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R-02 — Unauthorized access to n8n webhook endpo...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R-03 — API key exposure via environment variabl...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R-04 — Lateral movement from Windows VM to othe...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R-05 — Disk space exhaustion causing Splunk out...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R-06 — Workflow failure due to Docker container...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R-08 — Alert flooding / log noise obscuring rea...</w:t>
            </w:r>
          </w:p>
          <w:p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R-09 — VM IP address change breaks automation p...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R-07 — Slack bot token compromise...</w:t>
            </w:r>
          </w:p>
          <w:p>
            <w:r>
              <w:rPr>
                <w:rFonts w:ascii="Arial" w:cs="Arial" w:eastAsia="Arial" w:hAnsi="Arial"/>
                <w:color w:val="27500A"/>
                <w:sz w:val="18"/>
                <w:szCs w:val="18"/>
              </w:rPr>
              <w:t xml:space="preserve">R-10 — AI prompt injection via malicious log da...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Risk Register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 = Likelihood (1–5)  |  I = Impact (1–5)  |  Score = L × I  |  TSC = Trust Service Criteria reference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00"/>
        <w:gridCol w:w="1400"/>
        <w:gridCol w:w="1500"/>
        <w:gridCol w:w="380"/>
        <w:gridCol w:w="380"/>
        <w:gridCol w:w="480"/>
        <w:gridCol w:w="560"/>
        <w:gridCol w:w="480"/>
        <w:gridCol w:w="1800"/>
        <w:gridCol w:w="1000"/>
      </w:tblGrid>
      <w:tr>
        <w:trPr>
          <w:tblHeader/>
        </w:trPr>
        <w:tc>
          <w:tcPr>
            <w:tcW w:type="dxa" w:w="4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1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Vulnerability</w:t>
            </w:r>
          </w:p>
        </w:tc>
        <w:tc>
          <w:tcPr>
            <w:tcW w:type="dxa" w:w="3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3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4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8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TSC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control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 force attack on Splunk admin 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running on HTTP (not HTTPS); default admin credentials risk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15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High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 HTTPS, enforce strong password policy, enable account lockout after 5 failed attempts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Gap identified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Orchestration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Unauthorized access to n8n webhook 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URL is unauthenticated; any host with URL can trigger workflow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CC6.6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webhook authentication (HMAC signature or bearer token); restrict webhook access by 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Gap identified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 exposure via environment variable or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keys stored in n8n workflow config; potential for key leakage in logs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10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CC6.7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API keys in secrets manager or encrypted vault; audit n8n logs for key exposure; rotate keys regularly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Partially mitigated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Lateral movement from Windows VM to other lab VMs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VMs on same /24 subnet with no network segmentation or host-based firewall rules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8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host-based firewall rules; restrict inter-VM traffic to required ports only; consider VLAN segmentation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Gap identified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SIEM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Disk space exhaustion causing Splunk outage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Splunk requires minimum free disk space; lab config reduced threshold to 2GB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disk space monitoring alert at 20% free; configure log retention policy; automate index cleanup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Partially mitigated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n8n Orchestration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Workflow failure due to Docker container crash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container restart policy configured; single point of failure for automation pipeline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Docker restart policy (--restart=always); implement health check monitoring; document recovery procedure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Gap identified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Slack bot token compromise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 token stored in n8n; compromised token allows posting to any channel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Low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CC6.7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Restrict bot token scope to #alerts channel only; rotate token quarterly; monitor for anomalous Slack API usage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Partially mitigated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VM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 flooding / log noise obscuring real threats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alert threshold (any Event ID 4625); no rate limiting or deduplication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 threshold-based alerting (e.g. 5+ failures in 60s); add deduplication logic in n8n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Gap identified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VM IP address change breaks automation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DHCP-assigned IPs; webhook URLs hardcoded to specific IPs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Medium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static IPs via DHCP reservation or manual configuration; document IP assignments; use DNS names instead of IPs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Partially mitigated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R-10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OpenAI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prompt injection via malicious log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Raw Windows event data passed directly to GPT-4 without sanitization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Low</w:t>
            </w:r>
          </w:p>
        </w:tc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CC7.2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Sanitize and structure log fields before passing to GPT-4; use system prompt constraints; validate AI output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Gap identified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Priority Remediation Actions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items should be addressed before a production SOC 2 Type II audit period begins: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R-01 — Enable HTTPS on Splunk and enforce strong authentication (High risk, CC6.1)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R-02 — Add webhook authentication to n8n to prevent unauthorized pipeline triggering (Medium risk, CC6.6)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R-05 — Automate disk space monitoring to prevent Splunk availability failures (Medium risk, A1.2)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R-06 — Configure Docker restart policies for n8n container resilience (Medium risk, A1.2)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R-08 — Implement threshold-based alerting to reduce noise and improve signal quality (Medium risk, CC7.2)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April 7,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Ronan Kongala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risk register — Phase 2</w:t>
            </w:r>
          </w:p>
        </w:tc>
      </w:tr>
    </w:tbl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2026-04-07T18:43:04.930Z</dcterms:created>
  <dcterms:modified xsi:type="dcterms:W3CDTF">2026-04-07T18:43:04.931Z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