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pPr>
      <w:r>
        <w:rPr>
          <w:rFonts w:ascii="Calibri" w:hAnsi="Calibri"/>
          <w:b/>
          <w:color w:val="C69214"/>
          <w:sz w:val="22"/>
        </w:rPr>
        <w:t>SOC INVESTIGATION CASE STUDY</w:t>
      </w:r>
    </w:p>
    <w:p>
      <w:pPr>
        <w:pStyle w:val="Title"/>
      </w:pPr>
      <w:r>
        <w:t>Multiple Failed Logins</w:t>
        <w:br/>
        <w:t>Followed by a Successful Login</w:t>
      </w:r>
    </w:p>
    <w:p>
      <w:pPr>
        <w:pStyle w:val="Subtitle"/>
      </w:pPr>
      <w:r>
        <w:t>Microsoft Sentinel / Defender XDR identity investigation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1F8"/>
          </w:tcPr>
          <w:p>
            <w:pPr>
              <w:spacing w:after="40"/>
            </w:pPr>
            <w:r>
              <w:rPr>
                <w:rFonts w:ascii="Calibri" w:hAnsi="Calibri"/>
                <w:b/>
                <w:color w:val="1F6D4A"/>
                <w:sz w:val="20"/>
              </w:rPr>
              <w:t xml:space="preserve">Outcome  </w:t>
            </w:r>
            <w:r>
              <w:rPr>
                <w:rFonts w:ascii="Calibri" w:hAnsi="Calibri"/>
                <w:color w:val="1F2937"/>
                <w:sz w:val="20"/>
              </w:rPr>
              <w:t>Benign authentication activity. The alert logic grouped MFA prompts, an invalid session, and incomplete strong-authentication attempts under a broad “failed login” condition.</w:t>
            </w:r>
          </w:p>
        </w:tc>
      </w:tr>
    </w:tbl>
    <w:p>
      <w:pPr>
        <w:spacing w:after="0"/>
      </w:pPr>
    </w:p>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AF1F8"/>
            <w:vAlign w:val="center"/>
            <w:tcMar>
              <w:top w:w="80" w:type="dxa"/>
              <w:bottom w:w="80" w:type="dxa"/>
              <w:start w:w="120" w:type="dxa"/>
              <w:end w:w="120" w:type="dxa"/>
            </w:tcMar>
          </w:tcPr>
          <w:p>
            <w:pPr>
              <w:spacing w:after="0"/>
            </w:pPr>
            <w:r>
              <w:rPr>
                <w:rFonts w:ascii="Calibri" w:hAnsi="Calibri"/>
                <w:b/>
                <w:color w:val="17365D"/>
                <w:sz w:val="19"/>
              </w:rPr>
              <w:t>Portfolio field</w:t>
            </w:r>
          </w:p>
        </w:tc>
        <w:tc>
          <w:tcPr>
            <w:tcW w:type="dxa" w:w="6660"/>
            <w:shd w:fill="EAF1F8"/>
            <w:vAlign w:val="center"/>
            <w:tcMar>
              <w:top w:w="80" w:type="dxa"/>
              <w:bottom w:w="80" w:type="dxa"/>
              <w:start w:w="120" w:type="dxa"/>
              <w:end w:w="120" w:type="dxa"/>
            </w:tcMar>
          </w:tcPr>
          <w:p>
            <w:pPr>
              <w:spacing w:after="0"/>
            </w:pPr>
            <w:r>
              <w:rPr>
                <w:rFonts w:ascii="Calibri" w:hAnsi="Calibri"/>
                <w:b/>
                <w:color w:val="17365D"/>
                <w:sz w:val="19"/>
              </w:rPr>
              <w:t>Value</w:t>
            </w:r>
          </w:p>
        </w:tc>
      </w:tr>
      <w:tr>
        <w:tc>
          <w:tcPr>
            <w:tcW w:type="dxa" w:w="2700"/>
            <w:vAlign w:val="center"/>
            <w:tcMar>
              <w:top w:w="80" w:type="dxa"/>
              <w:bottom w:w="80" w:type="dxa"/>
              <w:start w:w="120" w:type="dxa"/>
              <w:end w:w="120" w:type="dxa"/>
            </w:tcMar>
          </w:tcPr>
          <w:p>
            <w:pPr>
              <w:spacing w:after="0"/>
            </w:pPr>
            <w:r>
              <w:rPr>
                <w:rFonts w:ascii="Calibri" w:hAnsi="Calibri"/>
                <w:color w:val="1F2937"/>
                <w:sz w:val="18"/>
              </w:rPr>
              <w:t>Analyst</w:t>
            </w:r>
          </w:p>
        </w:tc>
        <w:tc>
          <w:tcPr>
            <w:tcW w:type="dxa" w:w="6660"/>
            <w:vAlign w:val="center"/>
            <w:tcMar>
              <w:top w:w="80" w:type="dxa"/>
              <w:bottom w:w="80" w:type="dxa"/>
              <w:start w:w="120" w:type="dxa"/>
              <w:end w:w="120" w:type="dxa"/>
            </w:tcMar>
          </w:tcPr>
          <w:p>
            <w:pPr>
              <w:spacing w:after="0"/>
            </w:pPr>
            <w:r>
              <w:rPr>
                <w:rFonts w:ascii="Calibri" w:hAnsi="Calibri"/>
                <w:color w:val="1F2937"/>
                <w:sz w:val="18"/>
              </w:rPr>
              <w:t>Rona Playda</w:t>
            </w:r>
          </w:p>
        </w:tc>
      </w:tr>
      <w:tr>
        <w:tc>
          <w:tcPr>
            <w:tcW w:type="dxa" w:w="2700"/>
            <w:vAlign w:val="center"/>
            <w:tcMar>
              <w:top w:w="80" w:type="dxa"/>
              <w:bottom w:w="80" w:type="dxa"/>
              <w:start w:w="120" w:type="dxa"/>
              <w:end w:w="120" w:type="dxa"/>
            </w:tcMar>
          </w:tcPr>
          <w:p>
            <w:pPr>
              <w:spacing w:after="0"/>
            </w:pPr>
            <w:r>
              <w:rPr>
                <w:rFonts w:ascii="Calibri" w:hAnsi="Calibri"/>
                <w:color w:val="1F2937"/>
                <w:sz w:val="18"/>
              </w:rPr>
              <w:t>Role</w:t>
            </w:r>
          </w:p>
        </w:tc>
        <w:tc>
          <w:tcPr>
            <w:tcW w:type="dxa" w:w="6660"/>
            <w:vAlign w:val="center"/>
            <w:tcMar>
              <w:top w:w="80" w:type="dxa"/>
              <w:bottom w:w="80" w:type="dxa"/>
              <w:start w:w="120" w:type="dxa"/>
              <w:end w:w="120" w:type="dxa"/>
            </w:tcMar>
          </w:tcPr>
          <w:p>
            <w:pPr>
              <w:spacing w:after="0"/>
            </w:pPr>
            <w:r>
              <w:rPr>
                <w:rFonts w:ascii="Calibri" w:hAnsi="Calibri"/>
                <w:color w:val="1F2937"/>
                <w:sz w:val="18"/>
              </w:rPr>
              <w:t>SOC Analyst — training investigation</w:t>
            </w:r>
          </w:p>
        </w:tc>
      </w:tr>
      <w:tr>
        <w:tc>
          <w:tcPr>
            <w:tcW w:type="dxa" w:w="2700"/>
            <w:vAlign w:val="center"/>
            <w:tcMar>
              <w:top w:w="80" w:type="dxa"/>
              <w:bottom w:w="80" w:type="dxa"/>
              <w:start w:w="120" w:type="dxa"/>
              <w:end w:w="120" w:type="dxa"/>
            </w:tcMar>
          </w:tcPr>
          <w:p>
            <w:pPr>
              <w:spacing w:after="0"/>
            </w:pPr>
            <w:r>
              <w:rPr>
                <w:rFonts w:ascii="Calibri" w:hAnsi="Calibri"/>
                <w:color w:val="1F2937"/>
                <w:sz w:val="18"/>
              </w:rPr>
              <w:t>Alert severity</w:t>
            </w:r>
          </w:p>
        </w:tc>
        <w:tc>
          <w:tcPr>
            <w:tcW w:type="dxa" w:w="6660"/>
            <w:vAlign w:val="center"/>
            <w:tcMar>
              <w:top w:w="80" w:type="dxa"/>
              <w:bottom w:w="80" w:type="dxa"/>
              <w:start w:w="120" w:type="dxa"/>
              <w:end w:w="120" w:type="dxa"/>
            </w:tcMar>
          </w:tcPr>
          <w:p>
            <w:pPr>
              <w:spacing w:after="0"/>
            </w:pPr>
            <w:r>
              <w:rPr>
                <w:rFonts w:ascii="Calibri" w:hAnsi="Calibri"/>
                <w:color w:val="1F2937"/>
                <w:sz w:val="18"/>
              </w:rPr>
              <w:t>Medium</w:t>
            </w:r>
          </w:p>
        </w:tc>
      </w:tr>
      <w:tr>
        <w:tc>
          <w:tcPr>
            <w:tcW w:type="dxa" w:w="2700"/>
            <w:vAlign w:val="center"/>
            <w:tcMar>
              <w:top w:w="80" w:type="dxa"/>
              <w:bottom w:w="80" w:type="dxa"/>
              <w:start w:w="120" w:type="dxa"/>
              <w:end w:w="120" w:type="dxa"/>
            </w:tcMar>
          </w:tcPr>
          <w:p>
            <w:pPr>
              <w:spacing w:after="0"/>
            </w:pPr>
            <w:r>
              <w:rPr>
                <w:rFonts w:ascii="Calibri" w:hAnsi="Calibri"/>
                <w:color w:val="1F2937"/>
                <w:sz w:val="18"/>
              </w:rPr>
              <w:t>MITRE ATT&amp;CK</w:t>
            </w:r>
          </w:p>
        </w:tc>
        <w:tc>
          <w:tcPr>
            <w:tcW w:type="dxa" w:w="6660"/>
            <w:vAlign w:val="center"/>
            <w:tcMar>
              <w:top w:w="80" w:type="dxa"/>
              <w:bottom w:w="80" w:type="dxa"/>
              <w:start w:w="120" w:type="dxa"/>
              <w:end w:w="120" w:type="dxa"/>
            </w:tcMar>
          </w:tcPr>
          <w:p>
            <w:pPr>
              <w:spacing w:after="0"/>
            </w:pPr>
            <w:r>
              <w:rPr>
                <w:rFonts w:ascii="Calibri" w:hAnsi="Calibri"/>
                <w:color w:val="1F2937"/>
                <w:sz w:val="18"/>
              </w:rPr>
              <w:t>T1110 — Brute Force (detection mapping reviewed)</w:t>
            </w:r>
          </w:p>
        </w:tc>
      </w:tr>
      <w:tr>
        <w:tc>
          <w:tcPr>
            <w:tcW w:type="dxa" w:w="2700"/>
            <w:vAlign w:val="center"/>
            <w:tcMar>
              <w:top w:w="80" w:type="dxa"/>
              <w:bottom w:w="80" w:type="dxa"/>
              <w:start w:w="120" w:type="dxa"/>
              <w:end w:w="120" w:type="dxa"/>
            </w:tcMar>
          </w:tcPr>
          <w:p>
            <w:pPr>
              <w:spacing w:after="0"/>
            </w:pPr>
            <w:r>
              <w:rPr>
                <w:rFonts w:ascii="Calibri" w:hAnsi="Calibri"/>
                <w:color w:val="1F2937"/>
                <w:sz w:val="18"/>
              </w:rPr>
              <w:t>Disposition</w:t>
            </w:r>
          </w:p>
        </w:tc>
        <w:tc>
          <w:tcPr>
            <w:tcW w:type="dxa" w:w="6660"/>
            <w:vAlign w:val="center"/>
            <w:tcMar>
              <w:top w:w="80" w:type="dxa"/>
              <w:bottom w:w="80" w:type="dxa"/>
              <w:start w:w="120" w:type="dxa"/>
              <w:end w:w="120" w:type="dxa"/>
            </w:tcMar>
          </w:tcPr>
          <w:p>
            <w:pPr>
              <w:spacing w:after="0"/>
            </w:pPr>
            <w:r>
              <w:rPr>
                <w:rFonts w:ascii="Calibri" w:hAnsi="Calibri"/>
                <w:color w:val="1F2937"/>
                <w:sz w:val="18"/>
              </w:rPr>
              <w:t>Benign</w:t>
            </w:r>
          </w:p>
        </w:tc>
      </w:tr>
      <w:tr>
        <w:tc>
          <w:tcPr>
            <w:tcW w:type="dxa" w:w="2700"/>
            <w:vAlign w:val="center"/>
            <w:tcMar>
              <w:top w:w="80" w:type="dxa"/>
              <w:bottom w:w="80" w:type="dxa"/>
              <w:start w:w="120" w:type="dxa"/>
              <w:end w:w="120" w:type="dxa"/>
            </w:tcMar>
          </w:tcPr>
          <w:p>
            <w:pPr>
              <w:spacing w:after="0"/>
            </w:pPr>
            <w:r>
              <w:rPr>
                <w:rFonts w:ascii="Calibri" w:hAnsi="Calibri"/>
                <w:color w:val="1F2937"/>
                <w:sz w:val="18"/>
              </w:rPr>
              <w:t>Report date</w:t>
            </w:r>
          </w:p>
        </w:tc>
        <w:tc>
          <w:tcPr>
            <w:tcW w:type="dxa" w:w="6660"/>
            <w:vAlign w:val="center"/>
            <w:tcMar>
              <w:top w:w="80" w:type="dxa"/>
              <w:bottom w:w="80" w:type="dxa"/>
              <w:start w:w="120" w:type="dxa"/>
              <w:end w:w="120" w:type="dxa"/>
            </w:tcMar>
          </w:tcPr>
          <w:p>
            <w:pPr>
              <w:spacing w:after="0"/>
            </w:pPr>
            <w:r>
              <w:rPr>
                <w:rFonts w:ascii="Calibri" w:hAnsi="Calibri"/>
                <w:color w:val="1F2937"/>
                <w:sz w:val="18"/>
              </w:rPr>
              <w:t>September 2, 2026</w:t>
            </w:r>
          </w:p>
        </w:tc>
      </w:tr>
    </w:tbl>
    <w:p>
      <w:pPr>
        <w:spacing w:after="0"/>
      </w:pPr>
    </w:p>
    <w:p>
      <w:pPr>
        <w:spacing w:before="480"/>
      </w:pPr>
      <w:r>
        <w:rPr>
          <w:rFonts w:ascii="Calibri" w:hAnsi="Calibri"/>
          <w:b/>
          <w:color w:val="17365D"/>
        </w:rPr>
        <w:t>Portfolio notice</w:t>
      </w:r>
      <w:r>
        <w:t xml:space="preserve">  Account names, tenant identifiers, public IP addresses, correlation IDs, and subscription details are masked. All activity occurred in an authorized training environment.</w:t>
      </w:r>
    </w:p>
    <w:p>
      <w:r>
        <w:br w:type="page"/>
      </w:r>
    </w:p>
    <w:p>
      <w:pPr>
        <w:pStyle w:val="Heading1"/>
      </w:pPr>
      <w:r>
        <w:t>1. Executive Summary</w:t>
      </w:r>
    </w:p>
    <w:p>
      <w:r>
        <w:t>A Microsoft Sentinel scheduled analytics rule generated a Medium-severity identity alert after it observed several non-success sign-in results associated with an account, followed by successful authentication. The alert’s wording suggested brute force or credential stuffing, but the investigation showed a more ordinary authentication sequence involving MFA prompts, an invalid session after a password change or expiration, and incomplete strong-authentication attempts.</w:t>
      </w:r>
    </w:p>
    <w:p>
      <w:r>
        <w:t>The investigation used the raw alert, the original KQL logic, focused SigninLogs queries, device details, application context, and a seven-day account baseline. All relevant activity originated from one US public IP and consistent browser/device characteristics. Expected Microsoft and SOC training applications were accessed, and no competing IP, unfamiliar geography, suspicious application, lateral movement, or post-authentication malicious activity was identified.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F3ED"/>
          </w:tcPr>
          <w:p>
            <w:pPr>
              <w:spacing w:after="40"/>
            </w:pPr>
            <w:r>
              <w:rPr>
                <w:rFonts w:ascii="Calibri" w:hAnsi="Calibri"/>
                <w:b/>
                <w:color w:val="1F6D4A"/>
                <w:sz w:val="20"/>
              </w:rPr>
              <w:t xml:space="preserve">Analyst decision  </w:t>
            </w:r>
            <w:r>
              <w:rPr>
                <w:rFonts w:ascii="Calibri" w:hAnsi="Calibri"/>
                <w:color w:val="1F2937"/>
                <w:sz w:val="20"/>
              </w:rPr>
              <w:t>Resolve as Benign. No containment is required. Improve the analytic so normal authentication interruptions do not inflate the brute-force threshold.</w:t>
            </w:r>
          </w:p>
        </w:tc>
      </w:tr>
    </w:tbl>
    <w:p>
      <w:pPr>
        <w:spacing w:after="0"/>
      </w:pPr>
    </w:p>
    <w:p>
      <w:pPr>
        <w:pStyle w:val="Heading1"/>
      </w:pPr>
      <w:r>
        <w:t>2. Investigation Objectives</w:t>
      </w:r>
    </w:p>
    <w:p>
      <w:pPr>
        <w:pStyle w:val="ListBullet"/>
        <w:spacing w:after="80"/>
        <w:ind w:left="360" w:hanging="259"/>
      </w:pPr>
      <w:r>
        <w:t>Identify the affected account, source IP, location, application, and device context.</w:t>
      </w:r>
    </w:p>
    <w:p>
      <w:pPr>
        <w:pStyle w:val="ListBullet"/>
        <w:spacing w:after="80"/>
        <w:ind w:left="360" w:hanging="259"/>
      </w:pPr>
      <w:r>
        <w:t>Determine whether the “failed” records were password failures, MFA events, session errors, or another authentication condition.</w:t>
      </w:r>
    </w:p>
    <w:p>
      <w:pPr>
        <w:pStyle w:val="ListBullet"/>
        <w:spacing w:after="80"/>
        <w:ind w:left="360" w:hanging="259"/>
      </w:pPr>
      <w:r>
        <w:t>Correlate the non-success events with subsequent successful sign-ins.</w:t>
      </w:r>
    </w:p>
    <w:p>
      <w:pPr>
        <w:pStyle w:val="ListBullet"/>
        <w:spacing w:after="80"/>
        <w:ind w:left="360" w:hanging="259"/>
      </w:pPr>
      <w:r>
        <w:t>Establish whether the source was consistent with the account’s available baseline.</w:t>
      </w:r>
    </w:p>
    <w:p>
      <w:pPr>
        <w:pStyle w:val="ListBullet"/>
        <w:spacing w:after="80"/>
        <w:ind w:left="360" w:hanging="259"/>
      </w:pPr>
      <w:r>
        <w:t>Validate the AI triage draft against primary evidence and document every unsupported claim.</w:t>
      </w:r>
    </w:p>
    <w:p>
      <w:pPr>
        <w:pStyle w:val="ListBullet"/>
        <w:spacing w:after="80"/>
        <w:ind w:left="360" w:hanging="259"/>
      </w:pPr>
      <w:r>
        <w:t>Choose a defensible resolution code and recommend an appropriate detection improvement.</w:t>
      </w:r>
    </w:p>
    <w:p>
      <w:r>
        <w:br w:type="page"/>
      </w:r>
    </w:p>
    <w:p>
      <w:pPr>
        <w:pStyle w:val="Heading1"/>
      </w:pPr>
      <w:r>
        <w:t>3. Alert and Detection Context</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Mar>
              <w:top w:w="80" w:type="dxa"/>
              <w:bottom w:w="80" w:type="dxa"/>
              <w:start w:w="120" w:type="dxa"/>
              <w:end w:w="120" w:type="dxa"/>
            </w:tcMar>
          </w:tcPr>
          <w:p>
            <w:pPr>
              <w:spacing w:after="0"/>
            </w:pPr>
            <w:r>
              <w:rPr>
                <w:rFonts w:ascii="Calibri" w:hAnsi="Calibri"/>
                <w:b/>
                <w:color w:val="17365D"/>
                <w:sz w:val="19"/>
              </w:rPr>
              <w:t>Field</w:t>
            </w:r>
          </w:p>
        </w:tc>
        <w:tc>
          <w:tcPr>
            <w:tcW w:type="dxa" w:w="6860"/>
            <w:shd w:fill="EAF1F8"/>
            <w:vAlign w:val="center"/>
            <w:tcMar>
              <w:top w:w="80" w:type="dxa"/>
              <w:bottom w:w="80" w:type="dxa"/>
              <w:start w:w="120" w:type="dxa"/>
              <w:end w:w="120" w:type="dxa"/>
            </w:tcMar>
          </w:tcPr>
          <w:p>
            <w:pPr>
              <w:spacing w:after="0"/>
            </w:pPr>
            <w:r>
              <w:rPr>
                <w:rFonts w:ascii="Calibri" w:hAnsi="Calibri"/>
                <w:b/>
                <w:color w:val="17365D"/>
                <w:sz w:val="19"/>
              </w:rPr>
              <w:t>Sanitized finding</w:t>
            </w:r>
          </w:p>
        </w:tc>
      </w:tr>
      <w:tr>
        <w:tc>
          <w:tcPr>
            <w:tcW w:type="dxa" w:w="2500"/>
            <w:vAlign w:val="center"/>
            <w:tcMar>
              <w:top w:w="80" w:type="dxa"/>
              <w:bottom w:w="80" w:type="dxa"/>
              <w:start w:w="120" w:type="dxa"/>
              <w:end w:w="120" w:type="dxa"/>
            </w:tcMar>
          </w:tcPr>
          <w:p>
            <w:pPr>
              <w:spacing w:after="0"/>
            </w:pPr>
            <w:r>
              <w:rPr>
                <w:rFonts w:ascii="Calibri" w:hAnsi="Calibri"/>
                <w:color w:val="1F2937"/>
                <w:sz w:val="18"/>
              </w:rPr>
              <w:t>Alert</w:t>
            </w:r>
          </w:p>
        </w:tc>
        <w:tc>
          <w:tcPr>
            <w:tcW w:type="dxa" w:w="6860"/>
            <w:vAlign w:val="center"/>
            <w:tcMar>
              <w:top w:w="80" w:type="dxa"/>
              <w:bottom w:w="80" w:type="dxa"/>
              <w:start w:w="120" w:type="dxa"/>
              <w:end w:w="120" w:type="dxa"/>
            </w:tcMar>
          </w:tcPr>
          <w:p>
            <w:pPr>
              <w:spacing w:after="0"/>
            </w:pPr>
            <w:r>
              <w:rPr>
                <w:rFonts w:ascii="Calibri" w:hAnsi="Calibri"/>
                <w:color w:val="1F2937"/>
                <w:sz w:val="18"/>
              </w:rPr>
              <w:t>Identity — Multiple Failed Logins Followed by a Successful Login</w:t>
            </w:r>
          </w:p>
        </w:tc>
      </w:tr>
      <w:tr>
        <w:tc>
          <w:tcPr>
            <w:tcW w:type="dxa" w:w="2500"/>
            <w:vAlign w:val="center"/>
            <w:tcMar>
              <w:top w:w="80" w:type="dxa"/>
              <w:bottom w:w="80" w:type="dxa"/>
              <w:start w:w="120" w:type="dxa"/>
              <w:end w:w="120" w:type="dxa"/>
            </w:tcMar>
          </w:tcPr>
          <w:p>
            <w:pPr>
              <w:spacing w:after="0"/>
            </w:pPr>
            <w:r>
              <w:rPr>
                <w:rFonts w:ascii="Calibri" w:hAnsi="Calibri"/>
                <w:color w:val="1F2937"/>
                <w:sz w:val="18"/>
              </w:rPr>
              <w:t>Source</w:t>
            </w:r>
          </w:p>
        </w:tc>
        <w:tc>
          <w:tcPr>
            <w:tcW w:type="dxa" w:w="6860"/>
            <w:vAlign w:val="center"/>
            <w:tcMar>
              <w:top w:w="80" w:type="dxa"/>
              <w:bottom w:w="80" w:type="dxa"/>
              <w:start w:w="120" w:type="dxa"/>
              <w:end w:w="120" w:type="dxa"/>
            </w:tcMar>
          </w:tcPr>
          <w:p>
            <w:pPr>
              <w:spacing w:after="0"/>
            </w:pPr>
            <w:r>
              <w:rPr>
                <w:rFonts w:ascii="Calibri" w:hAnsi="Calibri"/>
                <w:color w:val="1F2937"/>
                <w:sz w:val="18"/>
              </w:rPr>
              <w:t>Microsoft XDR / Microsoft Sentinel scheduled analytic</w:t>
            </w:r>
          </w:p>
        </w:tc>
      </w:tr>
      <w:tr>
        <w:tc>
          <w:tcPr>
            <w:tcW w:type="dxa" w:w="2500"/>
            <w:vAlign w:val="center"/>
            <w:tcMar>
              <w:top w:w="80" w:type="dxa"/>
              <w:bottom w:w="80" w:type="dxa"/>
              <w:start w:w="120" w:type="dxa"/>
              <w:end w:w="120" w:type="dxa"/>
            </w:tcMar>
          </w:tcPr>
          <w:p>
            <w:pPr>
              <w:spacing w:after="0"/>
            </w:pPr>
            <w:r>
              <w:rPr>
                <w:rFonts w:ascii="Calibri" w:hAnsi="Calibri"/>
                <w:color w:val="1F2937"/>
                <w:sz w:val="18"/>
              </w:rPr>
              <w:t>Severity</w:t>
            </w:r>
          </w:p>
        </w:tc>
        <w:tc>
          <w:tcPr>
            <w:tcW w:type="dxa" w:w="6860"/>
            <w:vAlign w:val="center"/>
            <w:tcMar>
              <w:top w:w="80" w:type="dxa"/>
              <w:bottom w:w="80" w:type="dxa"/>
              <w:start w:w="120" w:type="dxa"/>
              <w:end w:w="120" w:type="dxa"/>
            </w:tcMar>
          </w:tcPr>
          <w:p>
            <w:pPr>
              <w:spacing w:after="0"/>
            </w:pPr>
            <w:r>
              <w:rPr>
                <w:rFonts w:ascii="Calibri" w:hAnsi="Calibri"/>
                <w:color w:val="1F2937"/>
                <w:sz w:val="18"/>
              </w:rPr>
              <w:t>Medium</w:t>
            </w:r>
          </w:p>
        </w:tc>
      </w:tr>
      <w:tr>
        <w:tc>
          <w:tcPr>
            <w:tcW w:type="dxa" w:w="2500"/>
            <w:vAlign w:val="center"/>
            <w:tcMar>
              <w:top w:w="80" w:type="dxa"/>
              <w:bottom w:w="80" w:type="dxa"/>
              <w:start w:w="120" w:type="dxa"/>
              <w:end w:w="120" w:type="dxa"/>
            </w:tcMar>
          </w:tcPr>
          <w:p>
            <w:pPr>
              <w:spacing w:after="0"/>
            </w:pPr>
            <w:r>
              <w:rPr>
                <w:rFonts w:ascii="Calibri" w:hAnsi="Calibri"/>
                <w:color w:val="1F2937"/>
                <w:sz w:val="18"/>
              </w:rPr>
              <w:t>Category</w:t>
            </w:r>
          </w:p>
        </w:tc>
        <w:tc>
          <w:tcPr>
            <w:tcW w:type="dxa" w:w="6860"/>
            <w:vAlign w:val="center"/>
            <w:tcMar>
              <w:top w:w="80" w:type="dxa"/>
              <w:bottom w:w="80" w:type="dxa"/>
              <w:start w:w="120" w:type="dxa"/>
              <w:end w:w="120" w:type="dxa"/>
            </w:tcMar>
          </w:tcPr>
          <w:p>
            <w:pPr>
              <w:spacing w:after="0"/>
            </w:pPr>
            <w:r>
              <w:rPr>
                <w:rFonts w:ascii="Calibri" w:hAnsi="Calibri"/>
                <w:color w:val="1F2937"/>
                <w:sz w:val="18"/>
              </w:rPr>
              <w:t>Credential Access</w:t>
            </w:r>
          </w:p>
        </w:tc>
      </w:tr>
      <w:tr>
        <w:tc>
          <w:tcPr>
            <w:tcW w:type="dxa" w:w="2500"/>
            <w:vAlign w:val="center"/>
            <w:tcMar>
              <w:top w:w="80" w:type="dxa"/>
              <w:bottom w:w="80" w:type="dxa"/>
              <w:start w:w="120" w:type="dxa"/>
              <w:end w:w="120" w:type="dxa"/>
            </w:tcMar>
          </w:tcPr>
          <w:p>
            <w:pPr>
              <w:spacing w:after="0"/>
            </w:pPr>
            <w:r>
              <w:rPr>
                <w:rFonts w:ascii="Calibri" w:hAnsi="Calibri"/>
                <w:color w:val="1F2937"/>
                <w:sz w:val="18"/>
              </w:rPr>
              <w:t>Activity window</w:t>
            </w:r>
          </w:p>
        </w:tc>
        <w:tc>
          <w:tcPr>
            <w:tcW w:type="dxa" w:w="6860"/>
            <w:vAlign w:val="center"/>
            <w:tcMar>
              <w:top w:w="80" w:type="dxa"/>
              <w:bottom w:w="80" w:type="dxa"/>
              <w:start w:w="120" w:type="dxa"/>
              <w:end w:w="120" w:type="dxa"/>
            </w:tcMar>
          </w:tcPr>
          <w:p>
            <w:pPr>
              <w:spacing w:after="0"/>
            </w:pPr>
            <w:r>
              <w:rPr>
                <w:rFonts w:ascii="Calibri" w:hAnsi="Calibri"/>
                <w:color w:val="1F2937"/>
                <w:sz w:val="18"/>
              </w:rPr>
              <w:t>2026-08-11 01:24:45–01:43:06 UTC</w:t>
            </w:r>
          </w:p>
        </w:tc>
      </w:tr>
      <w:tr>
        <w:tc>
          <w:tcPr>
            <w:tcW w:type="dxa" w:w="2500"/>
            <w:vAlign w:val="center"/>
            <w:tcMar>
              <w:top w:w="80" w:type="dxa"/>
              <w:bottom w:w="80" w:type="dxa"/>
              <w:start w:w="120" w:type="dxa"/>
              <w:end w:w="120" w:type="dxa"/>
            </w:tcMar>
          </w:tcPr>
          <w:p>
            <w:pPr>
              <w:spacing w:after="0"/>
            </w:pPr>
            <w:r>
              <w:rPr>
                <w:rFonts w:ascii="Calibri" w:hAnsi="Calibri"/>
                <w:color w:val="1F2937"/>
                <w:sz w:val="18"/>
              </w:rPr>
              <w:t>Alert generated</w:t>
            </w:r>
          </w:p>
        </w:tc>
        <w:tc>
          <w:tcPr>
            <w:tcW w:type="dxa" w:w="6860"/>
            <w:vAlign w:val="center"/>
            <w:tcMar>
              <w:top w:w="80" w:type="dxa"/>
              <w:bottom w:w="80" w:type="dxa"/>
              <w:start w:w="120" w:type="dxa"/>
              <w:end w:w="120" w:type="dxa"/>
            </w:tcMar>
          </w:tcPr>
          <w:p>
            <w:pPr>
              <w:spacing w:after="0"/>
            </w:pPr>
            <w:r>
              <w:rPr>
                <w:rFonts w:ascii="Calibri" w:hAnsi="Calibri"/>
                <w:color w:val="1F2937"/>
                <w:sz w:val="18"/>
              </w:rPr>
              <w:t>2026-08-11 01:48:58 UTC</w:t>
            </w:r>
          </w:p>
        </w:tc>
      </w:tr>
      <w:tr>
        <w:tc>
          <w:tcPr>
            <w:tcW w:type="dxa" w:w="2500"/>
            <w:vAlign w:val="center"/>
            <w:tcMar>
              <w:top w:w="80" w:type="dxa"/>
              <w:bottom w:w="80" w:type="dxa"/>
              <w:start w:w="120" w:type="dxa"/>
              <w:end w:w="120" w:type="dxa"/>
            </w:tcMar>
          </w:tcPr>
          <w:p>
            <w:pPr>
              <w:spacing w:after="0"/>
            </w:pPr>
            <w:r>
              <w:rPr>
                <w:rFonts w:ascii="Calibri" w:hAnsi="Calibri"/>
                <w:color w:val="1F2937"/>
                <w:sz w:val="18"/>
              </w:rPr>
              <w:t>Related result rows</w:t>
            </w:r>
          </w:p>
        </w:tc>
        <w:tc>
          <w:tcPr>
            <w:tcW w:type="dxa" w:w="6860"/>
            <w:vAlign w:val="center"/>
            <w:tcMar>
              <w:top w:w="80" w:type="dxa"/>
              <w:bottom w:w="80" w:type="dxa"/>
              <w:start w:w="120" w:type="dxa"/>
              <w:end w:w="120" w:type="dxa"/>
            </w:tcMar>
          </w:tcPr>
          <w:p>
            <w:pPr>
              <w:spacing w:after="0"/>
            </w:pPr>
            <w:r>
              <w:rPr>
                <w:rFonts w:ascii="Calibri" w:hAnsi="Calibri"/>
                <w:color w:val="1F2937"/>
                <w:sz w:val="18"/>
              </w:rPr>
              <w:t>23 successful sign-in rows joined to one failure summary</w:t>
            </w:r>
          </w:p>
        </w:tc>
      </w:tr>
    </w:tbl>
    <w:p>
      <w:pPr>
        <w:spacing w:after="0"/>
      </w:pPr>
    </w:p>
    <w:p>
      <w:r>
        <w:t>The original analytic summarized all qualifying nonzero ResultType values per account over a five-hour lookback, then joined that summary to successful sign-ins in the most recent 30 minutes. This design is important: it does not require every non-success event to be an incorrect password, and it repeats the same failure count on every matching success row.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3F4F6"/>
          </w:tcPr>
          <w:p>
            <w:pPr>
              <w:spacing w:after="0"/>
            </w:pPr>
            <w:r>
              <w:rPr>
                <w:rFonts w:ascii="Consolas" w:hAnsi="Consolas"/>
                <w:color w:val="243447"/>
                <w:sz w:val="16"/>
              </w:rPr>
              <w:t>let min_failures = 5;</w:t>
            </w:r>
            <w:r>
              <w:br/>
            </w:r>
            <w:r>
              <w:rPr>
                <w:rFonts w:ascii="Consolas" w:hAnsi="Consolas"/>
                <w:color w:val="243447"/>
                <w:sz w:val="16"/>
              </w:rPr>
              <w:t>SigninLogs</w:t>
            </w:r>
            <w:r>
              <w:br/>
            </w:r>
            <w:r>
              <w:rPr>
                <w:rFonts w:ascii="Consolas" w:hAnsi="Consolas"/>
                <w:color w:val="243447"/>
                <w:sz w:val="16"/>
              </w:rPr>
              <w:t>| where ResultType != 0</w:t>
            </w:r>
            <w:r>
              <w:br/>
            </w:r>
            <w:r>
              <w:rPr>
                <w:rFonts w:ascii="Consolas" w:hAnsi="Consolas"/>
                <w:color w:val="243447"/>
                <w:sz w:val="16"/>
              </w:rPr>
              <w:t>| summarize FailCount = count() by UserPrincipalName</w:t>
            </w:r>
            <w:r>
              <w:br/>
            </w:r>
            <w:r>
              <w:rPr>
                <w:rFonts w:ascii="Consolas" w:hAnsi="Consolas"/>
                <w:color w:val="243447"/>
                <w:sz w:val="16"/>
              </w:rPr>
              <w:t>...</w:t>
            </w:r>
            <w:r>
              <w:br/>
            </w:r>
            <w:r>
              <w:rPr>
                <w:rFonts w:ascii="Consolas" w:hAnsi="Consolas"/>
                <w:color w:val="243447"/>
                <w:sz w:val="16"/>
              </w:rPr>
              <w:t>| join kind=inner (failedLogons) on UserPrincipalName</w:t>
            </w:r>
            <w:r>
              <w:br/>
            </w:r>
            <w:r>
              <w:rPr>
                <w:rFonts w:ascii="Consolas" w:hAnsi="Consolas"/>
                <w:color w:val="243447"/>
                <w:sz w:val="16"/>
              </w:rPr>
              <w:t>| where FailCount &gt;= min_failures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8E8"/>
          </w:tcPr>
          <w:p>
            <w:pPr>
              <w:spacing w:after="40"/>
            </w:pPr>
            <w:r>
              <w:rPr>
                <w:rFonts w:ascii="Calibri" w:hAnsi="Calibri"/>
                <w:b/>
                <w:color w:val="C69214"/>
                <w:sz w:val="20"/>
              </w:rPr>
              <w:t xml:space="preserve">Key interpretation  </w:t>
            </w:r>
            <w:r>
              <w:rPr>
                <w:rFonts w:ascii="Calibri" w:hAnsi="Calibri"/>
                <w:color w:val="1F2937"/>
                <w:sz w:val="20"/>
              </w:rPr>
              <w:t>“23 items” meant 23 joined query-result rows—not 23 alerts and not 23 failed logins. The alert contained one summarized failure count of six.</w:t>
            </w:r>
          </w:p>
        </w:tc>
      </w:tr>
    </w:tbl>
    <w:p>
      <w:pPr>
        <w:spacing w:after="0"/>
      </w:pPr>
    </w:p>
    <w:p>
      <w:r>
        <w:br w:type="page"/>
      </w:r>
    </w:p>
    <w:p>
      <w:pPr>
        <w:pStyle w:val="Heading1"/>
      </w:pPr>
      <w:r>
        <w:t>4. Step-by-Step Investigation</w:t>
      </w:r>
    </w:p>
    <w:p>
      <w:pPr>
        <w:pStyle w:val="Heading2"/>
      </w:pPr>
      <w:r>
        <w:t>Step 1 — Validate the raw alert before forming a verdict</w:t>
      </w:r>
    </w:p>
    <w:p>
      <w:pPr>
        <w:pStyle w:val="ListNumber"/>
        <w:spacing w:after="100"/>
        <w:ind w:left="504" w:hanging="288"/>
      </w:pPr>
      <w:r>
        <w:t>Confirm the ticket title, severity, provider, UTC activity window, incident reference, and analytics rule name.</w:t>
      </w:r>
    </w:p>
    <w:p>
      <w:pPr>
        <w:pStyle w:val="ListNumber"/>
        <w:spacing w:after="100"/>
        <w:ind w:left="504" w:hanging="288"/>
      </w:pPr>
      <w:r>
        <w:t>Read the complete query instead of relying only on the plain-language description.</w:t>
      </w:r>
    </w:p>
    <w:p>
      <w:pPr>
        <w:pStyle w:val="ListNumber"/>
        <w:spacing w:after="100"/>
        <w:ind w:left="504" w:hanging="288"/>
      </w:pPr>
      <w:r>
        <w:t>Record what the alert actually provides and identify missing entities such as account, IP, or device.</w:t>
      </w:r>
    </w:p>
    <w:p>
      <w:pPr>
        <w:pStyle w:val="ListNumber"/>
        <w:spacing w:after="100"/>
        <w:ind w:left="504" w:hanging="288"/>
      </w:pPr>
      <w:r>
        <w:t>Treat the alert hypothesis—brute force or credential stuffing—as unconfirmed until the source events support it.</w:t>
      </w:r>
    </w:p>
    <w:p>
      <w:pPr>
        <w:pStyle w:val="Heading2"/>
      </w:pPr>
      <w:r>
        <w:t>Step 2 — Reproduce the trigger with a focused SigninLogs query</w:t>
      </w:r>
    </w:p>
    <w:p>
      <w:r>
        <w:t>The focused query used the rule’s exact lookback period, selected the affected account, retained the analytic’s exclusions, and projected the fields needed for a timeline. This made each contributing non-success event visible instead of leaving only the summarized count.</w:t>
      </w:r>
    </w:p>
    <w:p>
      <w:pPr>
        <w:keepNext/>
        <w:spacing w:after="60"/>
        <w:jc w:val="center"/>
      </w:pPr>
      <w:r>
        <w:drawing>
          <wp:inline xmlns:a="http://schemas.openxmlformats.org/drawingml/2006/main" xmlns:pic="http://schemas.openxmlformats.org/drawingml/2006/picture">
            <wp:extent cx="5989320" cy="3344311"/>
            <wp:docPr id="1" name="Picture 1"/>
            <wp:cNvGraphicFramePr>
              <a:graphicFrameLocks noChangeAspect="1"/>
            </wp:cNvGraphicFramePr>
            <a:graphic>
              <a:graphicData uri="http://schemas.openxmlformats.org/drawingml/2006/picture">
                <pic:pic>
                  <pic:nvPicPr>
                    <pic:cNvPr id="0" name="evidence_query_redacted.png"/>
                    <pic:cNvPicPr/>
                  </pic:nvPicPr>
                  <pic:blipFill>
                    <a:blip r:embed="rId11"/>
                    <a:stretch>
                      <a:fillRect/>
                    </a:stretch>
                  </pic:blipFill>
                  <pic:spPr>
                    <a:xfrm>
                      <a:off x="0" y="0"/>
                      <a:ext cx="5989320" cy="3344311"/>
                    </a:xfrm>
                    <a:prstGeom prst="rect"/>
                  </pic:spPr>
                </pic:pic>
              </a:graphicData>
            </a:graphic>
          </wp:inline>
        </w:drawing>
      </w:r>
    </w:p>
    <w:p>
      <w:pPr>
        <w:keepNext w:val="0"/>
        <w:spacing w:after="160"/>
        <w:jc w:val="center"/>
      </w:pPr>
      <w:r>
        <w:rPr>
          <w:rFonts w:ascii="Calibri" w:hAnsi="Calibri"/>
          <w:i/>
          <w:color w:val="5E6A75"/>
          <w:sz w:val="17"/>
        </w:rPr>
        <w:t>Figure 1. Sanitized focused KQL query and first expanded result. Sensitive account and IP values are masked.</w:t>
      </w:r>
    </w:p>
    <w:p>
      <w:pPr>
        <w:pStyle w:val="Heading2"/>
      </w:pPr>
      <w:r>
        <w:t>Step 3 — Classify each non-success event</w:t>
      </w:r>
    </w:p>
    <w:p>
      <w:r>
        <w:t>Six qualifying events were returned. Reading ResultType together with ResultDescription showed that the group was not six password failures.</w:t>
      </w:r>
    </w:p>
    <w:tbl>
      <w:tblPr>
        <w:tblStyle w:val="TableGrid"/>
        <w:tblW w:type="dxa" w:w="9360"/>
        <w:jc w:val="left"/>
        <w:tblLayout w:type="fixed"/>
        <w:tblLook w:firstColumn="1" w:firstRow="1" w:lastColumn="0" w:lastRow="0" w:noHBand="0" w:noVBand="1" w:val="04A0"/>
        <w:tblInd w:w="120" w:type="dxa"/>
      </w:tblPr>
      <w:tblGrid>
        <w:gridCol w:w="1150"/>
        <w:gridCol w:w="950"/>
        <w:gridCol w:w="3000"/>
        <w:gridCol w:w="4260"/>
      </w:tblGrid>
      <w:tr>
        <w:tc>
          <w:tcPr>
            <w:tcW w:type="dxa" w:w="1150"/>
            <w:shd w:fill="EAF1F8"/>
            <w:vAlign w:val="center"/>
            <w:tcMar>
              <w:top w:w="80" w:type="dxa"/>
              <w:bottom w:w="80" w:type="dxa"/>
              <w:start w:w="120" w:type="dxa"/>
              <w:end w:w="120" w:type="dxa"/>
            </w:tcMar>
          </w:tcPr>
          <w:p>
            <w:pPr>
              <w:spacing w:after="0"/>
            </w:pPr>
            <w:r>
              <w:rPr>
                <w:rFonts w:ascii="Calibri" w:hAnsi="Calibri"/>
                <w:b/>
                <w:color w:val="17365D"/>
                <w:sz w:val="19"/>
              </w:rPr>
              <w:t>UTC time</w:t>
            </w:r>
          </w:p>
        </w:tc>
        <w:tc>
          <w:tcPr>
            <w:tcW w:type="dxa" w:w="950"/>
            <w:shd w:fill="EAF1F8"/>
            <w:vAlign w:val="center"/>
            <w:tcMar>
              <w:top w:w="80" w:type="dxa"/>
              <w:bottom w:w="80" w:type="dxa"/>
              <w:start w:w="120" w:type="dxa"/>
              <w:end w:w="120" w:type="dxa"/>
            </w:tcMar>
          </w:tcPr>
          <w:p>
            <w:pPr>
              <w:spacing w:after="0"/>
            </w:pPr>
            <w:r>
              <w:rPr>
                <w:rFonts w:ascii="Calibri" w:hAnsi="Calibri"/>
                <w:b/>
                <w:color w:val="17365D"/>
                <w:sz w:val="19"/>
              </w:rPr>
              <w:t>Code</w:t>
            </w:r>
          </w:p>
        </w:tc>
        <w:tc>
          <w:tcPr>
            <w:tcW w:type="dxa" w:w="3000"/>
            <w:shd w:fill="EAF1F8"/>
            <w:vAlign w:val="center"/>
            <w:tcMar>
              <w:top w:w="80" w:type="dxa"/>
              <w:bottom w:w="80" w:type="dxa"/>
              <w:start w:w="120" w:type="dxa"/>
              <w:end w:w="120" w:type="dxa"/>
            </w:tcMar>
          </w:tcPr>
          <w:p>
            <w:pPr>
              <w:spacing w:after="0"/>
            </w:pPr>
            <w:r>
              <w:rPr>
                <w:rFonts w:ascii="Calibri" w:hAnsi="Calibri"/>
                <w:b/>
                <w:color w:val="17365D"/>
                <w:sz w:val="19"/>
              </w:rPr>
              <w:t>Meaning</w:t>
            </w:r>
          </w:p>
        </w:tc>
        <w:tc>
          <w:tcPr>
            <w:tcW w:type="dxa" w:w="4260"/>
            <w:shd w:fill="EAF1F8"/>
            <w:vAlign w:val="center"/>
            <w:tcMar>
              <w:top w:w="80" w:type="dxa"/>
              <w:bottom w:w="80" w:type="dxa"/>
              <w:start w:w="120" w:type="dxa"/>
              <w:end w:w="120" w:type="dxa"/>
            </w:tcMar>
          </w:tcPr>
          <w:p>
            <w:pPr>
              <w:spacing w:after="0"/>
            </w:pPr>
            <w:r>
              <w:rPr>
                <w:rFonts w:ascii="Calibri" w:hAnsi="Calibri"/>
                <w:b/>
                <w:color w:val="17365D"/>
                <w:sz w:val="19"/>
              </w:rPr>
              <w:t>Analyst interpretation</w:t>
            </w:r>
          </w:p>
        </w:tc>
      </w:tr>
      <w:tr>
        <w:tc>
          <w:tcPr>
            <w:tcW w:type="dxa" w:w="1150"/>
            <w:vAlign w:val="center"/>
            <w:tcMar>
              <w:top w:w="80" w:type="dxa"/>
              <w:bottom w:w="80" w:type="dxa"/>
              <w:start w:w="120" w:type="dxa"/>
              <w:end w:w="120" w:type="dxa"/>
            </w:tcMar>
          </w:tcPr>
          <w:p>
            <w:pPr>
              <w:spacing w:after="0"/>
            </w:pPr>
            <w:r>
              <w:rPr>
                <w:rFonts w:ascii="Calibri" w:hAnsi="Calibri"/>
                <w:color w:val="1F2937"/>
                <w:sz w:val="18"/>
              </w:rPr>
              <w:t>01:14:41</w:t>
            </w:r>
          </w:p>
        </w:tc>
        <w:tc>
          <w:tcPr>
            <w:tcW w:type="dxa" w:w="950"/>
            <w:vAlign w:val="center"/>
            <w:tcMar>
              <w:top w:w="80" w:type="dxa"/>
              <w:bottom w:w="80" w:type="dxa"/>
              <w:start w:w="120" w:type="dxa"/>
              <w:end w:w="120" w:type="dxa"/>
            </w:tcMar>
          </w:tcPr>
          <w:p>
            <w:pPr>
              <w:spacing w:after="0"/>
            </w:pPr>
            <w:r>
              <w:rPr>
                <w:rFonts w:ascii="Calibri" w:hAnsi="Calibri"/>
                <w:color w:val="1F2937"/>
                <w:sz w:val="18"/>
              </w:rPr>
              <w:t>50074</w:t>
            </w:r>
          </w:p>
        </w:tc>
        <w:tc>
          <w:tcPr>
            <w:tcW w:type="dxa" w:w="3000"/>
            <w:vAlign w:val="center"/>
            <w:tcMar>
              <w:top w:w="80" w:type="dxa"/>
              <w:bottom w:w="80" w:type="dxa"/>
              <w:start w:w="120" w:type="dxa"/>
              <w:end w:w="120" w:type="dxa"/>
            </w:tcMar>
          </w:tcPr>
          <w:p>
            <w:pPr>
              <w:spacing w:after="0"/>
            </w:pPr>
            <w:r>
              <w:rPr>
                <w:rFonts w:ascii="Calibri" w:hAnsi="Calibri"/>
                <w:color w:val="1F2937"/>
                <w:sz w:val="18"/>
              </w:rPr>
              <w:t>Strong authentication required</w:t>
            </w:r>
          </w:p>
        </w:tc>
        <w:tc>
          <w:tcPr>
            <w:tcW w:type="dxa" w:w="4260"/>
            <w:vAlign w:val="center"/>
            <w:tcMar>
              <w:top w:w="80" w:type="dxa"/>
              <w:bottom w:w="80" w:type="dxa"/>
              <w:start w:w="120" w:type="dxa"/>
              <w:end w:w="120" w:type="dxa"/>
            </w:tcMar>
          </w:tcPr>
          <w:p>
            <w:pPr>
              <w:spacing w:after="0"/>
            </w:pPr>
            <w:r>
              <w:rPr>
                <w:rFonts w:ascii="Calibri" w:hAnsi="Calibri"/>
                <w:color w:val="1F2937"/>
                <w:sz w:val="18"/>
              </w:rPr>
              <w:t>MFA requirement; not a bad password</w:t>
            </w:r>
          </w:p>
        </w:tc>
      </w:tr>
      <w:tr>
        <w:tc>
          <w:tcPr>
            <w:tcW w:type="dxa" w:w="1150"/>
            <w:vAlign w:val="center"/>
            <w:tcMar>
              <w:top w:w="80" w:type="dxa"/>
              <w:bottom w:w="80" w:type="dxa"/>
              <w:start w:w="120" w:type="dxa"/>
              <w:end w:w="120" w:type="dxa"/>
            </w:tcMar>
          </w:tcPr>
          <w:p>
            <w:pPr>
              <w:spacing w:after="0"/>
            </w:pPr>
            <w:r>
              <w:rPr>
                <w:rFonts w:ascii="Calibri" w:hAnsi="Calibri"/>
                <w:color w:val="1F2937"/>
                <w:sz w:val="18"/>
              </w:rPr>
              <w:t>01:19:49</w:t>
            </w:r>
          </w:p>
        </w:tc>
        <w:tc>
          <w:tcPr>
            <w:tcW w:type="dxa" w:w="950"/>
            <w:vAlign w:val="center"/>
            <w:tcMar>
              <w:top w:w="80" w:type="dxa"/>
              <w:bottom w:w="80" w:type="dxa"/>
              <w:start w:w="120" w:type="dxa"/>
              <w:end w:w="120" w:type="dxa"/>
            </w:tcMar>
          </w:tcPr>
          <w:p>
            <w:pPr>
              <w:spacing w:after="0"/>
            </w:pPr>
            <w:r>
              <w:rPr>
                <w:rFonts w:ascii="Calibri" w:hAnsi="Calibri"/>
                <w:color w:val="1F2937"/>
                <w:sz w:val="18"/>
              </w:rPr>
              <w:t>50074</w:t>
            </w:r>
          </w:p>
        </w:tc>
        <w:tc>
          <w:tcPr>
            <w:tcW w:type="dxa" w:w="3000"/>
            <w:vAlign w:val="center"/>
            <w:tcMar>
              <w:top w:w="80" w:type="dxa"/>
              <w:bottom w:w="80" w:type="dxa"/>
              <w:start w:w="120" w:type="dxa"/>
              <w:end w:w="120" w:type="dxa"/>
            </w:tcMar>
          </w:tcPr>
          <w:p>
            <w:pPr>
              <w:spacing w:after="0"/>
            </w:pPr>
            <w:r>
              <w:rPr>
                <w:rFonts w:ascii="Calibri" w:hAnsi="Calibri"/>
                <w:color w:val="1F2937"/>
                <w:sz w:val="18"/>
              </w:rPr>
              <w:t>Strong authentication required</w:t>
            </w:r>
          </w:p>
        </w:tc>
        <w:tc>
          <w:tcPr>
            <w:tcW w:type="dxa" w:w="4260"/>
            <w:vAlign w:val="center"/>
            <w:tcMar>
              <w:top w:w="80" w:type="dxa"/>
              <w:bottom w:w="80" w:type="dxa"/>
              <w:start w:w="120" w:type="dxa"/>
              <w:end w:w="120" w:type="dxa"/>
            </w:tcMar>
          </w:tcPr>
          <w:p>
            <w:pPr>
              <w:spacing w:after="0"/>
            </w:pPr>
            <w:r>
              <w:rPr>
                <w:rFonts w:ascii="Calibri" w:hAnsi="Calibri"/>
                <w:color w:val="1F2937"/>
                <w:sz w:val="18"/>
              </w:rPr>
              <w:t>Second MFA requirement</w:t>
            </w:r>
          </w:p>
        </w:tc>
      </w:tr>
      <w:tr>
        <w:tc>
          <w:tcPr>
            <w:tcW w:type="dxa" w:w="1150"/>
            <w:vAlign w:val="center"/>
            <w:tcMar>
              <w:top w:w="80" w:type="dxa"/>
              <w:bottom w:w="80" w:type="dxa"/>
              <w:start w:w="120" w:type="dxa"/>
              <w:end w:w="120" w:type="dxa"/>
            </w:tcMar>
          </w:tcPr>
          <w:p>
            <w:pPr>
              <w:spacing w:after="0"/>
            </w:pPr>
            <w:r>
              <w:rPr>
                <w:rFonts w:ascii="Calibri" w:hAnsi="Calibri"/>
                <w:color w:val="1F2937"/>
                <w:sz w:val="18"/>
              </w:rPr>
              <w:t>01:22:46</w:t>
            </w:r>
          </w:p>
        </w:tc>
        <w:tc>
          <w:tcPr>
            <w:tcW w:type="dxa" w:w="950"/>
            <w:vAlign w:val="center"/>
            <w:tcMar>
              <w:top w:w="80" w:type="dxa"/>
              <w:bottom w:w="80" w:type="dxa"/>
              <w:start w:w="120" w:type="dxa"/>
              <w:end w:w="120" w:type="dxa"/>
            </w:tcMar>
          </w:tcPr>
          <w:p>
            <w:pPr>
              <w:spacing w:after="0"/>
            </w:pPr>
            <w:r>
              <w:rPr>
                <w:rFonts w:ascii="Calibri" w:hAnsi="Calibri"/>
                <w:color w:val="1F2937"/>
                <w:sz w:val="18"/>
              </w:rPr>
              <w:t>50133</w:t>
            </w:r>
          </w:p>
        </w:tc>
        <w:tc>
          <w:tcPr>
            <w:tcW w:type="dxa" w:w="3000"/>
            <w:vAlign w:val="center"/>
            <w:tcMar>
              <w:top w:w="80" w:type="dxa"/>
              <w:bottom w:w="80" w:type="dxa"/>
              <w:start w:w="120" w:type="dxa"/>
              <w:end w:w="120" w:type="dxa"/>
            </w:tcMar>
          </w:tcPr>
          <w:p>
            <w:pPr>
              <w:spacing w:after="0"/>
            </w:pPr>
            <w:r>
              <w:rPr>
                <w:rFonts w:ascii="Calibri" w:hAnsi="Calibri"/>
                <w:color w:val="1F2937"/>
                <w:sz w:val="18"/>
              </w:rPr>
              <w:t>Session invalid after password change/expiration</w:t>
            </w:r>
          </w:p>
        </w:tc>
        <w:tc>
          <w:tcPr>
            <w:tcW w:type="dxa" w:w="4260"/>
            <w:vAlign w:val="center"/>
            <w:tcMar>
              <w:top w:w="80" w:type="dxa"/>
              <w:bottom w:w="80" w:type="dxa"/>
              <w:start w:w="120" w:type="dxa"/>
              <w:end w:w="120" w:type="dxa"/>
            </w:tcMar>
          </w:tcPr>
          <w:p>
            <w:pPr>
              <w:spacing w:after="0"/>
            </w:pPr>
            <w:r>
              <w:rPr>
                <w:rFonts w:ascii="Calibri" w:hAnsi="Calibri"/>
                <w:color w:val="1F2937"/>
                <w:sz w:val="18"/>
              </w:rPr>
              <w:t>Session lifecycle condition</w:t>
            </w:r>
          </w:p>
        </w:tc>
      </w:tr>
      <w:tr>
        <w:tc>
          <w:tcPr>
            <w:tcW w:type="dxa" w:w="1150"/>
            <w:vAlign w:val="center"/>
            <w:tcMar>
              <w:top w:w="80" w:type="dxa"/>
              <w:bottom w:w="80" w:type="dxa"/>
              <w:start w:w="120" w:type="dxa"/>
              <w:end w:w="120" w:type="dxa"/>
            </w:tcMar>
          </w:tcPr>
          <w:p>
            <w:pPr>
              <w:spacing w:after="0"/>
            </w:pPr>
            <w:r>
              <w:rPr>
                <w:rFonts w:ascii="Calibri" w:hAnsi="Calibri"/>
                <w:color w:val="1F2937"/>
                <w:sz w:val="18"/>
              </w:rPr>
              <w:t>01:25:51</w:t>
            </w:r>
          </w:p>
        </w:tc>
        <w:tc>
          <w:tcPr>
            <w:tcW w:type="dxa" w:w="950"/>
            <w:vAlign w:val="center"/>
            <w:tcMar>
              <w:top w:w="80" w:type="dxa"/>
              <w:bottom w:w="80" w:type="dxa"/>
              <w:start w:w="120" w:type="dxa"/>
              <w:end w:w="120" w:type="dxa"/>
            </w:tcMar>
          </w:tcPr>
          <w:p>
            <w:pPr>
              <w:spacing w:after="0"/>
            </w:pPr>
            <w:r>
              <w:rPr>
                <w:rFonts w:ascii="Calibri" w:hAnsi="Calibri"/>
                <w:color w:val="1F2937"/>
                <w:sz w:val="18"/>
              </w:rPr>
              <w:t>500121</w:t>
            </w:r>
          </w:p>
        </w:tc>
        <w:tc>
          <w:tcPr>
            <w:tcW w:type="dxa" w:w="3000"/>
            <w:vAlign w:val="center"/>
            <w:tcMar>
              <w:top w:w="80" w:type="dxa"/>
              <w:bottom w:w="80" w:type="dxa"/>
              <w:start w:w="120" w:type="dxa"/>
              <w:end w:w="120" w:type="dxa"/>
            </w:tcMar>
          </w:tcPr>
          <w:p>
            <w:pPr>
              <w:spacing w:after="0"/>
            </w:pPr>
            <w:r>
              <w:rPr>
                <w:rFonts w:ascii="Calibri" w:hAnsi="Calibri"/>
                <w:color w:val="1F2937"/>
                <w:sz w:val="18"/>
              </w:rPr>
              <w:t>Strong authentication request failed</w:t>
            </w:r>
          </w:p>
        </w:tc>
        <w:tc>
          <w:tcPr>
            <w:tcW w:type="dxa" w:w="4260"/>
            <w:vAlign w:val="center"/>
            <w:tcMar>
              <w:top w:w="80" w:type="dxa"/>
              <w:bottom w:w="80" w:type="dxa"/>
              <w:start w:w="120" w:type="dxa"/>
              <w:end w:w="120" w:type="dxa"/>
            </w:tcMar>
          </w:tcPr>
          <w:p>
            <w:pPr>
              <w:spacing w:after="0"/>
            </w:pPr>
            <w:r>
              <w:rPr>
                <w:rFonts w:ascii="Calibri" w:hAnsi="Calibri"/>
                <w:color w:val="1F2937"/>
                <w:sz w:val="18"/>
              </w:rPr>
              <w:t>Incomplete/failed MFA attempt</w:t>
            </w:r>
          </w:p>
        </w:tc>
      </w:tr>
      <w:tr>
        <w:tc>
          <w:tcPr>
            <w:tcW w:type="dxa" w:w="1150"/>
            <w:vAlign w:val="center"/>
            <w:tcMar>
              <w:top w:w="80" w:type="dxa"/>
              <w:bottom w:w="80" w:type="dxa"/>
              <w:start w:w="120" w:type="dxa"/>
              <w:end w:w="120" w:type="dxa"/>
            </w:tcMar>
          </w:tcPr>
          <w:p>
            <w:pPr>
              <w:spacing w:after="0"/>
            </w:pPr>
            <w:r>
              <w:rPr>
                <w:rFonts w:ascii="Calibri" w:hAnsi="Calibri"/>
                <w:color w:val="1F2937"/>
                <w:sz w:val="18"/>
              </w:rPr>
              <w:t>01:35:18</w:t>
            </w:r>
          </w:p>
        </w:tc>
        <w:tc>
          <w:tcPr>
            <w:tcW w:type="dxa" w:w="950"/>
            <w:vAlign w:val="center"/>
            <w:tcMar>
              <w:top w:w="80" w:type="dxa"/>
              <w:bottom w:w="80" w:type="dxa"/>
              <w:start w:w="120" w:type="dxa"/>
              <w:end w:w="120" w:type="dxa"/>
            </w:tcMar>
          </w:tcPr>
          <w:p>
            <w:pPr>
              <w:spacing w:after="0"/>
            </w:pPr>
            <w:r>
              <w:rPr>
                <w:rFonts w:ascii="Calibri" w:hAnsi="Calibri"/>
                <w:color w:val="1F2937"/>
                <w:sz w:val="18"/>
              </w:rPr>
              <w:t>500121</w:t>
            </w:r>
          </w:p>
        </w:tc>
        <w:tc>
          <w:tcPr>
            <w:tcW w:type="dxa" w:w="3000"/>
            <w:vAlign w:val="center"/>
            <w:tcMar>
              <w:top w:w="80" w:type="dxa"/>
              <w:bottom w:w="80" w:type="dxa"/>
              <w:start w:w="120" w:type="dxa"/>
              <w:end w:w="120" w:type="dxa"/>
            </w:tcMar>
          </w:tcPr>
          <w:p>
            <w:pPr>
              <w:spacing w:after="0"/>
            </w:pPr>
            <w:r>
              <w:rPr>
                <w:rFonts w:ascii="Calibri" w:hAnsi="Calibri"/>
                <w:color w:val="1F2937"/>
                <w:sz w:val="18"/>
              </w:rPr>
              <w:t>Strong authentication request failed</w:t>
            </w:r>
          </w:p>
        </w:tc>
        <w:tc>
          <w:tcPr>
            <w:tcW w:type="dxa" w:w="4260"/>
            <w:vAlign w:val="center"/>
            <w:tcMar>
              <w:top w:w="80" w:type="dxa"/>
              <w:bottom w:w="80" w:type="dxa"/>
              <w:start w:w="120" w:type="dxa"/>
              <w:end w:w="120" w:type="dxa"/>
            </w:tcMar>
          </w:tcPr>
          <w:p>
            <w:pPr>
              <w:spacing w:after="0"/>
            </w:pPr>
            <w:r>
              <w:rPr>
                <w:rFonts w:ascii="Calibri" w:hAnsi="Calibri"/>
                <w:color w:val="1F2937"/>
                <w:sz w:val="18"/>
              </w:rPr>
              <w:t>Incomplete/failed MFA attempt</w:t>
            </w:r>
          </w:p>
        </w:tc>
      </w:tr>
      <w:tr>
        <w:tc>
          <w:tcPr>
            <w:tcW w:type="dxa" w:w="1150"/>
            <w:vAlign w:val="center"/>
            <w:tcMar>
              <w:top w:w="80" w:type="dxa"/>
              <w:bottom w:w="80" w:type="dxa"/>
              <w:start w:w="120" w:type="dxa"/>
              <w:end w:w="120" w:type="dxa"/>
            </w:tcMar>
          </w:tcPr>
          <w:p>
            <w:pPr>
              <w:spacing w:after="0"/>
            </w:pPr>
            <w:r>
              <w:rPr>
                <w:rFonts w:ascii="Calibri" w:hAnsi="Calibri"/>
                <w:color w:val="1F2937"/>
                <w:sz w:val="18"/>
              </w:rPr>
              <w:t>01:40:50</w:t>
            </w:r>
          </w:p>
        </w:tc>
        <w:tc>
          <w:tcPr>
            <w:tcW w:type="dxa" w:w="950"/>
            <w:vAlign w:val="center"/>
            <w:tcMar>
              <w:top w:w="80" w:type="dxa"/>
              <w:bottom w:w="80" w:type="dxa"/>
              <w:start w:w="120" w:type="dxa"/>
              <w:end w:w="120" w:type="dxa"/>
            </w:tcMar>
          </w:tcPr>
          <w:p>
            <w:pPr>
              <w:spacing w:after="0"/>
            </w:pPr>
            <w:r>
              <w:rPr>
                <w:rFonts w:ascii="Calibri" w:hAnsi="Calibri"/>
                <w:color w:val="1F2937"/>
                <w:sz w:val="18"/>
              </w:rPr>
              <w:t>500121</w:t>
            </w:r>
          </w:p>
        </w:tc>
        <w:tc>
          <w:tcPr>
            <w:tcW w:type="dxa" w:w="3000"/>
            <w:vAlign w:val="center"/>
            <w:tcMar>
              <w:top w:w="80" w:type="dxa"/>
              <w:bottom w:w="80" w:type="dxa"/>
              <w:start w:w="120" w:type="dxa"/>
              <w:end w:w="120" w:type="dxa"/>
            </w:tcMar>
          </w:tcPr>
          <w:p>
            <w:pPr>
              <w:spacing w:after="0"/>
            </w:pPr>
            <w:r>
              <w:rPr>
                <w:rFonts w:ascii="Calibri" w:hAnsi="Calibri"/>
                <w:color w:val="1F2937"/>
                <w:sz w:val="18"/>
              </w:rPr>
              <w:t>Strong authentication request failed</w:t>
            </w:r>
          </w:p>
        </w:tc>
        <w:tc>
          <w:tcPr>
            <w:tcW w:type="dxa" w:w="4260"/>
            <w:vAlign w:val="center"/>
            <w:tcMar>
              <w:top w:w="80" w:type="dxa"/>
              <w:bottom w:w="80" w:type="dxa"/>
              <w:start w:w="120" w:type="dxa"/>
              <w:end w:w="120" w:type="dxa"/>
            </w:tcMar>
          </w:tcPr>
          <w:p>
            <w:pPr>
              <w:spacing w:after="0"/>
            </w:pPr>
            <w:r>
              <w:rPr>
                <w:rFonts w:ascii="Calibri" w:hAnsi="Calibri"/>
                <w:color w:val="1F2937"/>
                <w:sz w:val="18"/>
              </w:rPr>
              <w:t>Incomplete/failed MFA attempt</w:t>
            </w:r>
          </w:p>
        </w:tc>
      </w:tr>
    </w:tbl>
    <w:p>
      <w:pPr>
        <w:spacing w:after="0"/>
      </w:pPr>
    </w:p>
    <w:p>
      <w:pPr>
        <w:keepNext/>
        <w:spacing w:after="60"/>
        <w:jc w:val="center"/>
      </w:pPr>
      <w:r>
        <w:drawing>
          <wp:inline xmlns:a="http://schemas.openxmlformats.org/drawingml/2006/main" xmlns:pic="http://schemas.openxmlformats.org/drawingml/2006/picture">
            <wp:extent cx="5989320" cy="1765411"/>
            <wp:docPr id="2" name="Picture 2"/>
            <wp:cNvGraphicFramePr>
              <a:graphicFrameLocks noChangeAspect="1"/>
            </wp:cNvGraphicFramePr>
            <a:graphic>
              <a:graphicData uri="http://schemas.openxmlformats.org/drawingml/2006/picture">
                <pic:pic>
                  <pic:nvPicPr>
                    <pic:cNvPr id="0" name="evidence_six_events_redacted.png"/>
                    <pic:cNvPicPr/>
                  </pic:nvPicPr>
                  <pic:blipFill>
                    <a:blip r:embed="rId12"/>
                    <a:stretch>
                      <a:fillRect/>
                    </a:stretch>
                  </pic:blipFill>
                  <pic:spPr>
                    <a:xfrm>
                      <a:off x="0" y="0"/>
                      <a:ext cx="5989320" cy="1765411"/>
                    </a:xfrm>
                    <a:prstGeom prst="rect"/>
                  </pic:spPr>
                </pic:pic>
              </a:graphicData>
            </a:graphic>
          </wp:inline>
        </w:drawing>
      </w:r>
    </w:p>
    <w:p>
      <w:pPr>
        <w:keepNext w:val="0"/>
        <w:spacing w:after="160"/>
        <w:jc w:val="center"/>
      </w:pPr>
      <w:r>
        <w:rPr>
          <w:rFonts w:ascii="Calibri" w:hAnsi="Calibri"/>
          <w:i/>
          <w:color w:val="5E6A75"/>
          <w:sz w:val="17"/>
        </w:rPr>
        <w:t>Figure 2. Sanitized six-event results table showing consistent time, code, application, location, client, and device context.</w:t>
      </w:r>
    </w:p>
    <w:p>
      <w:pPr>
        <w:pStyle w:val="Heading2"/>
      </w:pPr>
      <w:r>
        <w:t>Step 4 — Correlate account, source, and device context</w:t>
      </w:r>
    </w:p>
    <w:p>
      <w:r>
        <w:t>Every qualifying event used the same affected account, US location, browser client, and public source IP. DeviceDetail recorded Chrome on “Windows10,” with an empty device ID and unmanaged/noncompliant status. Browser-derived Entra telemetry may report Windows 11 as Windows10 because the underlying platform identifier is Windows NT 10.0; therefore the label alone is not an anomaly.</w:t>
      </w:r>
    </w:p>
    <w:p>
      <w:pPr>
        <w:keepNext/>
        <w:spacing w:after="60"/>
        <w:jc w:val="center"/>
      </w:pPr>
      <w:r>
        <w:drawing>
          <wp:inline xmlns:a="http://schemas.openxmlformats.org/drawingml/2006/main" xmlns:pic="http://schemas.openxmlformats.org/drawingml/2006/picture">
            <wp:extent cx="5989320" cy="2294085"/>
            <wp:docPr id="3" name="Picture 3"/>
            <wp:cNvGraphicFramePr>
              <a:graphicFrameLocks noChangeAspect="1"/>
            </wp:cNvGraphicFramePr>
            <a:graphic>
              <a:graphicData uri="http://schemas.openxmlformats.org/drawingml/2006/picture">
                <pic:pic>
                  <pic:nvPicPr>
                    <pic:cNvPr id="0" name="evidence_device_redacted.png"/>
                    <pic:cNvPicPr/>
                  </pic:nvPicPr>
                  <pic:blipFill>
                    <a:blip r:embed="rId13"/>
                    <a:stretch>
                      <a:fillRect/>
                    </a:stretch>
                  </pic:blipFill>
                  <pic:spPr>
                    <a:xfrm>
                      <a:off x="0" y="0"/>
                      <a:ext cx="5989320" cy="2294085"/>
                    </a:xfrm>
                    <a:prstGeom prst="rect"/>
                  </pic:spPr>
                </pic:pic>
              </a:graphicData>
            </a:graphic>
          </wp:inline>
        </w:drawing>
      </w:r>
    </w:p>
    <w:p>
      <w:pPr>
        <w:keepNext w:val="0"/>
        <w:spacing w:after="160"/>
        <w:jc w:val="center"/>
      </w:pPr>
      <w:r>
        <w:rPr>
          <w:rFonts w:ascii="Calibri" w:hAnsi="Calibri"/>
          <w:i/>
          <w:color w:val="5E6A75"/>
          <w:sz w:val="17"/>
        </w:rPr>
        <w:t>Figure 3. Sanitized expanded device details for an MFA-required event.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40"/>
            </w:pPr>
            <w:r>
              <w:rPr>
                <w:rFonts w:ascii="Calibri" w:hAnsi="Calibri"/>
                <w:b/>
                <w:color w:val="17365D"/>
                <w:sz w:val="20"/>
              </w:rPr>
              <w:t xml:space="preserve">Evidence limitation  </w:t>
            </w:r>
            <w:r>
              <w:rPr>
                <w:rFonts w:ascii="Calibri" w:hAnsi="Calibri"/>
                <w:color w:val="1F2937"/>
                <w:sz w:val="20"/>
              </w:rPr>
              <w:t>The device ID was empty and the endpoint was unmanaged. The log could support device-profile consistency, but it could not uniquely identify a physical computer.</w:t>
            </w:r>
          </w:p>
        </w:tc>
      </w:tr>
    </w:tbl>
    <w:p>
      <w:pPr>
        <w:spacing w:after="0"/>
      </w:pPr>
    </w:p>
    <w:p>
      <w:pPr>
        <w:pStyle w:val="Heading2"/>
      </w:pPr>
      <w:r>
        <w:t>Step 5 — Establish the available account baseline</w:t>
      </w:r>
    </w:p>
    <w:p>
      <w:r>
        <w:t>A seven-day baseline query found activity only during the investigation period. Although there was no older history for comparison, the available records formed a cohesive authentication session from one public IP: Windows/Chrome activity plus one Android Microsoft Authentication Broker event from the same network.</w:t>
      </w:r>
    </w:p>
    <w:tbl>
      <w:tblPr>
        <w:tblStyle w:val="TableGrid"/>
        <w:tblW w:type="dxa" w:w="9360"/>
        <w:jc w:val="left"/>
        <w:tblLayout w:type="fixed"/>
        <w:tblLook w:firstColumn="1" w:firstRow="1" w:lastColumn="0" w:lastRow="0" w:noHBand="0" w:noVBand="1" w:val="04A0"/>
        <w:tblInd w:w="120" w:type="dxa"/>
      </w:tblPr>
      <w:tblGrid>
        <w:gridCol w:w="2100"/>
        <w:gridCol w:w="1100"/>
        <w:gridCol w:w="1300"/>
        <w:gridCol w:w="1400"/>
        <w:gridCol w:w="3460"/>
      </w:tblGrid>
      <w:tr>
        <w:tc>
          <w:tcPr>
            <w:tcW w:type="dxa" w:w="2100"/>
            <w:shd w:fill="EAF1F8"/>
            <w:vAlign w:val="center"/>
            <w:tcMar>
              <w:top w:w="80" w:type="dxa"/>
              <w:bottom w:w="80" w:type="dxa"/>
              <w:start w:w="120" w:type="dxa"/>
              <w:end w:w="120" w:type="dxa"/>
            </w:tcMar>
          </w:tcPr>
          <w:p>
            <w:pPr>
              <w:spacing w:after="0"/>
            </w:pPr>
            <w:r>
              <w:rPr>
                <w:rFonts w:ascii="Calibri" w:hAnsi="Calibri"/>
                <w:b/>
                <w:color w:val="17365D"/>
                <w:sz w:val="19"/>
              </w:rPr>
              <w:t>Platform</w:t>
            </w:r>
          </w:p>
        </w:tc>
        <w:tc>
          <w:tcPr>
            <w:tcW w:type="dxa" w:w="1100"/>
            <w:shd w:fill="EAF1F8"/>
            <w:vAlign w:val="center"/>
            <w:tcMar>
              <w:top w:w="80" w:type="dxa"/>
              <w:bottom w:w="80" w:type="dxa"/>
              <w:start w:w="120" w:type="dxa"/>
              <w:end w:w="120" w:type="dxa"/>
            </w:tcMar>
          </w:tcPr>
          <w:p>
            <w:pPr>
              <w:spacing w:after="0"/>
            </w:pPr>
            <w:r>
              <w:rPr>
                <w:rFonts w:ascii="Calibri" w:hAnsi="Calibri"/>
                <w:b/>
                <w:color w:val="17365D"/>
                <w:sz w:val="19"/>
              </w:rPr>
              <w:t>Total</w:t>
            </w:r>
          </w:p>
        </w:tc>
        <w:tc>
          <w:tcPr>
            <w:tcW w:type="dxa" w:w="1300"/>
            <w:shd w:fill="EAF1F8"/>
            <w:vAlign w:val="center"/>
            <w:tcMar>
              <w:top w:w="80" w:type="dxa"/>
              <w:bottom w:w="80" w:type="dxa"/>
              <w:start w:w="120" w:type="dxa"/>
              <w:end w:w="120" w:type="dxa"/>
            </w:tcMar>
          </w:tcPr>
          <w:p>
            <w:pPr>
              <w:spacing w:after="0"/>
            </w:pPr>
            <w:r>
              <w:rPr>
                <w:rFonts w:ascii="Calibri" w:hAnsi="Calibri"/>
                <w:b/>
                <w:color w:val="17365D"/>
                <w:sz w:val="19"/>
              </w:rPr>
              <w:t>Successful</w:t>
            </w:r>
          </w:p>
        </w:tc>
        <w:tc>
          <w:tcPr>
            <w:tcW w:type="dxa" w:w="1400"/>
            <w:shd w:fill="EAF1F8"/>
            <w:vAlign w:val="center"/>
            <w:tcMar>
              <w:top w:w="80" w:type="dxa"/>
              <w:bottom w:w="80" w:type="dxa"/>
              <w:start w:w="120" w:type="dxa"/>
              <w:end w:w="120" w:type="dxa"/>
            </w:tcMar>
          </w:tcPr>
          <w:p>
            <w:pPr>
              <w:spacing w:after="0"/>
            </w:pPr>
            <w:r>
              <w:rPr>
                <w:rFonts w:ascii="Calibri" w:hAnsi="Calibri"/>
                <w:b/>
                <w:color w:val="17365D"/>
                <w:sz w:val="19"/>
              </w:rPr>
              <w:t>Non-success</w:t>
            </w:r>
          </w:p>
        </w:tc>
        <w:tc>
          <w:tcPr>
            <w:tcW w:type="dxa" w:w="3460"/>
            <w:shd w:fill="EAF1F8"/>
            <w:vAlign w:val="center"/>
            <w:tcMar>
              <w:top w:w="80" w:type="dxa"/>
              <w:bottom w:w="80" w:type="dxa"/>
              <w:start w:w="120" w:type="dxa"/>
              <w:end w:w="120" w:type="dxa"/>
            </w:tcMar>
          </w:tcPr>
          <w:p>
            <w:pPr>
              <w:spacing w:after="0"/>
            </w:pPr>
            <w:r>
              <w:rPr>
                <w:rFonts w:ascii="Calibri" w:hAnsi="Calibri"/>
                <w:b/>
                <w:color w:val="17365D"/>
                <w:sz w:val="19"/>
              </w:rPr>
              <w:t>Context</w:t>
            </w:r>
          </w:p>
        </w:tc>
      </w:tr>
      <w:tr>
        <w:tc>
          <w:tcPr>
            <w:tcW w:type="dxa" w:w="2100"/>
            <w:vAlign w:val="center"/>
            <w:tcMar>
              <w:top w:w="80" w:type="dxa"/>
              <w:bottom w:w="80" w:type="dxa"/>
              <w:start w:w="120" w:type="dxa"/>
              <w:end w:w="120" w:type="dxa"/>
            </w:tcMar>
          </w:tcPr>
          <w:p>
            <w:pPr>
              <w:spacing w:after="0"/>
            </w:pPr>
            <w:r>
              <w:rPr>
                <w:rFonts w:ascii="Calibri" w:hAnsi="Calibri"/>
                <w:color w:val="1F2937"/>
                <w:sz w:val="18"/>
              </w:rPr>
              <w:t>Windows / Chrome</w:t>
            </w:r>
          </w:p>
        </w:tc>
        <w:tc>
          <w:tcPr>
            <w:tcW w:type="dxa" w:w="1100"/>
            <w:vAlign w:val="center"/>
            <w:tcMar>
              <w:top w:w="80" w:type="dxa"/>
              <w:bottom w:w="80" w:type="dxa"/>
              <w:start w:w="120" w:type="dxa"/>
              <w:end w:w="120" w:type="dxa"/>
            </w:tcMar>
          </w:tcPr>
          <w:p>
            <w:pPr>
              <w:spacing w:after="0"/>
            </w:pPr>
            <w:r>
              <w:rPr>
                <w:rFonts w:ascii="Calibri" w:hAnsi="Calibri"/>
                <w:color w:val="1F2937"/>
                <w:sz w:val="18"/>
              </w:rPr>
              <w:t>38</w:t>
            </w:r>
          </w:p>
        </w:tc>
        <w:tc>
          <w:tcPr>
            <w:tcW w:type="dxa" w:w="1300"/>
            <w:vAlign w:val="center"/>
            <w:tcMar>
              <w:top w:w="80" w:type="dxa"/>
              <w:bottom w:w="80" w:type="dxa"/>
              <w:start w:w="120" w:type="dxa"/>
              <w:end w:w="120" w:type="dxa"/>
            </w:tcMar>
          </w:tcPr>
          <w:p>
            <w:pPr>
              <w:spacing w:after="0"/>
            </w:pPr>
            <w:r>
              <w:rPr>
                <w:rFonts w:ascii="Calibri" w:hAnsi="Calibri"/>
                <w:color w:val="1F2937"/>
                <w:sz w:val="18"/>
              </w:rPr>
              <w:t>25</w:t>
            </w:r>
          </w:p>
        </w:tc>
        <w:tc>
          <w:tcPr>
            <w:tcW w:type="dxa" w:w="1400"/>
            <w:vAlign w:val="center"/>
            <w:tcMar>
              <w:top w:w="80" w:type="dxa"/>
              <w:bottom w:w="80" w:type="dxa"/>
              <w:start w:w="120" w:type="dxa"/>
              <w:end w:w="120" w:type="dxa"/>
            </w:tcMar>
          </w:tcPr>
          <w:p>
            <w:pPr>
              <w:spacing w:after="0"/>
            </w:pPr>
            <w:r>
              <w:rPr>
                <w:rFonts w:ascii="Calibri" w:hAnsi="Calibri"/>
                <w:color w:val="1F2937"/>
                <w:sz w:val="18"/>
              </w:rPr>
              <w:t>13</w:t>
            </w:r>
          </w:p>
        </w:tc>
        <w:tc>
          <w:tcPr>
            <w:tcW w:type="dxa" w:w="3460"/>
            <w:vAlign w:val="center"/>
            <w:tcMar>
              <w:top w:w="80" w:type="dxa"/>
              <w:bottom w:w="80" w:type="dxa"/>
              <w:start w:w="120" w:type="dxa"/>
              <w:end w:w="120" w:type="dxa"/>
            </w:tcMar>
          </w:tcPr>
          <w:p>
            <w:pPr>
              <w:spacing w:after="0"/>
            </w:pPr>
            <w:r>
              <w:rPr>
                <w:rFonts w:ascii="Calibri" w:hAnsi="Calibri"/>
                <w:color w:val="1F2937"/>
                <w:sz w:val="18"/>
              </w:rPr>
              <w:t>Expected Microsoft and SOC applications</w:t>
            </w:r>
          </w:p>
        </w:tc>
      </w:tr>
      <w:tr>
        <w:tc>
          <w:tcPr>
            <w:tcW w:type="dxa" w:w="2100"/>
            <w:vAlign w:val="center"/>
            <w:tcMar>
              <w:top w:w="80" w:type="dxa"/>
              <w:bottom w:w="80" w:type="dxa"/>
              <w:start w:w="120" w:type="dxa"/>
              <w:end w:w="120" w:type="dxa"/>
            </w:tcMar>
          </w:tcPr>
          <w:p>
            <w:pPr>
              <w:spacing w:after="0"/>
            </w:pPr>
            <w:r>
              <w:rPr>
                <w:rFonts w:ascii="Calibri" w:hAnsi="Calibri"/>
                <w:color w:val="1F2937"/>
                <w:sz w:val="18"/>
              </w:rPr>
              <w:t>Android / Chrome Mobile</w:t>
            </w:r>
          </w:p>
        </w:tc>
        <w:tc>
          <w:tcPr>
            <w:tcW w:type="dxa" w:w="1100"/>
            <w:vAlign w:val="center"/>
            <w:tcMar>
              <w:top w:w="80" w:type="dxa"/>
              <w:bottom w:w="80" w:type="dxa"/>
              <w:start w:w="120" w:type="dxa"/>
              <w:end w:w="120" w:type="dxa"/>
            </w:tcMar>
          </w:tcPr>
          <w:p>
            <w:pPr>
              <w:spacing w:after="0"/>
            </w:pPr>
            <w:r>
              <w:rPr>
                <w:rFonts w:ascii="Calibri" w:hAnsi="Calibri"/>
                <w:color w:val="1F2937"/>
                <w:sz w:val="18"/>
              </w:rPr>
              <w:t>1</w:t>
            </w:r>
          </w:p>
        </w:tc>
        <w:tc>
          <w:tcPr>
            <w:tcW w:type="dxa" w:w="1300"/>
            <w:vAlign w:val="center"/>
            <w:tcMar>
              <w:top w:w="80" w:type="dxa"/>
              <w:bottom w:w="80" w:type="dxa"/>
              <w:start w:w="120" w:type="dxa"/>
              <w:end w:w="120" w:type="dxa"/>
            </w:tcMar>
          </w:tcPr>
          <w:p>
            <w:pPr>
              <w:spacing w:after="0"/>
            </w:pPr>
            <w:r>
              <w:rPr>
                <w:rFonts w:ascii="Calibri" w:hAnsi="Calibri"/>
                <w:color w:val="1F2937"/>
                <w:sz w:val="18"/>
              </w:rPr>
              <w:t>0</w:t>
            </w:r>
          </w:p>
        </w:tc>
        <w:tc>
          <w:tcPr>
            <w:tcW w:type="dxa" w:w="1400"/>
            <w:vAlign w:val="center"/>
            <w:tcMar>
              <w:top w:w="80" w:type="dxa"/>
              <w:bottom w:w="80" w:type="dxa"/>
              <w:start w:w="120" w:type="dxa"/>
              <w:end w:w="120" w:type="dxa"/>
            </w:tcMar>
          </w:tcPr>
          <w:p>
            <w:pPr>
              <w:spacing w:after="0"/>
            </w:pPr>
            <w:r>
              <w:rPr>
                <w:rFonts w:ascii="Calibri" w:hAnsi="Calibri"/>
                <w:color w:val="1F2937"/>
                <w:sz w:val="18"/>
              </w:rPr>
              <w:t>1</w:t>
            </w:r>
          </w:p>
        </w:tc>
        <w:tc>
          <w:tcPr>
            <w:tcW w:type="dxa" w:w="3460"/>
            <w:vAlign w:val="center"/>
            <w:tcMar>
              <w:top w:w="80" w:type="dxa"/>
              <w:bottom w:w="80" w:type="dxa"/>
              <w:start w:w="120" w:type="dxa"/>
              <w:end w:w="120" w:type="dxa"/>
            </w:tcMar>
          </w:tcPr>
          <w:p>
            <w:pPr>
              <w:spacing w:after="0"/>
            </w:pPr>
            <w:r>
              <w:rPr>
                <w:rFonts w:ascii="Calibri" w:hAnsi="Calibri"/>
                <w:color w:val="1F2937"/>
                <w:sz w:val="18"/>
              </w:rPr>
              <w:t>Microsoft Authentication Broker</w:t>
            </w:r>
          </w:p>
        </w:tc>
      </w:tr>
    </w:tbl>
    <w:p>
      <w:pPr>
        <w:spacing w:after="0"/>
      </w:pPr>
    </w:p>
    <w:p>
      <w:pPr>
        <w:keepNext/>
        <w:spacing w:after="60"/>
        <w:jc w:val="center"/>
      </w:pPr>
      <w:r>
        <w:drawing>
          <wp:inline xmlns:a="http://schemas.openxmlformats.org/drawingml/2006/main" xmlns:pic="http://schemas.openxmlformats.org/drawingml/2006/picture">
            <wp:extent cx="5989320" cy="876329"/>
            <wp:docPr id="4" name="Picture 4"/>
            <wp:cNvGraphicFramePr>
              <a:graphicFrameLocks noChangeAspect="1"/>
            </wp:cNvGraphicFramePr>
            <a:graphic>
              <a:graphicData uri="http://schemas.openxmlformats.org/drawingml/2006/picture">
                <pic:pic>
                  <pic:nvPicPr>
                    <pic:cNvPr id="0" name="evidence_baseline_redacted.png"/>
                    <pic:cNvPicPr/>
                  </pic:nvPicPr>
                  <pic:blipFill>
                    <a:blip r:embed="rId14"/>
                    <a:stretch>
                      <a:fillRect/>
                    </a:stretch>
                  </pic:blipFill>
                  <pic:spPr>
                    <a:xfrm>
                      <a:off x="0" y="0"/>
                      <a:ext cx="5989320" cy="876329"/>
                    </a:xfrm>
                    <a:prstGeom prst="rect"/>
                  </pic:spPr>
                </pic:pic>
              </a:graphicData>
            </a:graphic>
          </wp:inline>
        </w:drawing>
      </w:r>
    </w:p>
    <w:p>
      <w:pPr>
        <w:keepNext w:val="0"/>
        <w:spacing w:after="160"/>
        <w:jc w:val="center"/>
      </w:pPr>
      <w:r>
        <w:rPr>
          <w:rFonts w:ascii="Calibri" w:hAnsi="Calibri"/>
          <w:i/>
          <w:color w:val="5E6A75"/>
          <w:sz w:val="17"/>
        </w:rPr>
        <w:t>Figure 4. Sanitized baseline summary. Both platform profiles originated from the same public IP and US location.</w:t>
      </w:r>
    </w:p>
    <w:p>
      <w:r>
        <w:t>The baseline contained 13 total non-success records, while the alert counted six. This difference reinforces the need to reproduce the rule precisely: some authentication interruptions were excluded by the analytic and did not contribute to the threshold.</w:t>
      </w:r>
    </w:p>
    <w:p>
      <w:pPr>
        <w:pStyle w:val="Heading2"/>
      </w:pPr>
      <w:r>
        <w:t>Step 6 — Check for follow-on malicious behavior</w:t>
      </w:r>
    </w:p>
    <w:p>
      <w:pPr>
        <w:pStyle w:val="ListBullet"/>
        <w:spacing w:after="80"/>
        <w:ind w:left="360" w:hanging="259"/>
      </w:pPr>
      <w:r>
        <w:t>No second source IP or unfamiliar country was identified.</w:t>
      </w:r>
    </w:p>
    <w:p>
      <w:pPr>
        <w:pStyle w:val="ListBullet"/>
        <w:spacing w:after="80"/>
        <w:ind w:left="360" w:hanging="259"/>
      </w:pPr>
      <w:r>
        <w:t>No suspicious application outside the expected Microsoft and SOC training set appeared.</w:t>
      </w:r>
    </w:p>
    <w:p>
      <w:pPr>
        <w:pStyle w:val="ListBullet"/>
        <w:spacing w:after="80"/>
        <w:ind w:left="360" w:hanging="259"/>
      </w:pPr>
      <w:r>
        <w:t>No evidence supported SharePoint abuse, Microsoft Graph exploitation, lateral movement, or data exfiltration.</w:t>
      </w:r>
    </w:p>
    <w:p>
      <w:pPr>
        <w:pStyle w:val="ListBullet"/>
        <w:spacing w:after="80"/>
        <w:ind w:left="360" w:hanging="259"/>
      </w:pPr>
      <w:r>
        <w:t>No confirmed malicious indicator of compromise was identified.</w:t>
      </w:r>
    </w:p>
    <w:p>
      <w:pPr>
        <w:pStyle w:val="Heading1"/>
      </w:pPr>
      <w:r>
        <w:t>5. AI Triage Quality-Control Review</w:t>
      </w:r>
    </w:p>
    <w:p>
      <w:r>
        <w:t>The AI draft was treated as junior-analyst work and checked line by line against the raw query and SigninLogs. It was marked Needs work because it converted query text into unsupported event evidence and invented additional attack activity.</w:t>
      </w:r>
    </w:p>
    <w:tbl>
      <w:tblPr>
        <w:tblStyle w:val="TableGrid"/>
        <w:tblW w:type="dxa" w:w="9360"/>
        <w:jc w:val="left"/>
        <w:tblLayout w:type="fixed"/>
        <w:tblLook w:firstColumn="1" w:firstRow="1" w:lastColumn="0" w:lastRow="0" w:noHBand="0" w:noVBand="1" w:val="04A0"/>
        <w:tblInd w:w="120" w:type="dxa"/>
      </w:tblPr>
      <w:tblGrid>
        <w:gridCol w:w="3550"/>
        <w:gridCol w:w="5810"/>
      </w:tblGrid>
      <w:tr>
        <w:tc>
          <w:tcPr>
            <w:tcW w:type="dxa" w:w="3550"/>
            <w:shd w:fill="EAF1F8"/>
            <w:vAlign w:val="center"/>
            <w:tcMar>
              <w:top w:w="80" w:type="dxa"/>
              <w:bottom w:w="80" w:type="dxa"/>
              <w:start w:w="120" w:type="dxa"/>
              <w:end w:w="120" w:type="dxa"/>
            </w:tcMar>
          </w:tcPr>
          <w:p>
            <w:pPr>
              <w:spacing w:after="0"/>
            </w:pPr>
            <w:r>
              <w:rPr>
                <w:rFonts w:ascii="Calibri" w:hAnsi="Calibri"/>
                <w:b/>
                <w:color w:val="17365D"/>
                <w:sz w:val="19"/>
              </w:rPr>
              <w:t>AI draft claim</w:t>
            </w:r>
          </w:p>
        </w:tc>
        <w:tc>
          <w:tcPr>
            <w:tcW w:type="dxa" w:w="5810"/>
            <w:shd w:fill="EAF1F8"/>
            <w:vAlign w:val="center"/>
            <w:tcMar>
              <w:top w:w="80" w:type="dxa"/>
              <w:bottom w:w="80" w:type="dxa"/>
              <w:start w:w="120" w:type="dxa"/>
              <w:end w:w="120" w:type="dxa"/>
            </w:tcMar>
          </w:tcPr>
          <w:p>
            <w:pPr>
              <w:spacing w:after="0"/>
            </w:pPr>
            <w:r>
              <w:rPr>
                <w:rFonts w:ascii="Calibri" w:hAnsi="Calibri"/>
                <w:b/>
                <w:color w:val="17365D"/>
                <w:sz w:val="19"/>
              </w:rPr>
              <w:t>Evidence-based correction</w:t>
            </w:r>
          </w:p>
        </w:tc>
      </w:tr>
      <w:tr>
        <w:tc>
          <w:tcPr>
            <w:tcW w:type="dxa" w:w="3550"/>
            <w:vAlign w:val="center"/>
            <w:tcMar>
              <w:top w:w="80" w:type="dxa"/>
              <w:bottom w:w="80" w:type="dxa"/>
              <w:start w:w="120" w:type="dxa"/>
              <w:end w:w="120" w:type="dxa"/>
            </w:tcMar>
          </w:tcPr>
          <w:p>
            <w:pPr>
              <w:spacing w:after="0"/>
            </w:pPr>
            <w:r>
              <w:rPr>
                <w:rFonts w:ascii="Calibri" w:hAnsi="Calibri"/>
                <w:color w:val="1F2937"/>
                <w:sz w:val="18"/>
              </w:rPr>
              <w:t>A different administrator account was compromised</w:t>
            </w:r>
          </w:p>
        </w:tc>
        <w:tc>
          <w:tcPr>
            <w:tcW w:type="dxa" w:w="5810"/>
            <w:vAlign w:val="center"/>
            <w:tcMar>
              <w:top w:w="80" w:type="dxa"/>
              <w:bottom w:w="80" w:type="dxa"/>
              <w:start w:w="120" w:type="dxa"/>
              <w:end w:w="120" w:type="dxa"/>
            </w:tcMar>
          </w:tcPr>
          <w:p>
            <w:pPr>
              <w:spacing w:after="0"/>
            </w:pPr>
            <w:r>
              <w:rPr>
                <w:rFonts w:ascii="Calibri" w:hAnsi="Calibri"/>
                <w:color w:val="1F2937"/>
                <w:sz w:val="18"/>
              </w:rPr>
              <w:t>The matching query results identified the SOC training account.</w:t>
            </w:r>
          </w:p>
        </w:tc>
      </w:tr>
      <w:tr>
        <w:tc>
          <w:tcPr>
            <w:tcW w:type="dxa" w:w="3550"/>
            <w:vAlign w:val="center"/>
            <w:tcMar>
              <w:top w:w="80" w:type="dxa"/>
              <w:bottom w:w="80" w:type="dxa"/>
              <w:start w:w="120" w:type="dxa"/>
              <w:end w:w="120" w:type="dxa"/>
            </w:tcMar>
          </w:tcPr>
          <w:p>
            <w:pPr>
              <w:spacing w:after="0"/>
            </w:pPr>
            <w:r>
              <w:rPr>
                <w:rFonts w:ascii="Calibri" w:hAnsi="Calibri"/>
                <w:color w:val="1F2937"/>
                <w:sz w:val="18"/>
              </w:rPr>
              <w:t>The excluded IP was the attack source</w:t>
            </w:r>
          </w:p>
        </w:tc>
        <w:tc>
          <w:tcPr>
            <w:tcW w:type="dxa" w:w="5810"/>
            <w:vAlign w:val="center"/>
            <w:tcMar>
              <w:top w:w="80" w:type="dxa"/>
              <w:bottom w:w="80" w:type="dxa"/>
              <w:start w:w="120" w:type="dxa"/>
              <w:end w:w="120" w:type="dxa"/>
            </w:tcMar>
          </w:tcPr>
          <w:p>
            <w:pPr>
              <w:spacing w:after="0"/>
            </w:pPr>
            <w:r>
              <w:rPr>
                <w:rFonts w:ascii="Calibri" w:hAnsi="Calibri"/>
                <w:color w:val="1F2937"/>
                <w:sz w:val="18"/>
              </w:rPr>
              <w:t>That address appeared only in an IPAddress != exclusion; a focused query returned zero events for it.</w:t>
            </w:r>
          </w:p>
        </w:tc>
      </w:tr>
      <w:tr>
        <w:tc>
          <w:tcPr>
            <w:tcW w:type="dxa" w:w="3550"/>
            <w:vAlign w:val="center"/>
            <w:tcMar>
              <w:top w:w="80" w:type="dxa"/>
              <w:bottom w:w="80" w:type="dxa"/>
              <w:start w:w="120" w:type="dxa"/>
              <w:end w:w="120" w:type="dxa"/>
            </w:tcMar>
          </w:tcPr>
          <w:p>
            <w:pPr>
              <w:spacing w:after="0"/>
            </w:pPr>
            <w:r>
              <w:rPr>
                <w:rFonts w:ascii="Calibri" w:hAnsi="Calibri"/>
                <w:color w:val="1F2937"/>
                <w:sz w:val="18"/>
              </w:rPr>
              <w:t>Five brute-force failures occurred</w:t>
            </w:r>
          </w:p>
        </w:tc>
        <w:tc>
          <w:tcPr>
            <w:tcW w:type="dxa" w:w="5810"/>
            <w:vAlign w:val="center"/>
            <w:tcMar>
              <w:top w:w="80" w:type="dxa"/>
              <w:bottom w:w="80" w:type="dxa"/>
              <w:start w:w="120" w:type="dxa"/>
              <w:end w:w="120" w:type="dxa"/>
            </w:tcMar>
          </w:tcPr>
          <w:p>
            <w:pPr>
              <w:spacing w:after="0"/>
            </w:pPr>
            <w:r>
              <w:rPr>
                <w:rFonts w:ascii="Calibri" w:hAnsi="Calibri"/>
                <w:color w:val="1F2937"/>
                <w:sz w:val="18"/>
              </w:rPr>
              <w:t>Six qualifying non-success events existed, but only three were failed/incomplete strong-authentication requests.</w:t>
            </w:r>
          </w:p>
        </w:tc>
      </w:tr>
      <w:tr>
        <w:tc>
          <w:tcPr>
            <w:tcW w:type="dxa" w:w="3550"/>
            <w:vAlign w:val="center"/>
            <w:tcMar>
              <w:top w:w="80" w:type="dxa"/>
              <w:bottom w:w="80" w:type="dxa"/>
              <w:start w:w="120" w:type="dxa"/>
              <w:end w:w="120" w:type="dxa"/>
            </w:tcMar>
          </w:tcPr>
          <w:p>
            <w:pPr>
              <w:spacing w:after="0"/>
            </w:pPr>
            <w:r>
              <w:rPr>
                <w:rFonts w:ascii="Calibri" w:hAnsi="Calibri"/>
                <w:color w:val="1F2937"/>
                <w:sz w:val="18"/>
              </w:rPr>
              <w:t>No MFA failures were captured</w:t>
            </w:r>
          </w:p>
        </w:tc>
        <w:tc>
          <w:tcPr>
            <w:tcW w:type="dxa" w:w="5810"/>
            <w:vAlign w:val="center"/>
            <w:tcMar>
              <w:top w:w="80" w:type="dxa"/>
              <w:bottom w:w="80" w:type="dxa"/>
              <w:start w:w="120" w:type="dxa"/>
              <w:end w:w="120" w:type="dxa"/>
            </w:tcMar>
          </w:tcPr>
          <w:p>
            <w:pPr>
              <w:spacing w:after="0"/>
            </w:pPr>
            <w:r>
              <w:rPr>
                <w:rFonts w:ascii="Calibri" w:hAnsi="Calibri"/>
                <w:color w:val="1F2937"/>
                <w:sz w:val="18"/>
              </w:rPr>
              <w:t>Codes 50074 and 500121 explicitly reflected MFA/strong-authentication activity.</w:t>
            </w:r>
          </w:p>
        </w:tc>
      </w:tr>
      <w:tr>
        <w:tc>
          <w:tcPr>
            <w:tcW w:type="dxa" w:w="3550"/>
            <w:vAlign w:val="center"/>
            <w:tcMar>
              <w:top w:w="80" w:type="dxa"/>
              <w:bottom w:w="80" w:type="dxa"/>
              <w:start w:w="120" w:type="dxa"/>
              <w:end w:w="120" w:type="dxa"/>
            </w:tcMar>
          </w:tcPr>
          <w:p>
            <w:pPr>
              <w:spacing w:after="0"/>
            </w:pPr>
            <w:r>
              <w:rPr>
                <w:rFonts w:ascii="Calibri" w:hAnsi="Calibri"/>
                <w:color w:val="1F2937"/>
                <w:sz w:val="18"/>
              </w:rPr>
              <w:t>SharePoint and Microsoft Graph were used</w:t>
            </w:r>
          </w:p>
        </w:tc>
        <w:tc>
          <w:tcPr>
            <w:tcW w:type="dxa" w:w="5810"/>
            <w:vAlign w:val="center"/>
            <w:tcMar>
              <w:top w:w="80" w:type="dxa"/>
              <w:bottom w:w="80" w:type="dxa"/>
              <w:start w:w="120" w:type="dxa"/>
              <w:end w:w="120" w:type="dxa"/>
            </w:tcMar>
          </w:tcPr>
          <w:p>
            <w:pPr>
              <w:spacing w:after="0"/>
            </w:pPr>
            <w:r>
              <w:rPr>
                <w:rFonts w:ascii="Calibri" w:hAnsi="Calibri"/>
                <w:color w:val="1F2937"/>
                <w:sz w:val="18"/>
              </w:rPr>
              <w:t>No supporting event showed either claim.</w:t>
            </w:r>
          </w:p>
        </w:tc>
      </w:tr>
      <w:tr>
        <w:tc>
          <w:tcPr>
            <w:tcW w:type="dxa" w:w="3550"/>
            <w:vAlign w:val="center"/>
            <w:tcMar>
              <w:top w:w="80" w:type="dxa"/>
              <w:bottom w:w="80" w:type="dxa"/>
              <w:start w:w="120" w:type="dxa"/>
              <w:end w:w="120" w:type="dxa"/>
            </w:tcMar>
          </w:tcPr>
          <w:p>
            <w:pPr>
              <w:spacing w:after="0"/>
            </w:pPr>
            <w:r>
              <w:rPr>
                <w:rFonts w:ascii="Calibri" w:hAnsi="Calibri"/>
                <w:color w:val="1F2937"/>
                <w:sz w:val="18"/>
              </w:rPr>
              <w:t>Lateral movement or exfiltration preparation occurred</w:t>
            </w:r>
          </w:p>
        </w:tc>
        <w:tc>
          <w:tcPr>
            <w:tcW w:type="dxa" w:w="5810"/>
            <w:vAlign w:val="center"/>
            <w:tcMar>
              <w:top w:w="80" w:type="dxa"/>
              <w:bottom w:w="80" w:type="dxa"/>
              <w:start w:w="120" w:type="dxa"/>
              <w:end w:w="120" w:type="dxa"/>
            </w:tcMar>
          </w:tcPr>
          <w:p>
            <w:pPr>
              <w:spacing w:after="0"/>
            </w:pPr>
            <w:r>
              <w:rPr>
                <w:rFonts w:ascii="Calibri" w:hAnsi="Calibri"/>
                <w:color w:val="1F2937"/>
                <w:sz w:val="18"/>
              </w:rPr>
              <w:t>No related evidence supported post-authentication malicious behavior.</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8E8"/>
          </w:tcPr>
          <w:p>
            <w:pPr>
              <w:spacing w:after="40"/>
            </w:pPr>
            <w:r>
              <w:rPr>
                <w:rFonts w:ascii="Calibri" w:hAnsi="Calibri"/>
                <w:b/>
                <w:color w:val="C69214"/>
                <w:sz w:val="20"/>
              </w:rPr>
              <w:t xml:space="preserve">Analyst lesson  </w:t>
            </w:r>
            <w:r>
              <w:rPr>
                <w:rFonts w:ascii="Calibri" w:hAnsi="Calibri"/>
                <w:color w:val="1F2937"/>
                <w:sz w:val="20"/>
              </w:rPr>
              <w:t>Operators must understand query operators. In KQL, != means “not equal.” An address in an exclusion condition is not automatically an observed source or IOC.</w:t>
            </w:r>
          </w:p>
        </w:tc>
      </w:tr>
    </w:tbl>
    <w:p>
      <w:pPr>
        <w:spacing w:after="0"/>
      </w:pPr>
    </w:p>
    <w:p>
      <w:pPr>
        <w:pStyle w:val="Heading1"/>
      </w:pPr>
      <w:r>
        <w:t>6. Timeline</w:t>
      </w:r>
    </w:p>
    <w:tbl>
      <w:tblPr>
        <w:tblStyle w:val="TableGrid"/>
        <w:tblW w:type="dxa" w:w="9360"/>
        <w:jc w:val="left"/>
        <w:tblLayout w:type="fixed"/>
        <w:tblLook w:firstColumn="1" w:firstRow="1" w:lastColumn="0" w:lastRow="0" w:noHBand="0" w:noVBand="1" w:val="04A0"/>
        <w:tblInd w:w="120" w:type="dxa"/>
      </w:tblPr>
      <w:tblGrid>
        <w:gridCol w:w="1350"/>
        <w:gridCol w:w="3900"/>
        <w:gridCol w:w="4110"/>
      </w:tblGrid>
      <w:tr>
        <w:tc>
          <w:tcPr>
            <w:tcW w:type="dxa" w:w="1350"/>
            <w:shd w:fill="EAF1F8"/>
            <w:vAlign w:val="center"/>
            <w:tcMar>
              <w:top w:w="80" w:type="dxa"/>
              <w:bottom w:w="80" w:type="dxa"/>
              <w:start w:w="120" w:type="dxa"/>
              <w:end w:w="120" w:type="dxa"/>
            </w:tcMar>
          </w:tcPr>
          <w:p>
            <w:pPr>
              <w:spacing w:after="0"/>
            </w:pPr>
            <w:r>
              <w:rPr>
                <w:rFonts w:ascii="Calibri" w:hAnsi="Calibri"/>
                <w:b/>
                <w:color w:val="17365D"/>
                <w:sz w:val="19"/>
              </w:rPr>
              <w:t>UTC</w:t>
            </w:r>
          </w:p>
        </w:tc>
        <w:tc>
          <w:tcPr>
            <w:tcW w:type="dxa" w:w="3900"/>
            <w:shd w:fill="EAF1F8"/>
            <w:vAlign w:val="center"/>
            <w:tcMar>
              <w:top w:w="80" w:type="dxa"/>
              <w:bottom w:w="80" w:type="dxa"/>
              <w:start w:w="120" w:type="dxa"/>
              <w:end w:w="120" w:type="dxa"/>
            </w:tcMar>
          </w:tcPr>
          <w:p>
            <w:pPr>
              <w:spacing w:after="0"/>
            </w:pPr>
            <w:r>
              <w:rPr>
                <w:rFonts w:ascii="Calibri" w:hAnsi="Calibri"/>
                <w:b/>
                <w:color w:val="17365D"/>
                <w:sz w:val="19"/>
              </w:rPr>
              <w:t>Event</w:t>
            </w:r>
          </w:p>
        </w:tc>
        <w:tc>
          <w:tcPr>
            <w:tcW w:type="dxa" w:w="4110"/>
            <w:shd w:fill="EAF1F8"/>
            <w:vAlign w:val="center"/>
            <w:tcMar>
              <w:top w:w="80" w:type="dxa"/>
              <w:bottom w:w="80" w:type="dxa"/>
              <w:start w:w="120" w:type="dxa"/>
              <w:end w:w="120" w:type="dxa"/>
            </w:tcMar>
          </w:tcPr>
          <w:p>
            <w:pPr>
              <w:spacing w:after="0"/>
            </w:pPr>
            <w:r>
              <w:rPr>
                <w:rFonts w:ascii="Calibri" w:hAnsi="Calibri"/>
                <w:b/>
                <w:color w:val="17365D"/>
                <w:sz w:val="19"/>
              </w:rPr>
              <w:t>Significance</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00:38:38</w:t>
            </w:r>
          </w:p>
        </w:tc>
        <w:tc>
          <w:tcPr>
            <w:tcW w:type="dxa" w:w="3900"/>
            <w:vAlign w:val="center"/>
            <w:tcMar>
              <w:top w:w="80" w:type="dxa"/>
              <w:bottom w:w="80" w:type="dxa"/>
              <w:start w:w="120" w:type="dxa"/>
              <w:end w:w="120" w:type="dxa"/>
            </w:tcMar>
          </w:tcPr>
          <w:p>
            <w:pPr>
              <w:spacing w:after="0"/>
            </w:pPr>
            <w:r>
              <w:rPr>
                <w:rFonts w:ascii="Calibri" w:hAnsi="Calibri"/>
                <w:color w:val="1F2937"/>
                <w:sz w:val="18"/>
              </w:rPr>
              <w:t>Android Authentication Broker non-success</w:t>
            </w:r>
          </w:p>
        </w:tc>
        <w:tc>
          <w:tcPr>
            <w:tcW w:type="dxa" w:w="4110"/>
            <w:vAlign w:val="center"/>
            <w:tcMar>
              <w:top w:w="80" w:type="dxa"/>
              <w:bottom w:w="80" w:type="dxa"/>
              <w:start w:w="120" w:type="dxa"/>
              <w:end w:w="120" w:type="dxa"/>
            </w:tcMar>
          </w:tcPr>
          <w:p>
            <w:pPr>
              <w:spacing w:after="0"/>
            </w:pPr>
            <w:r>
              <w:rPr>
                <w:rFonts w:ascii="Calibri" w:hAnsi="Calibri"/>
                <w:color w:val="1F2937"/>
                <w:sz w:val="18"/>
              </w:rPr>
              <w:t>Same public IP; consistent with mobile authentication flow</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01:03:44</w:t>
            </w:r>
          </w:p>
        </w:tc>
        <w:tc>
          <w:tcPr>
            <w:tcW w:type="dxa" w:w="3900"/>
            <w:vAlign w:val="center"/>
            <w:tcMar>
              <w:top w:w="80" w:type="dxa"/>
              <w:bottom w:w="80" w:type="dxa"/>
              <w:start w:w="120" w:type="dxa"/>
              <w:end w:w="120" w:type="dxa"/>
            </w:tcMar>
          </w:tcPr>
          <w:p>
            <w:pPr>
              <w:spacing w:after="0"/>
            </w:pPr>
            <w:r>
              <w:rPr>
                <w:rFonts w:ascii="Calibri" w:hAnsi="Calibri"/>
                <w:color w:val="1F2937"/>
                <w:sz w:val="18"/>
              </w:rPr>
              <w:t>First Windows/Chrome baseline event</w:t>
            </w:r>
          </w:p>
        </w:tc>
        <w:tc>
          <w:tcPr>
            <w:tcW w:type="dxa" w:w="4110"/>
            <w:vAlign w:val="center"/>
            <w:tcMar>
              <w:top w:w="80" w:type="dxa"/>
              <w:bottom w:w="80" w:type="dxa"/>
              <w:start w:w="120" w:type="dxa"/>
              <w:end w:w="120" w:type="dxa"/>
            </w:tcMar>
          </w:tcPr>
          <w:p>
            <w:pPr>
              <w:spacing w:after="0"/>
            </w:pPr>
            <w:r>
              <w:rPr>
                <w:rFonts w:ascii="Calibri" w:hAnsi="Calibri"/>
                <w:color w:val="1F2937"/>
                <w:sz w:val="18"/>
              </w:rPr>
              <w:t>Start of concentrated browser activity</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01:14:41</w:t>
            </w:r>
          </w:p>
        </w:tc>
        <w:tc>
          <w:tcPr>
            <w:tcW w:type="dxa" w:w="3900"/>
            <w:vAlign w:val="center"/>
            <w:tcMar>
              <w:top w:w="80" w:type="dxa"/>
              <w:bottom w:w="80" w:type="dxa"/>
              <w:start w:w="120" w:type="dxa"/>
              <w:end w:w="120" w:type="dxa"/>
            </w:tcMar>
          </w:tcPr>
          <w:p>
            <w:pPr>
              <w:spacing w:after="0"/>
            </w:pPr>
            <w:r>
              <w:rPr>
                <w:rFonts w:ascii="Calibri" w:hAnsi="Calibri"/>
                <w:color w:val="1F2937"/>
                <w:sz w:val="18"/>
              </w:rPr>
              <w:t>MFA required (50074)</w:t>
            </w:r>
          </w:p>
        </w:tc>
        <w:tc>
          <w:tcPr>
            <w:tcW w:type="dxa" w:w="4110"/>
            <w:vAlign w:val="center"/>
            <w:tcMar>
              <w:top w:w="80" w:type="dxa"/>
              <w:bottom w:w="80" w:type="dxa"/>
              <w:start w:w="120" w:type="dxa"/>
              <w:end w:w="120" w:type="dxa"/>
            </w:tcMar>
          </w:tcPr>
          <w:p>
            <w:pPr>
              <w:spacing w:after="0"/>
            </w:pPr>
            <w:r>
              <w:rPr>
                <w:rFonts w:ascii="Calibri" w:hAnsi="Calibri"/>
                <w:color w:val="1F2937"/>
                <w:sz w:val="18"/>
              </w:rPr>
              <w:t>Expected strong-authentication challenge</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01:19:49</w:t>
            </w:r>
          </w:p>
        </w:tc>
        <w:tc>
          <w:tcPr>
            <w:tcW w:type="dxa" w:w="3900"/>
            <w:vAlign w:val="center"/>
            <w:tcMar>
              <w:top w:w="80" w:type="dxa"/>
              <w:bottom w:w="80" w:type="dxa"/>
              <w:start w:w="120" w:type="dxa"/>
              <w:end w:w="120" w:type="dxa"/>
            </w:tcMar>
          </w:tcPr>
          <w:p>
            <w:pPr>
              <w:spacing w:after="0"/>
            </w:pPr>
            <w:r>
              <w:rPr>
                <w:rFonts w:ascii="Calibri" w:hAnsi="Calibri"/>
                <w:color w:val="1F2937"/>
                <w:sz w:val="18"/>
              </w:rPr>
              <w:t>MFA required (50074)</w:t>
            </w:r>
          </w:p>
        </w:tc>
        <w:tc>
          <w:tcPr>
            <w:tcW w:type="dxa" w:w="4110"/>
            <w:vAlign w:val="center"/>
            <w:tcMar>
              <w:top w:w="80" w:type="dxa"/>
              <w:bottom w:w="80" w:type="dxa"/>
              <w:start w:w="120" w:type="dxa"/>
              <w:end w:w="120" w:type="dxa"/>
            </w:tcMar>
          </w:tcPr>
          <w:p>
            <w:pPr>
              <w:spacing w:after="0"/>
            </w:pPr>
            <w:r>
              <w:rPr>
                <w:rFonts w:ascii="Calibri" w:hAnsi="Calibri"/>
                <w:color w:val="1F2937"/>
                <w:sz w:val="18"/>
              </w:rPr>
              <w:t>Repeated challenge</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01:22:46</w:t>
            </w:r>
          </w:p>
        </w:tc>
        <w:tc>
          <w:tcPr>
            <w:tcW w:type="dxa" w:w="3900"/>
            <w:vAlign w:val="center"/>
            <w:tcMar>
              <w:top w:w="80" w:type="dxa"/>
              <w:bottom w:w="80" w:type="dxa"/>
              <w:start w:w="120" w:type="dxa"/>
              <w:end w:w="120" w:type="dxa"/>
            </w:tcMar>
          </w:tcPr>
          <w:p>
            <w:pPr>
              <w:spacing w:after="0"/>
            </w:pPr>
            <w:r>
              <w:rPr>
                <w:rFonts w:ascii="Calibri" w:hAnsi="Calibri"/>
                <w:color w:val="1F2937"/>
                <w:sz w:val="18"/>
              </w:rPr>
              <w:t>Invalid session (50133)</w:t>
            </w:r>
          </w:p>
        </w:tc>
        <w:tc>
          <w:tcPr>
            <w:tcW w:type="dxa" w:w="4110"/>
            <w:vAlign w:val="center"/>
            <w:tcMar>
              <w:top w:w="80" w:type="dxa"/>
              <w:bottom w:w="80" w:type="dxa"/>
              <w:start w:w="120" w:type="dxa"/>
              <w:end w:w="120" w:type="dxa"/>
            </w:tcMar>
          </w:tcPr>
          <w:p>
            <w:pPr>
              <w:spacing w:after="0"/>
            </w:pPr>
            <w:r>
              <w:rPr>
                <w:rFonts w:ascii="Calibri" w:hAnsi="Calibri"/>
                <w:color w:val="1F2937"/>
                <w:sz w:val="18"/>
              </w:rPr>
              <w:t>Password/session lifecycle issue</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01:25:51</w:t>
            </w:r>
          </w:p>
        </w:tc>
        <w:tc>
          <w:tcPr>
            <w:tcW w:type="dxa" w:w="3900"/>
            <w:vAlign w:val="center"/>
            <w:tcMar>
              <w:top w:w="80" w:type="dxa"/>
              <w:bottom w:w="80" w:type="dxa"/>
              <w:start w:w="120" w:type="dxa"/>
              <w:end w:w="120" w:type="dxa"/>
            </w:tcMar>
          </w:tcPr>
          <w:p>
            <w:pPr>
              <w:spacing w:after="0"/>
            </w:pPr>
            <w:r>
              <w:rPr>
                <w:rFonts w:ascii="Calibri" w:hAnsi="Calibri"/>
                <w:color w:val="1F2937"/>
                <w:sz w:val="18"/>
              </w:rPr>
              <w:t>Strong authentication failed (500121)</w:t>
            </w:r>
          </w:p>
        </w:tc>
        <w:tc>
          <w:tcPr>
            <w:tcW w:type="dxa" w:w="4110"/>
            <w:vAlign w:val="center"/>
            <w:tcMar>
              <w:top w:w="80" w:type="dxa"/>
              <w:bottom w:w="80" w:type="dxa"/>
              <w:start w:w="120" w:type="dxa"/>
              <w:end w:w="120" w:type="dxa"/>
            </w:tcMar>
          </w:tcPr>
          <w:p>
            <w:pPr>
              <w:spacing w:after="0"/>
            </w:pPr>
            <w:r>
              <w:rPr>
                <w:rFonts w:ascii="Calibri" w:hAnsi="Calibri"/>
                <w:color w:val="1F2937"/>
                <w:sz w:val="18"/>
              </w:rPr>
              <w:t>Incomplete MFA attempt</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01:35:18</w:t>
            </w:r>
          </w:p>
        </w:tc>
        <w:tc>
          <w:tcPr>
            <w:tcW w:type="dxa" w:w="3900"/>
            <w:vAlign w:val="center"/>
            <w:tcMar>
              <w:top w:w="80" w:type="dxa"/>
              <w:bottom w:w="80" w:type="dxa"/>
              <w:start w:w="120" w:type="dxa"/>
              <w:end w:w="120" w:type="dxa"/>
            </w:tcMar>
          </w:tcPr>
          <w:p>
            <w:pPr>
              <w:spacing w:after="0"/>
            </w:pPr>
            <w:r>
              <w:rPr>
                <w:rFonts w:ascii="Calibri" w:hAnsi="Calibri"/>
                <w:color w:val="1F2937"/>
                <w:sz w:val="18"/>
              </w:rPr>
              <w:t>Strong authentication failed (500121)</w:t>
            </w:r>
          </w:p>
        </w:tc>
        <w:tc>
          <w:tcPr>
            <w:tcW w:type="dxa" w:w="4110"/>
            <w:vAlign w:val="center"/>
            <w:tcMar>
              <w:top w:w="80" w:type="dxa"/>
              <w:bottom w:w="80" w:type="dxa"/>
              <w:start w:w="120" w:type="dxa"/>
              <w:end w:w="120" w:type="dxa"/>
            </w:tcMar>
          </w:tcPr>
          <w:p>
            <w:pPr>
              <w:spacing w:after="0"/>
            </w:pPr>
            <w:r>
              <w:rPr>
                <w:rFonts w:ascii="Calibri" w:hAnsi="Calibri"/>
                <w:color w:val="1F2937"/>
                <w:sz w:val="18"/>
              </w:rPr>
              <w:t>Incomplete MFA attempt</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01:40:50</w:t>
            </w:r>
          </w:p>
        </w:tc>
        <w:tc>
          <w:tcPr>
            <w:tcW w:type="dxa" w:w="3900"/>
            <w:vAlign w:val="center"/>
            <w:tcMar>
              <w:top w:w="80" w:type="dxa"/>
              <w:bottom w:w="80" w:type="dxa"/>
              <w:start w:w="120" w:type="dxa"/>
              <w:end w:w="120" w:type="dxa"/>
            </w:tcMar>
          </w:tcPr>
          <w:p>
            <w:pPr>
              <w:spacing w:after="0"/>
            </w:pPr>
            <w:r>
              <w:rPr>
                <w:rFonts w:ascii="Calibri" w:hAnsi="Calibri"/>
                <w:color w:val="1F2937"/>
                <w:sz w:val="18"/>
              </w:rPr>
              <w:t>Strong authentication failed (500121)</w:t>
            </w:r>
          </w:p>
        </w:tc>
        <w:tc>
          <w:tcPr>
            <w:tcW w:type="dxa" w:w="4110"/>
            <w:vAlign w:val="center"/>
            <w:tcMar>
              <w:top w:w="80" w:type="dxa"/>
              <w:bottom w:w="80" w:type="dxa"/>
              <w:start w:w="120" w:type="dxa"/>
              <w:end w:w="120" w:type="dxa"/>
            </w:tcMar>
          </w:tcPr>
          <w:p>
            <w:pPr>
              <w:spacing w:after="0"/>
            </w:pPr>
            <w:r>
              <w:rPr>
                <w:rFonts w:ascii="Calibri" w:hAnsi="Calibri"/>
                <w:color w:val="1F2937"/>
                <w:sz w:val="18"/>
              </w:rPr>
              <w:t>Incomplete MFA attempt</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01:43:06</w:t>
            </w:r>
          </w:p>
        </w:tc>
        <w:tc>
          <w:tcPr>
            <w:tcW w:type="dxa" w:w="3900"/>
            <w:vAlign w:val="center"/>
            <w:tcMar>
              <w:top w:w="80" w:type="dxa"/>
              <w:bottom w:w="80" w:type="dxa"/>
              <w:start w:w="120" w:type="dxa"/>
              <w:end w:w="120" w:type="dxa"/>
            </w:tcMar>
          </w:tcPr>
          <w:p>
            <w:pPr>
              <w:spacing w:after="0"/>
            </w:pPr>
            <w:r>
              <w:rPr>
                <w:rFonts w:ascii="Calibri" w:hAnsi="Calibri"/>
                <w:color w:val="1F2937"/>
                <w:sz w:val="18"/>
              </w:rPr>
              <w:t>Last alert-related successful sign-in</w:t>
            </w:r>
          </w:p>
        </w:tc>
        <w:tc>
          <w:tcPr>
            <w:tcW w:type="dxa" w:w="4110"/>
            <w:vAlign w:val="center"/>
            <w:tcMar>
              <w:top w:w="80" w:type="dxa"/>
              <w:bottom w:w="80" w:type="dxa"/>
              <w:start w:w="120" w:type="dxa"/>
              <w:end w:w="120" w:type="dxa"/>
            </w:tcMar>
          </w:tcPr>
          <w:p>
            <w:pPr>
              <w:spacing w:after="0"/>
            </w:pPr>
            <w:r>
              <w:rPr>
                <w:rFonts w:ascii="Calibri" w:hAnsi="Calibri"/>
                <w:color w:val="1F2937"/>
                <w:sz w:val="18"/>
              </w:rPr>
              <w:t>Success from consistent source context</w:t>
            </w:r>
          </w:p>
        </w:tc>
      </w:tr>
      <w:tr>
        <w:tc>
          <w:tcPr>
            <w:tcW w:type="dxa" w:w="1350"/>
            <w:vAlign w:val="center"/>
            <w:tcMar>
              <w:top w:w="80" w:type="dxa"/>
              <w:bottom w:w="80" w:type="dxa"/>
              <w:start w:w="120" w:type="dxa"/>
              <w:end w:w="120" w:type="dxa"/>
            </w:tcMar>
          </w:tcPr>
          <w:p>
            <w:pPr>
              <w:spacing w:after="0"/>
            </w:pPr>
            <w:r>
              <w:rPr>
                <w:rFonts w:ascii="Calibri" w:hAnsi="Calibri"/>
                <w:color w:val="1F2937"/>
                <w:sz w:val="18"/>
              </w:rPr>
              <w:t>01:48:58</w:t>
            </w:r>
          </w:p>
        </w:tc>
        <w:tc>
          <w:tcPr>
            <w:tcW w:type="dxa" w:w="3900"/>
            <w:vAlign w:val="center"/>
            <w:tcMar>
              <w:top w:w="80" w:type="dxa"/>
              <w:bottom w:w="80" w:type="dxa"/>
              <w:start w:w="120" w:type="dxa"/>
              <w:end w:w="120" w:type="dxa"/>
            </w:tcMar>
          </w:tcPr>
          <w:p>
            <w:pPr>
              <w:spacing w:after="0"/>
            </w:pPr>
            <w:r>
              <w:rPr>
                <w:rFonts w:ascii="Calibri" w:hAnsi="Calibri"/>
                <w:color w:val="1F2937"/>
                <w:sz w:val="18"/>
              </w:rPr>
              <w:t>Alert generated</w:t>
            </w:r>
          </w:p>
        </w:tc>
        <w:tc>
          <w:tcPr>
            <w:tcW w:type="dxa" w:w="4110"/>
            <w:vAlign w:val="center"/>
            <w:tcMar>
              <w:top w:w="80" w:type="dxa"/>
              <w:bottom w:w="80" w:type="dxa"/>
              <w:start w:w="120" w:type="dxa"/>
              <w:end w:w="120" w:type="dxa"/>
            </w:tcMar>
          </w:tcPr>
          <w:p>
            <w:pPr>
              <w:spacing w:after="0"/>
            </w:pPr>
            <w:r>
              <w:rPr>
                <w:rFonts w:ascii="Calibri" w:hAnsi="Calibri"/>
                <w:color w:val="1F2937"/>
                <w:sz w:val="18"/>
              </w:rPr>
              <w:t>Scheduled analytic created one Medium alert</w:t>
            </w:r>
          </w:p>
        </w:tc>
      </w:tr>
    </w:tbl>
    <w:p>
      <w:pPr>
        <w:spacing w:after="0"/>
      </w:pPr>
    </w:p>
    <w:p>
      <w:pPr>
        <w:pStyle w:val="Heading1"/>
      </w:pPr>
      <w:r>
        <w:t>7. Five-W Analysis</w:t>
      </w:r>
    </w:p>
    <w:tbl>
      <w:tblPr>
        <w:tblStyle w:val="TableGrid"/>
        <w:tblW w:type="dxa" w:w="9360"/>
        <w:jc w:val="left"/>
        <w:tblLayout w:type="fixed"/>
        <w:tblLook w:firstColumn="1" w:firstRow="1" w:lastColumn="0" w:lastRow="0" w:noHBand="0" w:noVBand="1" w:val="04A0"/>
        <w:tblInd w:w="120" w:type="dxa"/>
      </w:tblPr>
      <w:tblGrid>
        <w:gridCol w:w="1450"/>
        <w:gridCol w:w="7910"/>
      </w:tblGrid>
      <w:tr>
        <w:tc>
          <w:tcPr>
            <w:tcW w:type="dxa" w:w="1450"/>
            <w:shd w:fill="EAF1F8"/>
            <w:vAlign w:val="center"/>
            <w:tcMar>
              <w:top w:w="80" w:type="dxa"/>
              <w:bottom w:w="80" w:type="dxa"/>
              <w:start w:w="120" w:type="dxa"/>
              <w:end w:w="120" w:type="dxa"/>
            </w:tcMar>
          </w:tcPr>
          <w:p>
            <w:pPr>
              <w:spacing w:after="0"/>
            </w:pPr>
            <w:r>
              <w:rPr>
                <w:rFonts w:ascii="Calibri" w:hAnsi="Calibri"/>
                <w:b/>
                <w:color w:val="17365D"/>
                <w:sz w:val="19"/>
              </w:rPr>
              <w:t>Question</w:t>
            </w:r>
          </w:p>
        </w:tc>
        <w:tc>
          <w:tcPr>
            <w:tcW w:type="dxa" w:w="7910"/>
            <w:shd w:fill="EAF1F8"/>
            <w:vAlign w:val="center"/>
            <w:tcMar>
              <w:top w:w="80" w:type="dxa"/>
              <w:bottom w:w="80" w:type="dxa"/>
              <w:start w:w="120" w:type="dxa"/>
              <w:end w:w="120" w:type="dxa"/>
            </w:tcMar>
          </w:tcPr>
          <w:p>
            <w:pPr>
              <w:spacing w:after="0"/>
            </w:pPr>
            <w:r>
              <w:rPr>
                <w:rFonts w:ascii="Calibri" w:hAnsi="Calibri"/>
                <w:b/>
                <w:color w:val="17365D"/>
                <w:sz w:val="19"/>
              </w:rPr>
              <w:t>Evidence-based answer</w:t>
            </w:r>
          </w:p>
        </w:tc>
      </w:tr>
      <w:tr>
        <w:tc>
          <w:tcPr>
            <w:tcW w:type="dxa" w:w="1450"/>
            <w:vAlign w:val="center"/>
            <w:tcMar>
              <w:top w:w="80" w:type="dxa"/>
              <w:bottom w:w="80" w:type="dxa"/>
              <w:start w:w="120" w:type="dxa"/>
              <w:end w:w="120" w:type="dxa"/>
            </w:tcMar>
          </w:tcPr>
          <w:p>
            <w:pPr>
              <w:spacing w:after="0"/>
            </w:pPr>
            <w:r>
              <w:rPr>
                <w:rFonts w:ascii="Calibri" w:hAnsi="Calibri"/>
                <w:color w:val="1F2937"/>
                <w:sz w:val="18"/>
              </w:rPr>
              <w:t>Who</w:t>
            </w:r>
          </w:p>
        </w:tc>
        <w:tc>
          <w:tcPr>
            <w:tcW w:type="dxa" w:w="7910"/>
            <w:vAlign w:val="center"/>
            <w:tcMar>
              <w:top w:w="80" w:type="dxa"/>
              <w:bottom w:w="80" w:type="dxa"/>
              <w:start w:w="120" w:type="dxa"/>
              <w:end w:w="120" w:type="dxa"/>
            </w:tcMar>
          </w:tcPr>
          <w:p>
            <w:pPr>
              <w:spacing w:after="0"/>
            </w:pPr>
            <w:r>
              <w:rPr>
                <w:rFonts w:ascii="Calibri" w:hAnsi="Calibri"/>
                <w:color w:val="1F2937"/>
                <w:sz w:val="18"/>
              </w:rPr>
              <w:t>A sanitized SOC training account.</w:t>
            </w:r>
          </w:p>
        </w:tc>
      </w:tr>
      <w:tr>
        <w:tc>
          <w:tcPr>
            <w:tcW w:type="dxa" w:w="1450"/>
            <w:vAlign w:val="center"/>
            <w:tcMar>
              <w:top w:w="80" w:type="dxa"/>
              <w:bottom w:w="80" w:type="dxa"/>
              <w:start w:w="120" w:type="dxa"/>
              <w:end w:w="120" w:type="dxa"/>
            </w:tcMar>
          </w:tcPr>
          <w:p>
            <w:pPr>
              <w:spacing w:after="0"/>
            </w:pPr>
            <w:r>
              <w:rPr>
                <w:rFonts w:ascii="Calibri" w:hAnsi="Calibri"/>
                <w:color w:val="1F2937"/>
                <w:sz w:val="18"/>
              </w:rPr>
              <w:t>What</w:t>
            </w:r>
          </w:p>
        </w:tc>
        <w:tc>
          <w:tcPr>
            <w:tcW w:type="dxa" w:w="7910"/>
            <w:vAlign w:val="center"/>
            <w:tcMar>
              <w:top w:w="80" w:type="dxa"/>
              <w:bottom w:w="80" w:type="dxa"/>
              <w:start w:w="120" w:type="dxa"/>
              <w:end w:w="120" w:type="dxa"/>
            </w:tcMar>
          </w:tcPr>
          <w:p>
            <w:pPr>
              <w:spacing w:after="0"/>
            </w:pPr>
            <w:r>
              <w:rPr>
                <w:rFonts w:ascii="Calibri" w:hAnsi="Calibri"/>
                <w:color w:val="1F2937"/>
                <w:sz w:val="18"/>
              </w:rPr>
              <w:t>MFA requirements, one invalid session, and three incomplete strong-authentication attempts followed by successful access.</w:t>
            </w:r>
          </w:p>
        </w:tc>
      </w:tr>
      <w:tr>
        <w:tc>
          <w:tcPr>
            <w:tcW w:type="dxa" w:w="1450"/>
            <w:vAlign w:val="center"/>
            <w:tcMar>
              <w:top w:w="80" w:type="dxa"/>
              <w:bottom w:w="80" w:type="dxa"/>
              <w:start w:w="120" w:type="dxa"/>
              <w:end w:w="120" w:type="dxa"/>
            </w:tcMar>
          </w:tcPr>
          <w:p>
            <w:pPr>
              <w:spacing w:after="0"/>
            </w:pPr>
            <w:r>
              <w:rPr>
                <w:rFonts w:ascii="Calibri" w:hAnsi="Calibri"/>
                <w:color w:val="1F2937"/>
                <w:sz w:val="18"/>
              </w:rPr>
              <w:t>When</w:t>
            </w:r>
          </w:p>
        </w:tc>
        <w:tc>
          <w:tcPr>
            <w:tcW w:type="dxa" w:w="7910"/>
            <w:vAlign w:val="center"/>
            <w:tcMar>
              <w:top w:w="80" w:type="dxa"/>
              <w:bottom w:w="80" w:type="dxa"/>
              <w:start w:w="120" w:type="dxa"/>
              <w:end w:w="120" w:type="dxa"/>
            </w:tcMar>
          </w:tcPr>
          <w:p>
            <w:pPr>
              <w:spacing w:after="0"/>
            </w:pPr>
            <w:r>
              <w:rPr>
                <w:rFonts w:ascii="Calibri" w:hAnsi="Calibri"/>
                <w:color w:val="1F2937"/>
                <w:sz w:val="18"/>
              </w:rPr>
              <w:t>2026-08-11; alert-related activity ended at 01:43:06 UTC.</w:t>
            </w:r>
          </w:p>
        </w:tc>
      </w:tr>
      <w:tr>
        <w:tc>
          <w:tcPr>
            <w:tcW w:type="dxa" w:w="1450"/>
            <w:vAlign w:val="center"/>
            <w:tcMar>
              <w:top w:w="80" w:type="dxa"/>
              <w:bottom w:w="80" w:type="dxa"/>
              <w:start w:w="120" w:type="dxa"/>
              <w:end w:w="120" w:type="dxa"/>
            </w:tcMar>
          </w:tcPr>
          <w:p>
            <w:pPr>
              <w:spacing w:after="0"/>
            </w:pPr>
            <w:r>
              <w:rPr>
                <w:rFonts w:ascii="Calibri" w:hAnsi="Calibri"/>
                <w:color w:val="1F2937"/>
                <w:sz w:val="18"/>
              </w:rPr>
              <w:t>Where</w:t>
            </w:r>
          </w:p>
        </w:tc>
        <w:tc>
          <w:tcPr>
            <w:tcW w:type="dxa" w:w="7910"/>
            <w:vAlign w:val="center"/>
            <w:tcMar>
              <w:top w:w="80" w:type="dxa"/>
              <w:bottom w:w="80" w:type="dxa"/>
              <w:start w:w="120" w:type="dxa"/>
              <w:end w:w="120" w:type="dxa"/>
            </w:tcMar>
          </w:tcPr>
          <w:p>
            <w:pPr>
              <w:spacing w:after="0"/>
            </w:pPr>
            <w:r>
              <w:rPr>
                <w:rFonts w:ascii="Calibri" w:hAnsi="Calibri"/>
                <w:color w:val="1F2937"/>
                <w:sz w:val="18"/>
              </w:rPr>
              <w:t>One US public IP using Windows/Chrome and an Android authentication-broker interaction.</w:t>
            </w:r>
          </w:p>
        </w:tc>
      </w:tr>
      <w:tr>
        <w:tc>
          <w:tcPr>
            <w:tcW w:type="dxa" w:w="1450"/>
            <w:vAlign w:val="center"/>
            <w:tcMar>
              <w:top w:w="80" w:type="dxa"/>
              <w:bottom w:w="80" w:type="dxa"/>
              <w:start w:w="120" w:type="dxa"/>
              <w:end w:w="120" w:type="dxa"/>
            </w:tcMar>
          </w:tcPr>
          <w:p>
            <w:pPr>
              <w:spacing w:after="0"/>
            </w:pPr>
            <w:r>
              <w:rPr>
                <w:rFonts w:ascii="Calibri" w:hAnsi="Calibri"/>
                <w:color w:val="1F2937"/>
                <w:sz w:val="18"/>
              </w:rPr>
              <w:t>Why</w:t>
            </w:r>
          </w:p>
        </w:tc>
        <w:tc>
          <w:tcPr>
            <w:tcW w:type="dxa" w:w="7910"/>
            <w:vAlign w:val="center"/>
            <w:tcMar>
              <w:top w:w="80" w:type="dxa"/>
              <w:bottom w:w="80" w:type="dxa"/>
              <w:start w:w="120" w:type="dxa"/>
              <w:end w:w="120" w:type="dxa"/>
            </w:tcMar>
          </w:tcPr>
          <w:p>
            <w:pPr>
              <w:spacing w:after="0"/>
            </w:pPr>
            <w:r>
              <w:rPr>
                <w:rFonts w:ascii="Calibri" w:hAnsi="Calibri"/>
                <w:color w:val="1F2937"/>
                <w:sz w:val="18"/>
              </w:rPr>
              <w:t>The analytic grouped multiple types of nonzero authentication results under a broad failed-login threshold.</w:t>
            </w:r>
          </w:p>
        </w:tc>
      </w:tr>
      <w:tr>
        <w:tc>
          <w:tcPr>
            <w:tcW w:type="dxa" w:w="1450"/>
            <w:vAlign w:val="center"/>
            <w:tcMar>
              <w:top w:w="80" w:type="dxa"/>
              <w:bottom w:w="80" w:type="dxa"/>
              <w:start w:w="120" w:type="dxa"/>
              <w:end w:w="120" w:type="dxa"/>
            </w:tcMar>
          </w:tcPr>
          <w:p>
            <w:pPr>
              <w:spacing w:after="0"/>
            </w:pPr>
            <w:r>
              <w:rPr>
                <w:rFonts w:ascii="Calibri" w:hAnsi="Calibri"/>
                <w:color w:val="1F2937"/>
                <w:sz w:val="18"/>
              </w:rPr>
              <w:t>How</w:t>
            </w:r>
          </w:p>
        </w:tc>
        <w:tc>
          <w:tcPr>
            <w:tcW w:type="dxa" w:w="7910"/>
            <w:vAlign w:val="center"/>
            <w:tcMar>
              <w:top w:w="80" w:type="dxa"/>
              <w:bottom w:w="80" w:type="dxa"/>
              <w:start w:w="120" w:type="dxa"/>
              <w:end w:w="120" w:type="dxa"/>
            </w:tcMar>
          </w:tcPr>
          <w:p>
            <w:pPr>
              <w:spacing w:after="0"/>
            </w:pPr>
            <w:r>
              <w:rPr>
                <w:rFonts w:ascii="Calibri" w:hAnsi="Calibri"/>
                <w:color w:val="1F2937"/>
                <w:sz w:val="18"/>
              </w:rPr>
              <w:t>Browser and MFA authentication across expected Microsoft and SOC applications.</w:t>
            </w:r>
          </w:p>
        </w:tc>
      </w:tr>
    </w:tbl>
    <w:p>
      <w:pPr>
        <w:spacing w:after="0"/>
      </w:pPr>
    </w:p>
    <w:p>
      <w:pPr>
        <w:pStyle w:val="Heading1"/>
      </w:pPr>
      <w:r>
        <w:t>8. Verdict and Recommended Resolution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F3ED"/>
          </w:tcPr>
          <w:p>
            <w:pPr>
              <w:spacing w:after="40"/>
            </w:pPr>
            <w:r>
              <w:rPr>
                <w:rFonts w:ascii="Calibri" w:hAnsi="Calibri"/>
                <w:b/>
                <w:color w:val="1F6D4A"/>
                <w:sz w:val="20"/>
              </w:rPr>
              <w:t xml:space="preserve">Resolution code: Benign  </w:t>
            </w:r>
            <w:r>
              <w:rPr>
                <w:rFonts w:ascii="Calibri" w:hAnsi="Calibri"/>
                <w:color w:val="1F2937"/>
                <w:sz w:val="20"/>
              </w:rPr>
              <w:t>The alert detected real authentication events, but the evidence is consistent with legitimate MFA and session-establishment activity—not brute force or credential compromise.</w:t>
            </w:r>
          </w:p>
        </w:tc>
      </w:tr>
    </w:tbl>
    <w:p>
      <w:pPr>
        <w:spacing w:after="0"/>
      </w:pPr>
    </w:p>
    <w:p>
      <w:r>
        <w:t>The conclusion is based on observable telemetry rather than personal knowledge of the user. One consistent source, expected applications, a coherent MFA/session timeline, numerous successful authentications, and the absence of follow-on malicious behavior collectively support the benign disposition. The lack of older account history is documented as a limitation rather than ignored.</w:t>
      </w:r>
    </w:p>
    <w:p>
      <w:pPr>
        <w:pStyle w:val="Heading1"/>
      </w:pPr>
      <w:r>
        <w:t>9. Recommendations</w:t>
      </w:r>
    </w:p>
    <w:p>
      <w:pPr>
        <w:pStyle w:val="ListBullet"/>
        <w:spacing w:after="80"/>
        <w:ind w:left="360" w:hanging="259"/>
      </w:pPr>
      <w:r>
        <w:t>No containment: do not reset credentials, isolate devices, or block the observed IP without additional malicious evidence.</w:t>
      </w:r>
    </w:p>
    <w:p>
      <w:pPr>
        <w:pStyle w:val="ListBullet"/>
        <w:spacing w:after="80"/>
        <w:ind w:left="360" w:hanging="259"/>
      </w:pPr>
      <w:r>
        <w:t>Tune the analytic: distinguish incorrect-password results from MFA-required, invalid-session, KMSI interruption, and incomplete-authentication events.</w:t>
      </w:r>
    </w:p>
    <w:p>
      <w:pPr>
        <w:pStyle w:val="ListBullet"/>
        <w:spacing w:after="80"/>
        <w:ind w:left="360" w:hanging="259"/>
      </w:pPr>
      <w:r>
        <w:t>Improve correlation: require tighter sequencing between failures and a later success, and consider source IP, device, application, and correlation ID.</w:t>
      </w:r>
    </w:p>
    <w:p>
      <w:pPr>
        <w:pStyle w:val="ListBullet"/>
        <w:spacing w:after="80"/>
        <w:ind w:left="360" w:hanging="259"/>
      </w:pPr>
      <w:r>
        <w:t>Retain analyst review: keep AI triage as an aid, but require verification against raw logs before disposition.</w:t>
      </w:r>
    </w:p>
    <w:p>
      <w:pPr>
        <w:pStyle w:val="ListBullet"/>
        <w:spacing w:after="80"/>
        <w:ind w:left="360" w:hanging="259"/>
      </w:pPr>
      <w:r>
        <w:t>Document limitations: note when device identity is missing or historical baseline data is unavailable.</w:t>
      </w:r>
    </w:p>
    <w:p>
      <w:pPr>
        <w:pStyle w:val="Heading1"/>
      </w:pPr>
      <w:r>
        <w:t>10. Skills Demonstrated</w:t>
      </w:r>
    </w:p>
    <w:p>
      <w:pPr>
        <w:pStyle w:val="ListBullet"/>
        <w:spacing w:after="80"/>
        <w:ind w:left="360" w:hanging="259"/>
      </w:pPr>
      <w:r>
        <w:t>Microsoft Sentinel and Defender XDR alert navigation</w:t>
      </w:r>
    </w:p>
    <w:p>
      <w:pPr>
        <w:pStyle w:val="ListBullet"/>
        <w:spacing w:after="80"/>
        <w:ind w:left="360" w:hanging="259"/>
      </w:pPr>
      <w:r>
        <w:t>KQL filtering, projection, summarization, joins, and baseline analysis</w:t>
      </w:r>
    </w:p>
    <w:p>
      <w:pPr>
        <w:pStyle w:val="ListBullet"/>
        <w:spacing w:after="80"/>
        <w:ind w:left="360" w:hanging="259"/>
      </w:pPr>
      <w:r>
        <w:t>Microsoft Entra sign-in result interpretation</w:t>
      </w:r>
    </w:p>
    <w:p>
      <w:pPr>
        <w:pStyle w:val="ListBullet"/>
        <w:spacing w:after="80"/>
        <w:ind w:left="360" w:hanging="259"/>
      </w:pPr>
      <w:r>
        <w:t>UTC timeline construction and 5W reporting</w:t>
      </w:r>
    </w:p>
    <w:p>
      <w:pPr>
        <w:pStyle w:val="ListBullet"/>
        <w:spacing w:after="80"/>
        <w:ind w:left="360" w:hanging="259"/>
      </w:pPr>
      <w:r>
        <w:t>Identity alert triage and benign-versus-false-positive reasoning</w:t>
      </w:r>
    </w:p>
    <w:p>
      <w:pPr>
        <w:pStyle w:val="ListBullet"/>
        <w:spacing w:after="80"/>
        <w:ind w:left="360" w:hanging="259"/>
      </w:pPr>
      <w:r>
        <w:t>AI output validation and evidence-based correction</w:t>
      </w:r>
    </w:p>
    <w:p>
      <w:pPr>
        <w:pStyle w:val="ListBullet"/>
        <w:spacing w:after="80"/>
        <w:ind w:left="360" w:hanging="259"/>
      </w:pPr>
      <w:r>
        <w:t>MITRE ATT&amp;CK mapping review and detection-engineering feedback</w:t>
      </w:r>
    </w:p>
    <w:p>
      <w:r>
        <w:br w:type="page"/>
      </w:r>
    </w:p>
    <w:p>
      <w:pPr>
        <w:pStyle w:val="Heading1"/>
      </w:pPr>
      <w:r>
        <w:t>Appendix A — Reusable KQL Queries</w:t>
      </w:r>
    </w:p>
    <w:p>
      <w:pPr>
        <w:pStyle w:val="Heading2"/>
      </w:pPr>
      <w:r>
        <w:t>A.1 Focused non-success authentication events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3F4F6"/>
          </w:tcPr>
          <w:p>
            <w:pPr>
              <w:spacing w:after="0"/>
            </w:pPr>
            <w:r>
              <w:rPr>
                <w:rFonts w:ascii="Consolas" w:hAnsi="Consolas"/>
                <w:color w:val="243447"/>
                <w:sz w:val="16"/>
              </w:rPr>
              <w:t>let StartTime = datetime(2026-08-10 20:43:40Z);</w:t>
            </w:r>
            <w:r>
              <w:br/>
            </w:r>
            <w:r>
              <w:rPr>
                <w:rFonts w:ascii="Consolas" w:hAnsi="Consolas"/>
                <w:color w:val="243447"/>
                <w:sz w:val="16"/>
              </w:rPr>
              <w:t>let EndTime = datetime(2026-08-11 01:43:41Z);</w:t>
            </w:r>
            <w:r>
              <w:br/>
            </w:r>
            <w:r>
              <w:rPr>
                <w:rFonts w:ascii="Consolas" w:hAnsi="Consolas"/>
                <w:color w:val="243447"/>
                <w:sz w:val="16"/>
              </w:rPr>
              <w:t>SigninLogs</w:t>
            </w:r>
            <w:r>
              <w:br/>
            </w:r>
            <w:r>
              <w:rPr>
                <w:rFonts w:ascii="Consolas" w:hAnsi="Consolas"/>
                <w:color w:val="243447"/>
                <w:sz w:val="16"/>
              </w:rPr>
              <w:t>| where TimeGenerated between (StartTime .. EndTime)</w:t>
            </w:r>
            <w:r>
              <w:br/>
            </w:r>
            <w:r>
              <w:rPr>
                <w:rFonts w:ascii="Consolas" w:hAnsi="Consolas"/>
                <w:color w:val="243447"/>
                <w:sz w:val="16"/>
              </w:rPr>
              <w:t>| where UserPrincipalName =~ "[SANITIZED_ACCOUNT]"</w:t>
            </w:r>
            <w:r>
              <w:br/>
            </w:r>
            <w:r>
              <w:rPr>
                <w:rFonts w:ascii="Consolas" w:hAnsi="Consolas"/>
                <w:color w:val="243447"/>
                <w:sz w:val="16"/>
              </w:rPr>
              <w:t>| where ResultType != 0</w:t>
            </w:r>
            <w:r>
              <w:br/>
            </w:r>
            <w:r>
              <w:rPr>
                <w:rFonts w:ascii="Consolas" w:hAnsi="Consolas"/>
                <w:color w:val="243447"/>
                <w:sz w:val="16"/>
              </w:rPr>
              <w:t>| where IPAddress != "[RULE_EXCLUDED_IP]"</w:t>
            </w:r>
            <w:r>
              <w:br/>
            </w:r>
            <w:r>
              <w:rPr>
                <w:rFonts w:ascii="Consolas" w:hAnsi="Consolas"/>
                <w:color w:val="243447"/>
                <w:sz w:val="16"/>
              </w:rPr>
              <w:t>| where ResultDescription !contains "Keep me signed in"</w:t>
            </w:r>
            <w:r>
              <w:br/>
            </w:r>
            <w:r>
              <w:rPr>
                <w:rFonts w:ascii="Consolas" w:hAnsi="Consolas"/>
                <w:color w:val="243447"/>
                <w:sz w:val="16"/>
              </w:rPr>
              <w:t>| project TimeGenerated, ResultType, ResultDescription, IPAddress,</w:t>
            </w:r>
            <w:r>
              <w:br/>
            </w:r>
            <w:r>
              <w:rPr>
                <w:rFonts w:ascii="Consolas" w:hAnsi="Consolas"/>
                <w:color w:val="243447"/>
                <w:sz w:val="16"/>
              </w:rPr>
              <w:t xml:space="preserve">          Location, AppDisplayName, ClientAppUsed, DeviceDetail, CorrelationId</w:t>
            </w:r>
            <w:r>
              <w:br/>
            </w:r>
            <w:r>
              <w:rPr>
                <w:rFonts w:ascii="Consolas" w:hAnsi="Consolas"/>
                <w:color w:val="243447"/>
                <w:sz w:val="16"/>
              </w:rPr>
              <w:t>| order by TimeGenerated asc</w:t>
            </w:r>
          </w:p>
        </w:tc>
      </w:tr>
    </w:tbl>
    <w:p>
      <w:pPr>
        <w:spacing w:after="0"/>
      </w:pPr>
    </w:p>
    <w:p>
      <w:pPr>
        <w:pStyle w:val="Heading2"/>
      </w:pPr>
      <w:r>
        <w:t>A.2 Seven-day source and device baseline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3F4F6"/>
          </w:tcPr>
          <w:p>
            <w:pPr>
              <w:spacing w:after="0"/>
            </w:pPr>
            <w:r>
              <w:rPr>
                <w:rFonts w:ascii="Consolas" w:hAnsi="Consolas"/>
                <w:color w:val="243447"/>
                <w:sz w:val="16"/>
              </w:rPr>
              <w:t>SigninLogs</w:t>
            </w:r>
            <w:r>
              <w:br/>
            </w:r>
            <w:r>
              <w:rPr>
                <w:rFonts w:ascii="Consolas" w:hAnsi="Consolas"/>
                <w:color w:val="243447"/>
                <w:sz w:val="16"/>
              </w:rPr>
              <w:t>| where TimeGenerated between (datetime(2026-08-04) .. datetime(2026-08-11 01:48:59Z))</w:t>
            </w:r>
            <w:r>
              <w:br/>
            </w:r>
            <w:r>
              <w:rPr>
                <w:rFonts w:ascii="Consolas" w:hAnsi="Consolas"/>
                <w:color w:val="243447"/>
                <w:sz w:val="16"/>
              </w:rPr>
              <w:t>| where UserPrincipalName =~ "[SANITIZED_ACCOUNT]"</w:t>
            </w:r>
            <w:r>
              <w:br/>
            </w:r>
            <w:r>
              <w:rPr>
                <w:rFonts w:ascii="Consolas" w:hAnsi="Consolas"/>
                <w:color w:val="243447"/>
                <w:sz w:val="16"/>
              </w:rPr>
              <w:t>| extend OperatingSystem = tostring(DeviceDetail.operatingSystem),</w:t>
            </w:r>
            <w:r>
              <w:br/>
            </w:r>
            <w:r>
              <w:rPr>
                <w:rFonts w:ascii="Consolas" w:hAnsi="Consolas"/>
                <w:color w:val="243447"/>
                <w:sz w:val="16"/>
              </w:rPr>
              <w:t xml:space="preserve">         Browser = tostring(DeviceDetail.browser)</w:t>
            </w:r>
            <w:r>
              <w:br/>
            </w:r>
            <w:r>
              <w:rPr>
                <w:rFonts w:ascii="Consolas" w:hAnsi="Consolas"/>
                <w:color w:val="243447"/>
                <w:sz w:val="16"/>
              </w:rPr>
              <w:t>| summarize TotalEvents=count(),</w:t>
            </w:r>
            <w:r>
              <w:br/>
            </w:r>
            <w:r>
              <w:rPr>
                <w:rFonts w:ascii="Consolas" w:hAnsi="Consolas"/>
                <w:color w:val="243447"/>
                <w:sz w:val="16"/>
              </w:rPr>
              <w:t xml:space="preserve">            SuccessfulEvents=countif(ResultType == "0"),</w:t>
            </w:r>
            <w:r>
              <w:br/>
            </w:r>
            <w:r>
              <w:rPr>
                <w:rFonts w:ascii="Consolas" w:hAnsi="Consolas"/>
                <w:color w:val="243447"/>
                <w:sz w:val="16"/>
              </w:rPr>
              <w:t xml:space="preserve">            NonSuccessEvents=countif(ResultType != "0"),</w:t>
            </w:r>
            <w:r>
              <w:br/>
            </w:r>
            <w:r>
              <w:rPr>
                <w:rFonts w:ascii="Consolas" w:hAnsi="Consolas"/>
                <w:color w:val="243447"/>
                <w:sz w:val="16"/>
              </w:rPr>
              <w:t xml:space="preserve">            FirstSeen=min(TimeGenerated), LastSeen=max(TimeGenerated),</w:t>
            </w:r>
            <w:r>
              <w:br/>
            </w:r>
            <w:r>
              <w:rPr>
                <w:rFonts w:ascii="Consolas" w:hAnsi="Consolas"/>
                <w:color w:val="243447"/>
                <w:sz w:val="16"/>
              </w:rPr>
              <w:t xml:space="preserve">            Applications=make_set(AppDisplayName)</w:t>
            </w:r>
            <w:r>
              <w:br/>
            </w:r>
            <w:r>
              <w:rPr>
                <w:rFonts w:ascii="Consolas" w:hAnsi="Consolas"/>
                <w:color w:val="243447"/>
                <w:sz w:val="16"/>
              </w:rPr>
              <w:t xml:space="preserve">  by IPAddress, Location, OperatingSystem, Browser</w:t>
            </w:r>
            <w:r>
              <w:br/>
            </w:r>
            <w:r>
              <w:rPr>
                <w:rFonts w:ascii="Consolas" w:hAnsi="Consolas"/>
                <w:color w:val="243447"/>
                <w:sz w:val="16"/>
              </w:rPr>
              <w:t>| order by LastSeen desc</w:t>
            </w:r>
          </w:p>
        </w:tc>
      </w:tr>
    </w:tbl>
    <w:p>
      <w:pPr>
        <w:spacing w:after="0"/>
      </w:pPr>
    </w:p>
    <w:p>
      <w:pPr>
        <w:pStyle w:val="Heading1"/>
      </w:pPr>
      <w:r>
        <w:t>Appendix B — Detection Engineering Note</w:t>
      </w:r>
    </w:p>
    <w:p>
      <w:r>
        <w:t>The original rule’s broad ResultType != 0 condition is useful for discovery but weak as a brute-force definition. It includes authentication states that are not equivalent to an incorrect password. A stronger analytic should explicitly identify the result codes that represent credential failure, enforce temporal ordering, compare failure and success sources, and suppress known authentication-flow interruptions. This reduces analyst workload while preserving visibility into genuine account compromise patterns.</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A75"/>
        <w:sz w:val="16"/>
      </w:rPr>
      <w:t>Rona Playda  •  Training environment  •  Sanitized portfolio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A75"/>
        <w:sz w:val="16"/>
      </w:rPr>
      <w:t>SOC PORTFOLIO CASE STUDY  |  IDENTITY AUTHENTICATION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A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Identity Authentication Investigation Portfolio</dc:title>
  <dc:subject>Microsoft Sentinel / Defender XDR training case study</dc:subject>
  <dc:creator>Rona Playda</dc:creator>
  <cp:keywords>SOC, Microsoft Sentinel, Defender XDR, KQL, Entra ID, MFA, portfolio</cp:keywords>
  <dc:description>Sanitized portfolio report created from authorized training evidence.</dc:description>
  <cp:lastModifiedBy/>
  <cp:revision>1</cp:revision>
  <dcterms:created xsi:type="dcterms:W3CDTF">2013-12-23T23:15:00Z</dcterms:created>
  <dcterms:modified xsi:type="dcterms:W3CDTF">2013-12-23T23:15:00Z</dcterms:modified>
  <cp:category/>
</cp:coreProperties>
</file>