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Formato de evidencias y calificación — Taller 01: CLI de ROS 2</w:t>
      </w:r>
    </w:p>
    <w:p>
      <w:pPr>
        <w:ind w:left="259" w:right="259"/>
        <w:pBdr>
          <w:left w:val="single" w:sz="18" w:color="5B9BD5" w:space="8"/>
        </w:pBdr>
      </w:pPr>
      <w:r>
        <w:rPr>
          <w:i/>
          <w:color w:val="404040"/>
        </w:rPr>
        <w:t xml:space="preserve">Instrumento calificable asociado a </w:t>
      </w:r>
      <w:r>
        <w:rPr>
          <w:rFonts w:ascii="Aptos Mono" w:hAnsi="Aptos Mono" w:eastAsia="Aptos Mono"/>
          <w:i/>
          <w:color w:val="404040"/>
          <w:sz w:val="16"/>
        </w:rPr>
        <w:t>education/talleres/TALLER_ROS2_CLI.md</w:t>
      </w:r>
      <w:r>
        <w:rPr>
          <w:i/>
          <w:color w:val="404040"/>
        </w:rPr>
        <w:t>. El taller conserva las instrucciones de aprendizaje; este formato permite registrar la evidencia, marcar el nivel alcanzado en cada criterio y obtener una única nota consolidada.</w:t>
      </w:r>
    </w:p>
    <w:p>
      <w:pPr>
        <w:pStyle w:val="Heading1"/>
        <w:keepNext/>
      </w:pPr>
      <w:r>
        <w:t>1. Identificación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9"/>
          </w:tcPr>
          <w:p>
            <w:pPr>
              <w:spacing w:after="0" w:line="240" w:lineRule="auto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9"/>
          </w:tcPr>
          <w:p>
            <w:pPr>
              <w:spacing w:after="0" w:line="240" w:lineRule="auto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Registro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Arial" w:hAnsi="Arial"/>
                <w:b w:val="0"/>
                <w:sz w:val="16"/>
              </w:rPr>
              <w:t>Asignatura</w:t>
            </w:r>
          </w:p>
        </w:tc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Arial" w:hAnsi="Arial"/>
                <w:b w:val="0"/>
                <w:sz w:val="16"/>
              </w:rPr>
              <w:t>ROBOT OPERATING SYSTEM - ROS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2F2F2"/>
          </w:tcPr>
          <w:p>
            <w:pPr>
              <w:spacing w:after="0" w:line="240" w:lineRule="auto" w:before="0"/>
            </w:pPr>
            <w:r>
              <w:rPr>
                <w:rFonts w:ascii="Arial" w:hAnsi="Arial"/>
                <w:b w:val="0"/>
                <w:sz w:val="16"/>
              </w:rPr>
              <w:t>Corte / instrumento</w:t>
            </w:r>
          </w:p>
        </w:tc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2F2F2"/>
          </w:tcPr>
          <w:p>
            <w:pPr>
              <w:spacing w:after="0" w:line="240" w:lineRule="auto" w:before="0"/>
            </w:pPr>
            <w:r>
              <w:rPr>
                <w:rFonts w:ascii="Arial" w:hAnsi="Arial"/>
                <w:b w:val="0"/>
                <w:sz w:val="16"/>
              </w:rPr>
              <w:t>Primer corte / Talleres y tareas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Arial" w:hAnsi="Arial"/>
                <w:b w:val="0"/>
                <w:sz w:val="16"/>
              </w:rPr>
              <w:t>Actividad</w:t>
            </w:r>
          </w:p>
        </w:tc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Arial" w:hAnsi="Arial"/>
                <w:b w:val="0"/>
                <w:sz w:val="16"/>
              </w:rPr>
              <w:t>Taller 01 — CLI de ROS 2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2F2F2"/>
          </w:tcPr>
          <w:p>
            <w:pPr>
              <w:spacing w:after="0" w:line="240" w:lineRule="auto" w:before="0"/>
            </w:pPr>
            <w:r>
              <w:rPr>
                <w:rFonts w:ascii="Arial" w:hAnsi="Arial"/>
                <w:b w:val="0"/>
                <w:sz w:val="16"/>
              </w:rPr>
              <w:t>Nombre completo</w:t>
            </w:r>
          </w:p>
        </w:tc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2F2F2"/>
          </w:tcPr>
          <w:p>
            <w:pPr>
              <w:spacing w:after="0" w:line="240" w:lineRule="auto" w:before="0"/>
            </w:pPr>
          </w:p>
        </w:tc>
      </w:tr>
      <w:tr>
        <w:trPr>
          <w:cantSplit/>
        </w:trPr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Arial" w:hAnsi="Arial"/>
                <w:b w:val="0"/>
                <w:sz w:val="16"/>
              </w:rPr>
              <w:t>Código / grupo</w:t>
            </w:r>
          </w:p>
        </w:tc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 w:before="0"/>
            </w:pPr>
          </w:p>
        </w:tc>
      </w:tr>
      <w:tr>
        <w:trPr>
          <w:cantSplit/>
        </w:trPr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2F2F2"/>
          </w:tcPr>
          <w:p>
            <w:pPr>
              <w:spacing w:after="0" w:line="240" w:lineRule="auto" w:before="0"/>
            </w:pPr>
            <w:r>
              <w:rPr>
                <w:rFonts w:ascii="Arial" w:hAnsi="Arial"/>
                <w:b w:val="0"/>
                <w:sz w:val="16"/>
              </w:rPr>
              <w:t>Fecha de entrega</w:t>
            </w:r>
          </w:p>
        </w:tc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2F2F2"/>
          </w:tcPr>
          <w:p>
            <w:pPr>
              <w:spacing w:after="0" w:line="240" w:lineRule="auto" w:before="0"/>
            </w:pPr>
          </w:p>
        </w:tc>
      </w:tr>
      <w:tr>
        <w:trPr>
          <w:cantSplit/>
        </w:trPr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Arial" w:hAnsi="Arial"/>
                <w:b w:val="0"/>
                <w:sz w:val="16"/>
              </w:rPr>
              <w:t>Enlace o ubicación de la entrega</w:t>
            </w:r>
          </w:p>
        </w:tc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 w:before="0"/>
            </w:pPr>
          </w:p>
        </w:tc>
      </w:tr>
      <w:tr>
        <w:trPr>
          <w:cantSplit/>
        </w:trPr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2F2F2"/>
          </w:tcPr>
          <w:p>
            <w:pPr>
              <w:spacing w:after="0" w:line="240" w:lineRule="auto" w:before="0"/>
            </w:pPr>
            <w:r>
              <w:rPr>
                <w:rFonts w:ascii="Arial" w:hAnsi="Arial"/>
                <w:b w:val="0"/>
                <w:sz w:val="16"/>
              </w:rPr>
              <w:t>Commit evaluado, si aplica</w:t>
            </w:r>
          </w:p>
        </w:tc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2F2F2"/>
          </w:tcPr>
          <w:p>
            <w:pPr>
              <w:spacing w:after="0" w:line="240" w:lineRule="auto" w:before="0"/>
            </w:pPr>
          </w:p>
        </w:tc>
      </w:tr>
      <w:tr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Periodo</w:t>
            </w:r>
          </w:p>
        </w:tc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2026-2</w:t>
            </w:r>
          </w:p>
        </w:tc>
      </w:tr>
      <w:tr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Evaluador</w:t>
            </w:r>
          </w:p>
        </w:tc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Versión del instrumento</w:t>
            </w:r>
          </w:p>
        </w:tc>
        <w:tc>
          <w:tcPr>
            <w:tcW w:type="dxa" w:w="522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1.1</w:t>
            </w:r>
          </w:p>
        </w:tc>
      </w:tr>
      <w:tr>
        <w:tc>
          <w:tcPr>
            <w:tcW w:type="dxa" w:w="522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Unidad de análisis</w:t>
            </w:r>
          </w:p>
        </w:tc>
        <w:tc>
          <w:tcPr>
            <w:tcW w:type="dxa" w:w="522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Individual</w:t>
            </w:r>
          </w:p>
        </w:tc>
      </w:tr>
    </w:tbl>
    <w:p>
      <w:pPr>
        <w:pStyle w:val="Heading1"/>
        <w:keepNext/>
      </w:pPr>
      <w:r>
        <w:t>2. Uso del formato</w:t>
      </w:r>
    </w:p>
    <w:p>
      <w:pPr>
        <w:pStyle w:val="ListNumber"/>
        <w:spacing w:after="20"/>
      </w:pPr>
      <w:r>
        <w:t>La persona participante registra las evidencias E1–E9.</w:t>
      </w:r>
    </w:p>
    <w:p>
      <w:pPr>
        <w:pStyle w:val="ListNumber"/>
        <w:spacing w:after="20"/>
      </w:pPr>
      <w:r>
        <w:rPr>
          <w:rFonts w:ascii="Arial" w:hAnsi="Arial"/>
          <w:sz w:val="18"/>
        </w:rPr>
        <w:t>Quien evalúa marca una sola banda de desempeño por criterio y registra un valor de 0 a 500 dentro del intervalo correspondiente. N3, N4 y N5 muestran progresión de dominio; N1 y N2 son bandas alternativas.</w:t>
      </w:r>
    </w:p>
    <w:p>
      <w:pPr>
        <w:pStyle w:val="ListNumber"/>
        <w:spacing w:after="20"/>
      </w:pPr>
      <w:r>
        <w:rPr>
          <w:rFonts w:ascii="Arial" w:hAnsi="Arial"/>
          <w:sz w:val="18"/>
        </w:rPr>
        <w:t>Si falta evidencia obligatoria se marca N1 y se registra 0. Zubatronic calcula el aporte ponderado; en una copia manual se usa aporte = valor × peso / 100.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Nivel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Intervalo Zubatronic / valor guía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Interpretación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N5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475–500 / guía 500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Excelente: desempeño completo, preciso, robusto y reproducible.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N4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400–474 / guía 450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Bueno: desempeño correcto con omisiones menores.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N3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300–399 / guía 350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Aceptable: logra el funcionamiento esencial y presenta evidencia verificable. Umbral de logro.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N2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150–299 / guía 250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Cumplimiento parcial: evidencia incompleta o errores importantes.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N1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0–149 / guía 100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 cumple: evidencia mínima, fragmentaria o no funcional. Sin evidencia obligatoria se registra 0.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color w:val="1F4E79"/>
        </w:rPr>
        <w:t>2.1. Parámetros de assessment — versión 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Parámetro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Regla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Población y muestreo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Censo de estudiantes matriculados con entrega exigible; no se usa muestra.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Umbral individual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o superior en cada indicador evaluado.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Meta de cohorte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Al menos 70% de estudiantes evaluables alcanza N3 o superior por indicador.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Evidencia faltante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Entrega exigible sin evidencia: N1 con 0. Retiro/exclusión autorizada: NA.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Nombre de archivo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C1_T01_&lt;codigo&gt;_&lt;apellido&gt;_v1.docx</w:t>
            </w:r>
          </w:p>
        </w:tc>
      </w:tr>
    </w:tbl>
    <w:p>
      <w:pPr>
        <w:pStyle w:val="Heading2"/>
      </w:pPr>
      <w:r>
        <w:rPr>
          <w:rFonts w:ascii="Arial" w:hAnsi="Arial"/>
          <w:color w:val="1F4E79"/>
        </w:rPr>
        <w:t>2.2. Alineación de criterios para Zubatronic/SGDE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Peso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SO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Indicador principal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C1. Grafo ROS 2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SO2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2.1. Diseña soluciones de software para control y monitoreo de robots, integrando contratos de comunicación (QoS, interfaces customizadas) y redes DDS robustas.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C2. Tópicos y mensajes</w:t>
            </w:r>
          </w:p>
        </w:tc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SO2</w:t>
            </w:r>
          </w:p>
        </w:tc>
        <w:tc>
          <w:tcPr>
            <w:tcW w:type="dxa" w:w="51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2.1. Diseña soluciones de software para control y monitoreo de robots, integrando contratos de comunicación (QoS, interfaces customizadas) y redes DDS robustas.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C3. Servicios, parámetros y rqt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SO2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2.1. Diseña soluciones de software para control y monitoreo de robots, integrando contratos de comunicación (QoS, interfaces customizadas) y redes DDS robustas.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C4. Arquitectura burger_delivery</w:t>
            </w:r>
          </w:p>
        </w:tc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SO2</w:t>
            </w:r>
          </w:p>
        </w:tc>
        <w:tc>
          <w:tcPr>
            <w:tcW w:type="dxa" w:w="51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2.1. Diseña soluciones de software para control y monitoreo de robots, integrando contratos de comunicación (QoS, interfaces customizadas) y redes DDS robustas.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C5. Evidencia reproducible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15%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SO3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3.1. Elabora documentación técnica reproducible del sistema ROS 2, incluyendo diagramas de nodos, tópicos, servicios, acciones, frames TF y contratos de comunicación DDS.</w:t>
            </w:r>
          </w:p>
        </w:tc>
      </w:tr>
    </w:tbl>
    <w:p>
      <w:pPr>
        <w:pStyle w:val="Heading1"/>
        <w:keepNext/>
      </w:pPr>
      <w:r>
        <w:t>3. Registro mínimo de evidencias</w:t>
      </w:r>
    </w:p>
    <w:p>
      <w:r>
        <w:t>Las capturas deben ser legibles y mostrar el resultado obtenido, no solamente el comando escrito.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Evidencia requerida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Archivo, enlace, página o ubicación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E1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 Mono"/>
                <w:color w:val="9C0006"/>
                <w:sz w:val="15"/>
              </w:rPr>
              <w:t>ros2 node list</w:t>
            </w:r>
            <w:r>
              <w:rPr>
                <w:rFonts w:ascii="Aptos" w:hAnsi="Aptos"/>
                <w:sz w:val="15"/>
              </w:rPr>
              <w:t xml:space="preserve"> antes y después de detener </w:t>
            </w:r>
            <w:r>
              <w:rPr>
                <w:rFonts w:ascii="Aptos" w:hAnsi="Aptos" w:eastAsia="Aptos Mono"/>
                <w:color w:val="9C0006"/>
                <w:sz w:val="15"/>
              </w:rPr>
              <w:t>/teleop_turtle</w:t>
            </w:r>
            <w:r>
              <w:rPr>
                <w:rFonts w:ascii="Aptos" w:hAnsi="Aptos"/>
                <w:sz w:val="15"/>
              </w:rPr>
              <w:t xml:space="preserve">, y </w:t>
            </w:r>
            <w:r>
              <w:rPr>
                <w:rFonts w:ascii="Aptos" w:hAnsi="Aptos" w:eastAsia="Aptos Mono"/>
                <w:color w:val="9C0006"/>
                <w:sz w:val="15"/>
              </w:rPr>
              <w:t>ros2 node info /turtlesim</w:t>
            </w:r>
            <w:r>
              <w:rPr>
                <w:rFonts w:ascii="Aptos" w:hAnsi="Aptos"/>
                <w:sz w:val="15"/>
              </w:rPr>
              <w:t>.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E2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Publicación de </w:t>
            </w:r>
            <w:r>
              <w:rPr>
                <w:rFonts w:ascii="Aptos" w:hAnsi="Aptos" w:eastAsia="Aptos Mono"/>
                <w:color w:val="9C0006"/>
                <w:sz w:val="15"/>
              </w:rPr>
              <w:t>geometry_msgs/msg/Twist</w:t>
            </w:r>
            <w:r>
              <w:rPr>
                <w:rFonts w:ascii="Aptos" w:hAnsi="Aptos"/>
                <w:sz w:val="15"/>
              </w:rPr>
              <w:t xml:space="preserve">, </w:t>
            </w:r>
            <w:r>
              <w:rPr>
                <w:rFonts w:ascii="Aptos" w:hAnsi="Aptos" w:eastAsia="Aptos Mono"/>
                <w:color w:val="9C0006"/>
                <w:sz w:val="15"/>
              </w:rPr>
              <w:t>ros2 topic echo /turtle1/cmd_vel</w:t>
            </w:r>
            <w:r>
              <w:rPr>
                <w:rFonts w:ascii="Aptos" w:hAnsi="Aptos"/>
                <w:sz w:val="15"/>
              </w:rPr>
              <w:t xml:space="preserve"> y trazo de la inicial.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E3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Invocación de </w:t>
            </w:r>
            <w:r>
              <w:rPr>
                <w:rFonts w:ascii="Aptos" w:hAnsi="Aptos" w:eastAsia="Aptos Mono"/>
                <w:color w:val="9C0006"/>
                <w:sz w:val="15"/>
              </w:rPr>
              <w:t>/clear</w:t>
            </w:r>
            <w:r>
              <w:rPr>
                <w:rFonts w:ascii="Aptos" w:hAnsi="Aptos"/>
                <w:sz w:val="15"/>
              </w:rPr>
              <w:t xml:space="preserve"> y efecto observable en </w:t>
            </w:r>
            <w:r>
              <w:rPr>
                <w:rFonts w:ascii="Aptos" w:hAnsi="Aptos" w:eastAsia="Aptos Mono"/>
                <w:color w:val="9C0006"/>
                <w:sz w:val="15"/>
              </w:rPr>
              <w:t>turtlesim</w:t>
            </w:r>
            <w:r>
              <w:rPr>
                <w:rFonts w:ascii="Aptos" w:hAnsi="Aptos"/>
                <w:sz w:val="15"/>
              </w:rPr>
              <w:t>.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E4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Cambio de </w:t>
            </w:r>
            <w:r>
              <w:rPr>
                <w:rFonts w:ascii="Aptos" w:hAnsi="Aptos" w:eastAsia="Aptos Mono"/>
                <w:color w:val="9C0006"/>
                <w:sz w:val="15"/>
              </w:rPr>
              <w:t>background_r</w:t>
            </w:r>
            <w:r>
              <w:rPr>
                <w:rFonts w:ascii="Aptos" w:hAnsi="Aptos"/>
                <w:sz w:val="15"/>
              </w:rPr>
              <w:t>, con valor aplicado y efecto observable.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E5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Invocación de </w:t>
            </w:r>
            <w:r>
              <w:rPr>
                <w:rFonts w:ascii="Aptos" w:hAnsi="Aptos" w:eastAsia="Aptos Mono"/>
                <w:color w:val="9C0006"/>
                <w:sz w:val="15"/>
              </w:rPr>
              <w:t>/turtle1/set_pen</w:t>
            </w:r>
            <w:r>
              <w:rPr>
                <w:rFonts w:ascii="Aptos" w:hAnsi="Aptos"/>
                <w:sz w:val="15"/>
              </w:rPr>
              <w:t xml:space="preserve"> desde rqt, con color y ancho 5.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E6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Captura con </w:t>
            </w:r>
            <w:r>
              <w:rPr>
                <w:rFonts w:ascii="Aptos" w:hAnsi="Aptos" w:eastAsia="Aptos Mono"/>
                <w:color w:val="9C0006"/>
                <w:sz w:val="15"/>
              </w:rPr>
              <w:t>turtlesim</w:t>
            </w:r>
            <w:r>
              <w:rPr>
                <w:rFonts w:ascii="Aptos" w:hAnsi="Aptos"/>
                <w:sz w:val="15"/>
              </w:rPr>
              <w:t xml:space="preserve">, rqt Node Graph y </w:t>
            </w:r>
            <w:r>
              <w:rPr>
                <w:rFonts w:ascii="Aptos" w:hAnsi="Aptos" w:eastAsia="Aptos Mono"/>
                <w:color w:val="9C0006"/>
                <w:sz w:val="15"/>
              </w:rPr>
              <w:t>topic echo</w:t>
            </w:r>
            <w:r>
              <w:rPr>
                <w:rFonts w:ascii="Aptos" w:hAnsi="Aptos"/>
                <w:sz w:val="15"/>
              </w:rPr>
              <w:t xml:space="preserve"> activos.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E7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Diferencia entre tópico y servicio: flujo, asincronía y confirmación.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E8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Dos tópicos y dos servicios viables para </w:t>
            </w:r>
            <w:r>
              <w:rPr>
                <w:rFonts w:ascii="Aptos" w:hAnsi="Aptos" w:eastAsia="Aptos Mono"/>
                <w:color w:val="9C0006"/>
                <w:sz w:val="15"/>
              </w:rPr>
              <w:t>burger_delivery</w:t>
            </w:r>
            <w:r>
              <w:rPr>
                <w:rFonts w:ascii="Aptos" w:hAnsi="Aptos"/>
                <w:sz w:val="15"/>
              </w:rPr>
              <w:t>, con productor/consumidor o servidor/cliente.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E9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Diagnóstico real: síntoma, causa, corrección y verificación.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</w:p>
        </w:tc>
      </w:tr>
    </w:tbl>
    <w:p>
      <w:r>
        <w:t>Ubicación del registro reproducible de comandos: ________________________________________________</w:t>
      </w:r>
    </w:p>
    <w:p>
      <w:pPr>
        <w:pStyle w:val="Heading1"/>
        <w:keepNext/>
      </w:pPr>
      <w:r>
        <w:t>4. Respuestas breves de la persona participante</w:t>
      </w:r>
    </w:p>
    <w:p>
      <w:pPr>
        <w:pStyle w:val="Heading2"/>
        <w:keepNext/>
      </w:pPr>
      <w:r>
        <w:t>E7. Tópico frente a servicio</w:t>
      </w:r>
    </w:p>
    <w:p>
      <w:r>
        <w:t>Explique la diferencia en máximo cinco líneas: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  <w:keepNext/>
      </w:pPr>
      <w:r>
        <w:t xml:space="preserve">E8. Aplicación a </w:t>
      </w:r>
      <w:r>
        <w:rPr>
          <w:rFonts w:ascii="Aptos Mono" w:hAnsi="Aptos Mono" w:eastAsia="Aptos Mono"/>
          <w:color w:val="9C0006"/>
          <w:sz w:val="16"/>
        </w:rPr>
        <w:t>burger_delivery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Interfaz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Nombre propuesto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Productor/servidor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Consumidor/cliente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Justificación breve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Tópico 1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Tópico 2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Servicio 1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Servicio 2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</w:p>
        </w:tc>
      </w:tr>
    </w:tbl>
    <w:p>
      <w:pPr>
        <w:pStyle w:val="Heading2"/>
        <w:keepNext/>
      </w:pPr>
      <w:r>
        <w:t>E9. Diagnóstico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6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Síntoma</w:t>
            </w:r>
          </w:p>
        </w:tc>
        <w:tc>
          <w:tcPr>
            <w:tcW w:type="dxa" w:w="26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Causa encontrada</w:t>
            </w:r>
          </w:p>
        </w:tc>
        <w:tc>
          <w:tcPr>
            <w:tcW w:type="dxa" w:w="26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Corrección aplicada</w:t>
            </w:r>
          </w:p>
        </w:tc>
        <w:tc>
          <w:tcPr>
            <w:tcW w:type="dxa" w:w="26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Verificación posterior</w:t>
            </w:r>
          </w:p>
        </w:tc>
      </w:tr>
      <w:tr>
        <w:trPr>
          <w:cantSplit/>
        </w:trPr>
        <w:tc>
          <w:tcPr>
            <w:tcW w:type="dxa" w:w="26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6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6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6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pStyle w:val="Heading1"/>
        <w:keepNext/>
      </w:pPr>
      <w:r>
        <w:t>5. Selección del nivel alcanzado</w:t>
      </w:r>
    </w:p>
    <w:p>
      <w:pPr/>
      <w:r>
        <w:rPr>
          <w:rFonts w:ascii="Arial" w:hAnsi="Arial"/>
          <w:sz w:val="18"/>
        </w:rPr>
        <w:t>Marque con una X una sola banda y escriba el valor exacto para Zubatronic. Si no existe evidencia obligatoria verificable, marque N1 y registre 0.</w:t>
      </w:r>
    </w:p>
    <w:p>
      <w:pPr>
        <w:pStyle w:val="Heading2"/>
        <w:keepNext/>
      </w:pPr>
      <w:r>
        <w:rPr>
          <w:rFonts w:ascii="Arial" w:hAnsi="Arial"/>
          <w:sz w:val="18"/>
        </w:rPr>
        <w:t>C1. Ejecución e introspección del grafo ROS 2 — peso 25% — indicador 2.1 / SO2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92"/>
        <w:gridCol w:w="1440"/>
        <w:gridCol w:w="8208"/>
      </w:tblGrid>
      <w:tr>
        <w:trPr>
          <w:tblHeader w:val="true"/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Evidencia observable del nivel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N5 — 475–500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Además de N4, explica con precisión productores, consumidores y cambios del grafo; la ejecución es reproducible.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N4 — 400–474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Además de N3, identifica correctamente tipos, relaciones y cambios del grafo, con omisiones menores.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N3 — 300–399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Ejecuta el entorno e identifica nodos e interfaces principales mediante comandos de introspección.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N2 — 150–299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Logra una ejecución parcial; faltan salidas o confunde algunas responsabilidades del grafo.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N1 — 0–149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Presenta evidencia fragmentaria, no funcional o sin interpretación; incluye ausencia de evidencia obligatoria.</w:t>
            </w:r>
          </w:p>
        </w:tc>
      </w:tr>
    </w:tbl>
    <w:p>
      <w:pPr/>
      <w:r>
        <w:rPr>
          <w:rFonts w:ascii="Arial" w:hAnsi="Arial"/>
          <w:sz w:val="18"/>
        </w:rPr>
        <w:t>Nivel C1 marcado: ________    Valor Zubatronic (0–500): ________</w:t>
      </w:r>
    </w:p>
    <w:p>
      <w:pPr>
        <w:pStyle w:val="Heading2"/>
        <w:keepNext/>
      </w:pPr>
      <w:r>
        <w:rPr>
          <w:rFonts w:ascii="Arial" w:hAnsi="Arial"/>
          <w:sz w:val="18"/>
        </w:rPr>
        <w:t>C2. Operación e interpretación de tópicos y mensajes — peso 20% — indicador 2.1 / SO2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92"/>
        <w:gridCol w:w="1440"/>
        <w:gridCol w:w="8208"/>
      </w:tblGrid>
      <w:tr>
        <w:trPr>
          <w:tblHeader w:val="true"/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Evidencia observable del nivel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N5 — 475–500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Además de N4, interpreta campos, unidades y efecto de </w:t>
            </w:r>
            <w:r>
              <w:rPr>
                <w:rFonts w:ascii="Aptos" w:hAnsi="Aptos" w:eastAsia="Aptos Mono"/>
                <w:color w:val="9C0006"/>
                <w:sz w:val="15"/>
              </w:rPr>
              <w:t>linear.x</w:t>
            </w:r>
            <w:r>
              <w:rPr>
                <w:rFonts w:ascii="Aptos" w:hAnsi="Aptos"/>
                <w:sz w:val="15"/>
              </w:rPr>
              <w:t xml:space="preserve"> y </w:t>
            </w:r>
            <w:r>
              <w:rPr>
                <w:rFonts w:ascii="Aptos" w:hAnsi="Aptos" w:eastAsia="Aptos Mono"/>
                <w:color w:val="9C0006"/>
                <w:sz w:val="15"/>
              </w:rPr>
              <w:t>angular.z</w:t>
            </w:r>
            <w:r>
              <w:rPr>
                <w:rFonts w:ascii="Aptos" w:hAnsi="Aptos"/>
                <w:sz w:val="15"/>
              </w:rPr>
              <w:t xml:space="preserve"> con precisión.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N4 — 400–474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Además de N3, inspecciona el tópico y explica correctamente el flujo publicador/suscriptor.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N3 — 300–399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Publica un </w:t>
            </w:r>
            <w:r>
              <w:rPr>
                <w:rFonts w:ascii="Aptos" w:hAnsi="Aptos" w:eastAsia="Aptos Mono"/>
                <w:color w:val="9C0006"/>
                <w:sz w:val="15"/>
              </w:rPr>
              <w:t>Twist</w:t>
            </w:r>
            <w:r>
              <w:rPr>
                <w:rFonts w:ascii="Aptos" w:hAnsi="Aptos"/>
                <w:sz w:val="15"/>
              </w:rPr>
              <w:t xml:space="preserve">, produce el trazo solicitado y obtiene </w:t>
            </w:r>
            <w:r>
              <w:rPr>
                <w:rFonts w:ascii="Aptos" w:hAnsi="Aptos" w:eastAsia="Aptos Mono"/>
                <w:color w:val="9C0006"/>
                <w:sz w:val="15"/>
              </w:rPr>
              <w:t>topic echo</w:t>
            </w:r>
            <w:r>
              <w:rPr>
                <w:rFonts w:ascii="Aptos" w:hAnsi="Aptos"/>
                <w:sz w:val="15"/>
              </w:rPr>
              <w:t>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N2 — 150–299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Obtiene movimiento o datos parciales, pero mantiene errores de YAML o de interpretación.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N1 — 0–149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Presenta intentos sin una publicación funcional verificable o no presenta la evidencia obligatoria.</w:t>
            </w:r>
          </w:p>
        </w:tc>
      </w:tr>
    </w:tbl>
    <w:p>
      <w:pPr/>
      <w:r>
        <w:rPr>
          <w:rFonts w:ascii="Arial" w:hAnsi="Arial"/>
          <w:sz w:val="18"/>
        </w:rPr>
        <w:t>Nivel C2 marcado: ________    Valor Zubatronic (0–500): ________</w:t>
      </w:r>
    </w:p>
    <w:p>
      <w:r>
        <w:br w:type="page"/>
      </w:r>
    </w:p>
    <w:p>
      <w:pPr>
        <w:pStyle w:val="Heading2"/>
        <w:keepNext/>
      </w:pPr>
      <w:r>
        <w:rPr>
          <w:rFonts w:ascii="Arial" w:hAnsi="Arial"/>
          <w:sz w:val="18"/>
        </w:rPr>
        <w:t>C3. Servicios, parámetros y rqt — peso 20% — indicador 2.1 / SO2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92"/>
        <w:gridCol w:w="1440"/>
        <w:gridCol w:w="8208"/>
      </w:tblGrid>
      <w:tr>
        <w:trPr>
          <w:tblHeader w:val="true"/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Evidencia observable del nivel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N5 — 475–500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Además de N4, distingue con precisión solicitud–respuesta, configuración y herramienta gráfica.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N4 — 400–474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Además de N3, identifica tipos y campos y explica el efecto de cada operación.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N3 — 300–399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Ejecuta correctamente </w:t>
            </w:r>
            <w:r>
              <w:rPr>
                <w:rFonts w:ascii="Aptos" w:hAnsi="Aptos" w:eastAsia="Aptos Mono"/>
                <w:color w:val="9C0006"/>
                <w:sz w:val="15"/>
              </w:rPr>
              <w:t>/clear</w:t>
            </w:r>
            <w:r>
              <w:rPr>
                <w:rFonts w:ascii="Aptos" w:hAnsi="Aptos"/>
                <w:sz w:val="15"/>
              </w:rPr>
              <w:t xml:space="preserve">, cambia </w:t>
            </w:r>
            <w:r>
              <w:rPr>
                <w:rFonts w:ascii="Aptos" w:hAnsi="Aptos" w:eastAsia="Aptos Mono"/>
                <w:color w:val="9C0006"/>
                <w:sz w:val="15"/>
              </w:rPr>
              <w:t>background_r</w:t>
            </w:r>
            <w:r>
              <w:rPr>
                <w:rFonts w:ascii="Aptos" w:hAnsi="Aptos"/>
                <w:sz w:val="15"/>
              </w:rPr>
              <w:t xml:space="preserve"> y usa rqt con </w:t>
            </w:r>
            <w:r>
              <w:rPr>
                <w:rFonts w:ascii="Aptos" w:hAnsi="Aptos" w:eastAsia="Aptos Mono"/>
                <w:color w:val="9C0006"/>
                <w:sz w:val="15"/>
              </w:rPr>
              <w:t>/turtle1/set_pen</w:t>
            </w:r>
            <w:r>
              <w:rPr>
                <w:rFonts w:ascii="Aptos" w:hAnsi="Aptos"/>
                <w:sz w:val="15"/>
              </w:rPr>
              <w:t>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N2 — 150–299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Completa solamente una o dos operaciones o conserva errores de sintaxis.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N1 — 0–149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Presenta intentos sin operaciones funcionales verificables o no presenta la evidencia obligatoria.</w:t>
            </w:r>
          </w:p>
        </w:tc>
      </w:tr>
    </w:tbl>
    <w:p>
      <w:pPr/>
      <w:r>
        <w:rPr>
          <w:rFonts w:ascii="Arial" w:hAnsi="Arial"/>
          <w:sz w:val="18"/>
        </w:rPr>
        <w:t>Nivel C3 marcado: ________    Valor Zubatronic (0–500): ________</w:t>
      </w:r>
    </w:p>
    <w:p>
      <w:pPr>
        <w:pStyle w:val="Heading2"/>
        <w:keepNext/>
      </w:pPr>
      <w:r>
        <w:rPr>
          <w:rFonts w:ascii="Arial" w:hAnsi="Arial"/>
          <w:sz w:val="18"/>
        </w:rPr>
        <w:t>C4. Decisión arquitectónica para burger_delivery — peso 20% — indicador 2.1 / SO2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92"/>
        <w:gridCol w:w="1440"/>
        <w:gridCol w:w="8208"/>
      </w:tblGrid>
      <w:tr>
        <w:trPr>
          <w:tblHeader w:val="true"/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Evidencia observable del nivel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N5 — 475–500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Además de N4, analiza correctamente una consecuencia de escoger la interfaz contraria.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N4 — 400–474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Además de N3, identifica datos o contratos y justifica cada elección.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N3 — 300–399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Propone dos tópicos y dos servicios pertinentes con sus participantes.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N2 — 150–299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Presenta menos de cuatro casos válidos o confunde tópico y servicio.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N1 — 0–149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Las propuestas son genéricas, no corresponden a la comunicación requerida o no se presenta la evidencia obligatoria.</w:t>
            </w:r>
          </w:p>
        </w:tc>
      </w:tr>
    </w:tbl>
    <w:p>
      <w:pPr/>
      <w:r>
        <w:rPr>
          <w:rFonts w:ascii="Arial" w:hAnsi="Arial"/>
          <w:sz w:val="18"/>
        </w:rPr>
        <w:t>Nivel C4 marcado: ________    Valor Zubatronic (0–500): ________</w:t>
      </w:r>
    </w:p>
    <w:p>
      <w:r>
        <w:br w:type="page"/>
      </w:r>
    </w:p>
    <w:p>
      <w:pPr>
        <w:pStyle w:val="Heading2"/>
        <w:keepNext/>
      </w:pPr>
      <w:r>
        <w:rPr>
          <w:rFonts w:ascii="Arial" w:hAnsi="Arial"/>
          <w:sz w:val="18"/>
        </w:rPr>
        <w:t>C5. Evidencia reproducible y diagnóstico — peso 15% — indicador 3.1 / SO3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92"/>
        <w:gridCol w:w="1440"/>
        <w:gridCol w:w="8208"/>
      </w:tblGrid>
      <w:tr>
        <w:trPr>
          <w:tblHeader w:val="true"/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Evidencia observable del nivel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N5 — 475–500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Además de N4, el diagnóstico conecta síntoma, causa, corrección y prueba posterior de forma técnica.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N4 — 400–474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Además de N3, la evidencia es ordenada, atribuible y permite reproducir casi todos los resultados.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N3 — 300–399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Las evidencias permiten verificar el funcionamiento general y documentan una dificultad real.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N2 — 150–299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Hay capturas aisladas, registros incompletos o no se verifica la corrección.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</w:r>
            <w:sdt>
              <w:sdtPr>
                <w:alias w:val="Marcar nivel"/>
                <w:tag w:val="nivel"/>
                <w:id w:val="-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N1 — 0–149</w:t>
            </w:r>
          </w:p>
        </w:tc>
        <w:tc>
          <w:tcPr>
            <w:tcW w:type="dxa" w:w="348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La evidencia es fragmentaria, ilegible, no atribuible o está ausente.</w:t>
            </w:r>
          </w:p>
        </w:tc>
      </w:tr>
    </w:tbl>
    <w:p>
      <w:pPr/>
      <w:r>
        <w:rPr>
          <w:rFonts w:ascii="Arial" w:hAnsi="Arial"/>
          <w:sz w:val="18"/>
        </w:rPr>
        <w:t>Nivel C5 marcado: ________    Valor Zubatronic (0–500): ________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sz w:val="18"/>
        </w:rPr>
        <w:t>6. Captura y cálculo</w:t>
      </w:r>
    </w:p>
    <w:p>
      <w:pPr/>
      <w:r>
        <w:rPr>
          <w:rFonts w:ascii="Arial" w:hAnsi="Arial"/>
          <w:sz w:val="18"/>
        </w:rPr>
        <w:t>Capture en Zubatronic el valor exacto de cada criterio. La plataforma calcula: aporte = valor × peso / 100; nota sobre 500 = suma de aportes; nota sobre 5,0 = total / 100. Los valores guía son 500, 450, 350, 250 y 100; sin evidencia obligatoria se registra 0 dentro de N1.</w:t>
      </w:r>
    </w:p>
    <w:p>
      <w:pPr>
        <w:pStyle w:val="Heading1"/>
        <w:keepNext/>
      </w:pPr>
      <w:r>
        <w:t>7. Consolidado final de calificación</w:t>
      </w:r>
    </w:p>
    <w:p>
      <w:pPr>
        <w:spacing w:after="60"/>
      </w:pPr>
      <w:r>
        <w:rPr>
          <w:rFonts w:ascii="Arial" w:hAnsi="Arial"/>
          <w:sz w:val="18"/>
        </w:rPr>
        <w:t>Zubatronic calcula este consolidado automáticamente. La tabla permite verificar la captura o registrar un respaldo manual; no depende de fórmulas de Word.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Peso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Nivel marcado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Valor 0–500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Aporte ponderado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C1. Grafo ROS 2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25%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C2. Tópicos y mensajes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20%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C3. Servicios, parámetros y rqt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20%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C4. Arquitectura </w:t>
            </w:r>
            <w:r>
              <w:rPr>
                <w:rFonts w:ascii="Aptos" w:hAnsi="Aptos" w:eastAsia="Aptos Mono"/>
                <w:color w:val="9C0006"/>
                <w:sz w:val="15"/>
              </w:rPr>
              <w:t>burger_delivery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20%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C5. Evidencia y diagnóstico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15%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5"/>
              </w:rPr>
              <w:t>TOTAL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100%</w:t>
            </w: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</w:p>
        </w:tc>
        <w:tc>
          <w:tcPr>
            <w:tcW w:type="dxa" w:w="20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________ / 500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522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Resultado final</w:t>
            </w:r>
          </w:p>
        </w:tc>
        <w:tc>
          <w:tcPr>
            <w:tcW w:type="dxa" w:w="522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Nota Taller 01 sobre 500</w:t>
            </w:r>
          </w:p>
        </w:tc>
        <w:tc>
          <w:tcPr>
            <w:tcW w:type="dxa" w:w="522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22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Nota Taller 01 sobre 5,0 = total ÷ 100</w:t>
            </w:r>
          </w:p>
        </w:tc>
        <w:tc>
          <w:tcPr>
            <w:tcW w:type="dxa" w:w="522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22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Criterios en N3 o superior</w:t>
            </w:r>
          </w:p>
        </w:tc>
        <w:tc>
          <w:tcPr>
            <w:tcW w:type="dxa" w:w="522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22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Criterios por debajo de N3</w:t>
            </w:r>
          </w:p>
        </w:tc>
        <w:tc>
          <w:tcPr>
            <w:tcW w:type="dxa" w:w="522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Observaciones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pStyle w:val="Heading1"/>
        <w:keepNext/>
      </w:pPr>
      <w:r>
        <w:t>8. Uso posterior en la nota del corte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522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522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 xml:space="preserve">Peso del Taller 01 dentro del acumulado </w:t>
            </w:r>
            <w:r>
              <w:rPr>
                <w:rFonts w:ascii="Aptos" w:hAnsi="Aptos" w:eastAsia="Aptos Mono"/>
                <w:color w:val="9C0006"/>
                <w:sz w:val="16"/>
              </w:rPr>
              <w:t>T₁</w:t>
            </w:r>
          </w:p>
        </w:tc>
        <w:tc>
          <w:tcPr>
            <w:tcW w:type="dxa" w:w="522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t>100% para el primer corte 2026-2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 xml:space="preserve">Aporte del Taller 01 a </w:t>
            </w:r>
            <w:r>
              <w:rPr>
                <w:rFonts w:ascii="Aptos" w:hAnsi="Aptos" w:eastAsia="Aptos Mono"/>
                <w:color w:val="9C0006"/>
                <w:sz w:val="16"/>
              </w:rPr>
              <w:t>T₁</w:t>
            </w:r>
          </w:p>
        </w:tc>
        <w:tc>
          <w:tcPr>
            <w:tcW w:type="dxa" w:w="522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Nota Taller 01 × peso ÷ 100</w:t>
            </w:r>
          </w:p>
        </w:tc>
      </w:tr>
    </w:tbl>
    <w:p>
      <w:pPr>
        <w:ind w:left="288"/>
      </w:pPr>
      <w:r>
        <w:rPr>
          <w:rFonts w:ascii="Arial" w:hAnsi="Arial"/>
          <w:sz w:val="18"/>
        </w:rPr>
        <w:t>T₁ = Nota Taller 01</w:t>
        <w:br/>
        <w:t>Nota Corte 1 = 0,28 T₁ + 0,42 L₁ + 0,30 E₁</w:t>
      </w:r>
    </w:p>
    <w:p>
      <w:pPr>
        <w:ind w:left="288"/>
      </w:pPr>
      <w:r>
        <w:rPr>
          <w:rFonts w:ascii="Aptos Mono" w:hAnsi="Aptos Mono" w:eastAsia="Aptos Mono"/>
          <w:color w:val="404040"/>
          <w:sz w:val="16"/>
        </w:rPr>
        <w:t>Nota Corte 1 = 0,28 T₁ + 0,42 L₁ + 0,30 E₁</w:t>
      </w:r>
    </w:p>
    <w:p>
      <w:pPr/>
      <w:r>
        <w:rPr>
          <w:rFonts w:ascii="Arial" w:hAnsi="Arial"/>
          <w:sz w:val="18"/>
        </w:rPr>
        <w:t>Este documento entrega la Nota Taller 01 y los resultados por criterio. En 2026-2, Taller 01 constituye el 100% de T₁; cualquier cambio exige una nueva versión antes de recibir entregas.</w:t>
      </w:r>
    </w:p>
    <w:p>
      <w:pPr>
        <w:pStyle w:val="Heading2"/>
      </w:pPr>
      <w:r>
        <w:rPr>
          <w:rFonts w:ascii="Arial" w:hAnsi="Arial"/>
          <w:color w:val="1F4E79"/>
        </w:rPr>
        <w:t>9. Consolidación ABET y mejora continua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Indicador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 evaluable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 ≥ N3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% logro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Meta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Hallazgo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2.1 / SO2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3.1 / SO3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402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Cierre de ciclo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Registro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Decisión derivada del hallazgo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Acción de mejora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Responsable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de seguimiento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Evidencia de seguimiento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Resultado del siguiente ciclo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keepNext/>
      </w:pPr>
      <w:r>
        <w:rPr>
          <w:rFonts w:ascii="Arial" w:hAnsi="Arial"/>
          <w:sz w:val="18"/>
        </w:rPr>
        <w:t>10. Cierre</w:t>
      </w:r>
    </w:p>
    <w:p>
      <w:r>
        <w:t>Nombre de quien evalúa: ____________________________________  Fecha: __________________</w:t>
      </w:r>
    </w:p>
    <w:p>
      <w:r>
        <w:t>Firma o visto bueno: 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835" w:left="893" w:header="259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5"/>
      </w:rPr>
      <w:t xml:space="preserve">Taller 01 · Evidencias y calificación  |  Página </w:t>
    </w:r>
    <w:r>
      <w:rPr>
        <w:color w:val="666666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666666"/>
        <w:sz w:val="15"/>
      </w:rPr>
      <w:t xml:space="preserve"> de </w:t>
    </w:r>
    <w:r>
      <w:rPr>
        <w:color w:val="666666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256"/>
    </w:tblGrid>
    <w:tr>
      <w:tc>
        <w:tcPr>
          <w:tcW w:type="dxa" w:w="5220"/>
          <w:vAlign w:val="center"/>
          <w:shd w:fill="17365D"/>
        </w:tcPr>
        <w:p>
          <w:pPr>
            <w:jc w:val="left"/>
          </w:pPr>
          <w:r>
            <w:rPr>
              <w:rFonts w:ascii="Aptos" w:hAnsi="Aptos"/>
              <w:b/>
              <w:color w:val="FFFFFF"/>
              <w:sz w:val="16"/>
            </w:rPr>
            <w:t>UNIVERSIDAD MILITAR NUEVA GRANADA</w:t>
          </w:r>
        </w:p>
      </w:tc>
      <w:tc>
        <w:tcPr>
          <w:tcW w:type="dxa" w:w="5220"/>
          <w:vAlign w:val="center"/>
          <w:shd w:fill="17365D"/>
        </w:tcPr>
        <w:p>
          <w:pPr>
            <w:jc w:val="right"/>
          </w:pPr>
          <w:r>
            <w:rPr>
              <w:rFonts w:ascii="Aptos" w:hAnsi="Aptos"/>
              <w:b/>
              <w:color w:val="FFFFFF"/>
              <w:sz w:val="16"/>
            </w:rPr>
            <w:t>ROBOT OPERATING SYSTEM - ROS</w:t>
            <w:br/>
            <w:t>Instrumento de evaluación — Corte 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4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evidencias y calificación — Taller 01: CLI de ROS 2</dc:title>
  <dc:subject>Instrumento ABET/SGDE de evaluación del primer corte</dc:subject>
  <dc:creator>Universidad Militar Nueva Granada</dc:creator>
  <cp:keywords>ROS 2, ABET, SGDE, rúbrica, Taller 01</cp:keywords>
  <dc:description>Versión 1.1: alineación RAE/SO, población, umbral, meta y cierre de ciclo.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