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9"/>
          <w:sz w:val="32"/>
        </w:rPr>
        <w:t>Instrumento de Evidencia y Evaluación ABET — Proyecto Integrador Corte 2</w:t>
      </w:r>
    </w:p>
    <w:p>
      <w:pPr>
        <w:spacing w:before="0" w:after="160"/>
      </w:pPr>
      <w:r>
        <w:rPr>
          <w:rFonts w:ascii="Arial" w:hAnsi="Arial"/>
          <w:i/>
          <w:color w:val="595959"/>
          <w:sz w:val="24"/>
        </w:rPr>
        <w:t>Control de Posición en Lazo Cerrado con ROS 2 Actions (Turtlesim / micro-ROS) — Foco en Acciones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A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sz w:val="19"/>
              </w:rPr>
              <w:t>Documento Único de Entrega Estudiantil y Evaluación ABET. Asociado a education/proyectos_evaluables/PROYECTO_CORTE_2_CONTROL_POSICION_ACCIONES.md. Este formato evalúa el dominio de ROS 2 Actions: contratos DDS, máquina de estados formal, preempción en caliente, cancelación asíncrona, control cinemático polar y Anexo A individual de sustentación.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1. Identificación y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86"/>
        <w:gridCol w:w="4986"/>
      </w:tblGrid>
      <w:tr>
        <w:tc>
          <w:tcPr>
            <w:tcW w:type="dxa" w:w="2835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Registro Oficial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Programa Académico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Ingeniería Mecatrónica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Asignatura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ROBOT OPERATING SYSTEM - ROS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Periodo Académico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2026-2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Corte / Instrumento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Segundo Corte / Entrega final y sustentación técnica (E_C2 — 30%)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Actividad Evaluada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Proyecto Integrador Corte 2 — Control de Posición con ROS 2 Actions (Turtlesim / micro-ROS)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Número de Grupo / Subgrupo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Estudiante 1 (Nombre y Código)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Estudiante 2 (Nombre y Código)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Estudiante 3 (si aplica)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Plataforma de Validación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Simulador Turtlesim ☐        micro-ROS ESP32 Físico (Bono) ☐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Nombre del Archivo de Entrega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C2_E02_G&lt;grupo&gt;_&lt;codigo1&gt;_&lt;codigo2&gt;_v1.docx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Fecha de Realización / Sustentación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Fecha de Entrega del Documento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Docente Evaluador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Ing. Henry Roncancio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Versión del Instrumento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Versión 1.1 — Enfoque Profundo en Acciones (2026-2)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Unidad de Análisis / Captura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Equipo colaborativo con comprobación individual (Anexo A)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2. Parámetros de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86"/>
        <w:gridCol w:w="4986"/>
      </w:tblGrid>
      <w:tr>
        <w:tc>
          <w:tcPr>
            <w:tcW w:type="dxa" w:w="2835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6803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Regla Institucional y Metodológica Adoptada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Población o cohorte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Censo completo de estudiantes matriculados que presentan el proyecto integrador del Corte 2 en 2026-2.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Momento de medición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Segundo corte (Semana 13), tras la implementación de la interfaz de acción, servidor cinemático y pruebas.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Evaluador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Docente titular de la asignatura ROBOT OPERATING SYSTEM - ROS.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Umbral individual de logro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Nivel N3 o superior (puntaje mínimo de 300 sobre 500) en cada indicador evaluado.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Meta de cohorte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Al menos el 70% de los estudiantes evaluables debe alcanzar el nivel N3 o superior en cada indicador.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Regla de muestreo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Censo 100%: no se utiliza muestreo; se evalúa la totalidad de los estudiantes y equipos exigibles.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Evidencia faltante</w:t>
            </w:r>
          </w:p>
        </w:tc>
        <w:tc>
          <w:tcPr>
            <w:tcW w:type="dxa" w:w="6803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Entrega exigible sin evidencia obligatoria verificable: N1 con valor 0. Retiro oficial: NA / no evaluado.</w:t>
            </w:r>
          </w:p>
        </w:tc>
      </w:tr>
      <w:tr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Regla de trabajo colaborativo</w:t>
            </w:r>
          </w:p>
        </w:tc>
        <w:tc>
          <w:tcPr>
            <w:tcW w:type="dxa" w:w="6803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Informe único por equipo con tablas llenas más Anexo A individual obligatorio.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3. Niveles de Desempeño para Zubatronic/SGDE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98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Intervalo Zubatronic</w:t>
            </w:r>
          </w:p>
        </w:tc>
        <w:tc>
          <w:tcPr>
            <w:tcW w:type="dxa" w:w="623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Interpretación y Criterio de Logro</w:t>
            </w:r>
          </w:p>
        </w:tc>
      </w:tr>
      <w:tr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N5</w:t>
            </w:r>
          </w:p>
        </w:tc>
        <w:tc>
          <w:tcPr>
            <w:tcW w:type="dxa" w:w="198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475–500</w:t>
            </w:r>
          </w:p>
        </w:tc>
        <w:tc>
          <w:tcPr>
            <w:tcW w:type="dxa" w:w="623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Excelente: dominio exhaustivo de ROS 2 Actions (contratos DDS, ciclo de vida formal, preempción en caliente y cancelación en seco), control cinemático sin singularidades y sustentación sobresaliente.</w:t>
            </w:r>
          </w:p>
        </w:tc>
      </w:tr>
      <w:tr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N4</w:t>
            </w:r>
          </w:p>
        </w:tc>
        <w:tc>
          <w:tcPr>
            <w:tcW w:type="dxa" w:w="198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400–474</w:t>
            </w:r>
          </w:p>
        </w:tc>
        <w:tc>
          <w:tcPr>
            <w:tcW w:type="dxa" w:w="6236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Bueno: desempeño técnico correcto: la acción ejecuta metas, emite feedback a 10 Hz y cancela adecuadamente, con omisiones menores en preempción o en el análisis de jitter.</w:t>
            </w:r>
          </w:p>
        </w:tc>
      </w:tr>
      <w:tr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N3</w:t>
            </w:r>
          </w:p>
        </w:tc>
        <w:tc>
          <w:tcPr>
            <w:tcW w:type="dxa" w:w="198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300–399</w:t>
            </w:r>
          </w:p>
        </w:tc>
        <w:tc>
          <w:tcPr>
            <w:tcW w:type="dxa" w:w="623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Aceptable: demuestra el desempeño esencial con evidencia verificable: el servidor acepta la meta, calcula control y frena en tolerancia. Es el umbral individual de logro.</w:t>
            </w:r>
          </w:p>
        </w:tc>
      </w:tr>
      <w:tr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N2</w:t>
            </w:r>
          </w:p>
        </w:tc>
        <w:tc>
          <w:tcPr>
            <w:tcW w:type="dxa" w:w="198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150–299</w:t>
            </w:r>
          </w:p>
        </w:tc>
        <w:tc>
          <w:tcPr>
            <w:tcW w:type="dxa" w:w="6236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Cumplimiento parcial: evidencia incompleta, acción implementada sin soporte de cancelación, inestabilidad en la trayectoria o sin introspección de tópicos internos.</w:t>
            </w:r>
          </w:p>
        </w:tc>
      </w:tr>
      <w:tr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N1</w:t>
            </w:r>
          </w:p>
        </w:tc>
        <w:tc>
          <w:tcPr>
            <w:tcW w:type="dxa" w:w="198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0–149</w:t>
            </w:r>
          </w:p>
        </w:tc>
        <w:tc>
          <w:tcPr>
            <w:tcW w:type="dxa" w:w="623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No cumple: implementación no funcional, sin arquitectura de acciones (uso de tópicos/servicios simples) o entrega fragmentaria. Sin evidencia obligatoria se registra 0.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4. Alineación de Criterios, RAE y Student Outcomes (Ponderación Reforzada en Actions)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79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Peso</w:t>
            </w:r>
          </w:p>
        </w:tc>
        <w:tc>
          <w:tcPr>
            <w:tcW w:type="dxa" w:w="10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</w:t>
            </w:r>
          </w:p>
        </w:tc>
        <w:tc>
          <w:tcPr>
            <w:tcW w:type="dxa" w:w="2835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Indicador del Programa</w:t>
            </w:r>
          </w:p>
        </w:tc>
        <w:tc>
          <w:tcPr>
            <w:tcW w:type="dxa" w:w="2835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Evidencia Directa Obligatoria</w:t>
            </w:r>
          </w:p>
        </w:tc>
      </w:tr>
      <w:tr>
        <w:tc>
          <w:tcPr>
            <w:tcW w:type="dxa" w:w="215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C1. Arquitectura y contrato de Acción</w:t>
            </w:r>
          </w:p>
        </w:tc>
        <w:tc>
          <w:tcPr>
            <w:tcW w:type="dxa" w:w="79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SO2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Indicador de desempeño 2.1 / 2.3: Diseña contratos de comunicación robustos integrando interfaces customizadas de acciones y arquitectura cliente-servidor en ROS 2.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Definición GoToPose.action compilada, 5 canales DDS identificados y validación en goal_callback.</w:t>
            </w:r>
          </w:p>
        </w:tc>
      </w:tr>
      <w:tr>
        <w:tc>
          <w:tcPr>
            <w:tcW w:type="dxa" w:w="215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C2. Ciclo de vida y preempción</w:t>
            </w:r>
          </w:p>
        </w:tc>
        <w:tc>
          <w:tcPr>
            <w:tcW w:type="dxa" w:w="79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SO6</w:t>
            </w:r>
          </w:p>
        </w:tc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Indicador de desempeño 6.4: Interpreta fallas y diagnósticos experimentales aplicando protocolos de diagnóstico por capas para aislar errores en hardware y software.</w:t>
            </w:r>
          </w:p>
        </w:tc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Máquina de estados GoalStatus, emisión a 10 Hz, parada ante cancelación y política de reemplazo en caliente.</w:t>
            </w:r>
          </w:p>
        </w:tc>
      </w:tr>
      <w:tr>
        <w:tc>
          <w:tcPr>
            <w:tcW w:type="dxa" w:w="215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C3. Modelado cinemático polar</w:t>
            </w:r>
          </w:p>
        </w:tc>
        <w:tc>
          <w:tcPr>
            <w:tcW w:type="dxa" w:w="79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SO1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Indicador de desempeño 1.1 / 1.2: Analiza relaciones entre modelos matemáticos y orientación, calculando el error de rumbo y posición sin singularidades angulares.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Ley de control rho/alpha/theta_e, wrap_to_pi, saturaciones, y convergencia en dos fases.</w:t>
            </w:r>
          </w:p>
        </w:tc>
      </w:tr>
      <w:tr>
        <w:tc>
          <w:tcPr>
            <w:tcW w:type="dxa" w:w="215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C4. Misión multi-waypoint y rosbag</w:t>
            </w:r>
          </w:p>
        </w:tc>
        <w:tc>
          <w:tcPr>
            <w:tcW w:type="dxa" w:w="79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15%</w:t>
            </w:r>
          </w:p>
        </w:tc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SO6</w:t>
            </w:r>
          </w:p>
        </w:tc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Indicador de desempeño 6.1 / 6.2: Diseña y ejecuta pruebas de lazo cerrado, midiendo tiempos de convergencia y errores en estado estacionario.</w:t>
            </w:r>
          </w:p>
        </w:tc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Misión de patrullaje encadenada, dataset MCAP válido, curvas de error vs tiempo y velocidades.</w:t>
            </w:r>
          </w:p>
        </w:tc>
      </w:tr>
      <w:tr>
        <w:tc>
          <w:tcPr>
            <w:tcW w:type="dxa" w:w="215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C5. Trazabilidad técnica y trabajo en equipo</w:t>
            </w:r>
          </w:p>
        </w:tc>
        <w:tc>
          <w:tcPr>
            <w:tcW w:type="dxa" w:w="79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SO3/5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Indicador de desempeño 3.1 - 3.3 / 5.1: Elabora documentación técnica reproducible, define roles técnicos y coordina la ejecución en equipo.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Informe técnico en formato oficial, repositorio Git con commits trazables, Anexo A y sustentación.</w:t>
            </w:r>
          </w:p>
        </w:tc>
      </w:tr>
      <w:tr>
        <w:tc>
          <w:tcPr>
            <w:tcW w:type="dxa" w:w="215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79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83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500 Puntos Máximos (Nota = Puntos / 100)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5. Registro de Evidencias Obligatorias (E1–E8)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52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Evidencia Requerida</w:t>
            </w:r>
          </w:p>
        </w:tc>
        <w:tc>
          <w:tcPr>
            <w:tcW w:type="dxa" w:w="340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Localizador en el Documento / Repositorio</w:t>
            </w:r>
          </w:p>
        </w:tc>
      </w:tr>
      <w:tr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E1</w:t>
            </w:r>
          </w:p>
        </w:tc>
        <w:tc>
          <w:tcPr>
            <w:tcW w:type="dxa" w:w="521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Captura de ros2 interface show GoToPose.action mostrando Goal, Result y Feedback.</w:t>
            </w:r>
          </w:p>
        </w:tc>
        <w:tc>
          <w:tcPr>
            <w:tcW w:type="dxa" w:w="340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E2</w:t>
            </w:r>
          </w:p>
        </w:tc>
        <w:tc>
          <w:tcPr>
            <w:tcW w:type="dxa" w:w="5216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Salida de terminal de la introspección de los 5 canales DDS (ros2 topic/service list | grep go_to_pose).</w:t>
            </w:r>
          </w:p>
        </w:tc>
        <w:tc>
          <w:tcPr>
            <w:tcW w:type="dxa" w:w="3402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E3</w:t>
            </w:r>
          </w:p>
        </w:tc>
        <w:tc>
          <w:tcPr>
            <w:tcW w:type="dxa" w:w="521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Captura del servidor mostrando aceptación de metas válidas y rechazo de metas fuera de límites.</w:t>
            </w:r>
          </w:p>
        </w:tc>
        <w:tc>
          <w:tcPr>
            <w:tcW w:type="dxa" w:w="340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E4</w:t>
            </w:r>
          </w:p>
        </w:tc>
        <w:tc>
          <w:tcPr>
            <w:tcW w:type="dxa" w:w="5216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Captura del cliente mostrando recepción periódica de Feedback a 10 Hz con distancia y error angular.</w:t>
            </w:r>
          </w:p>
        </w:tc>
        <w:tc>
          <w:tcPr>
            <w:tcW w:type="dxa" w:w="3402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E5</w:t>
            </w:r>
          </w:p>
        </w:tc>
        <w:tc>
          <w:tcPr>
            <w:tcW w:type="dxa" w:w="521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Evidencia de la prueba de Preempción en caliente (Goal Replacement fluido sin detener el nodo).</w:t>
            </w:r>
          </w:p>
        </w:tc>
        <w:tc>
          <w:tcPr>
            <w:tcW w:type="dxa" w:w="340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E6</w:t>
            </w:r>
          </w:p>
        </w:tc>
        <w:tc>
          <w:tcPr>
            <w:tcW w:type="dxa" w:w="5216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Evidencia de la prueba de Cancelación voluntaria demostrando parada instantánea y STATUS_CANCELED.</w:t>
            </w:r>
          </w:p>
        </w:tc>
        <w:tc>
          <w:tcPr>
            <w:tcW w:type="dxa" w:w="3402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E7</w:t>
            </w:r>
          </w:p>
        </w:tc>
        <w:tc>
          <w:tcPr>
            <w:tcW w:type="dxa" w:w="521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Captura de pantalla de turtlesim con el rastro de la Misión Multi-Waypoint (4 waypoints encadenados).</w:t>
            </w:r>
          </w:p>
        </w:tc>
        <w:tc>
          <w:tcPr>
            <w:tcW w:type="dxa" w:w="340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E8</w:t>
            </w:r>
          </w:p>
        </w:tc>
        <w:tc>
          <w:tcPr>
            <w:tcW w:type="dxa" w:w="5216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Salida de rosbag info del dataset MCAP y gráficas de trayectoria y velocidad generadas.</w:t>
            </w:r>
          </w:p>
        </w:tc>
        <w:tc>
          <w:tcPr>
            <w:tcW w:type="dxa" w:w="3402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6. Tablas de Registro Experimental (Diligenciadas por el Equipo)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Tabla 1: Introspección de los Canales DDS de la Acción /go_to_pose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Canal Generado por ROS 2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 de Primitiva</w:t>
            </w:r>
          </w:p>
        </w:tc>
        <w:tc>
          <w:tcPr>
            <w:tcW w:type="dxa" w:w="25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 de Mensaje / Servicio</w:t>
            </w:r>
          </w:p>
        </w:tc>
        <w:tc>
          <w:tcPr>
            <w:tcW w:type="dxa" w:w="25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Función en el Ciclo de Vida</w:t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/go_to_pose/_action/send_goal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Servicio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&lt;paquete&gt;/action/GoToPose_SendGoal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Validación y aceptación/rechazo de la meta</w:t>
            </w:r>
          </w:p>
        </w:tc>
      </w:tr>
      <w:tr>
        <w:tc>
          <w:tcPr>
            <w:tcW w:type="dxa" w:w="311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/go_to_pose/_action/cancel_goal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Servicio</w:t>
            </w:r>
          </w:p>
        </w:tc>
        <w:tc>
          <w:tcPr>
            <w:tcW w:type="dxa" w:w="255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action_msgs/srv/CancelGoal</w:t>
            </w:r>
          </w:p>
        </w:tc>
        <w:tc>
          <w:tcPr>
            <w:tcW w:type="dxa" w:w="255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Solicitud de interrupción en caliente</w:t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/go_to_pose/_action/get_result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Servicio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&lt;paquete&gt;/action/GoToPose_GetResult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Espera asíncrona del desenlace final</w:t>
            </w:r>
          </w:p>
        </w:tc>
      </w:tr>
      <w:tr>
        <w:tc>
          <w:tcPr>
            <w:tcW w:type="dxa" w:w="311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/go_to_pose/_action/feedback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Tópico</w:t>
            </w:r>
          </w:p>
        </w:tc>
        <w:tc>
          <w:tcPr>
            <w:tcW w:type="dxa" w:w="255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&lt;paquete&gt;/action/GoToPose_FeedbackMessage</w:t>
            </w:r>
          </w:p>
        </w:tc>
        <w:tc>
          <w:tcPr>
            <w:tcW w:type="dxa" w:w="255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Publicación periódica del avance (10 Hz)</w:t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/go_to_pose/_action/status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Tópico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action_msgs/msg/GoalStatusArray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Array con estados de los GoalHandle activos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Tabla 2: Resultados Cuantitativos de los Escenarios Experimentales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70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Pose Inicial [x, y, th]</w:t>
            </w:r>
          </w:p>
        </w:tc>
        <w:tc>
          <w:tcPr>
            <w:tcW w:type="dxa" w:w="170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Pose Meta [x, y, th]</w:t>
            </w:r>
          </w:p>
        </w:tc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Error rho [m]</w:t>
            </w:r>
          </w:p>
        </w:tc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Error th [rad]</w:t>
            </w:r>
          </w:p>
        </w:tc>
        <w:tc>
          <w:tcPr>
            <w:tcW w:type="dxa" w:w="10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 [s]</w:t>
            </w:r>
          </w:p>
        </w:tc>
        <w:tc>
          <w:tcPr>
            <w:tcW w:type="dxa" w:w="124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 Final Reportado</w:t>
            </w:r>
          </w:p>
        </w:tc>
      </w:tr>
      <w:tr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E1: Rectilíneo</w:t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[5.54, 5.54, 0.00]</w:t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[9.50, 5.54, 0.00]</w:t>
            </w:r>
          </w:p>
        </w:tc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4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STATUS_SUCCEEDED ☐</w:t>
            </w:r>
          </w:p>
        </w:tc>
      </w:tr>
      <w:tr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E2: Rotación</w:t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[5.54, 5.54, 0.00]</w:t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[5.54, 5.54, 3.14]</w:t>
            </w:r>
          </w:p>
        </w:tc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4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STATUS_SUCCEEDED ☐</w:t>
            </w:r>
          </w:p>
        </w:tc>
      </w:tr>
      <w:tr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E3: Patrulla W1-W4</w:t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Misión 4 Waypoints</w:t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Ruta Poligonal</w:t>
            </w:r>
          </w:p>
        </w:tc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4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Todos SUCCEEDED ☐</w:t>
            </w:r>
          </w:p>
        </w:tc>
      </w:tr>
      <w:tr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E4: Cancelación</w:t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[2.00, 2.00, 0.00]</w:t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[10.0, 10.0, 0.00]</w:t>
            </w:r>
          </w:p>
        </w:tc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0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4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STATUS_CANCELED ☐</w:t>
            </w:r>
          </w:p>
        </w:tc>
      </w:tr>
      <w:tr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E5: Preempción</w:t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Meta 1 -&gt; Meta 2 en vuelo</w:t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M1 -&gt; M2</w:t>
            </w:r>
          </w:p>
        </w:tc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4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M1 ABORT, M2 SUCC ☐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Tabla 3: Verificación de Robustez y Manejo de Estados de la Acción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Prueba de Robustez</w:t>
            </w:r>
          </w:p>
        </w:tc>
        <w:tc>
          <w:tcPr>
            <w:tcW w:type="dxa" w:w="181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Entrada Aplicada</w:t>
            </w:r>
          </w:p>
        </w:tc>
        <w:tc>
          <w:tcPr>
            <w:tcW w:type="dxa" w:w="255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Comportamiento Esperado</w:t>
            </w:r>
          </w:p>
        </w:tc>
        <w:tc>
          <w:tcPr>
            <w:tcW w:type="dxa" w:w="243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Comportamiento Real</w:t>
            </w:r>
          </w:p>
        </w:tc>
        <w:tc>
          <w:tcPr>
            <w:tcW w:type="dxa" w:w="85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¿Aprobado?</w:t>
            </w:r>
          </w:p>
        </w:tc>
      </w:tr>
      <w:tr>
        <w:tc>
          <w:tcPr>
            <w:tcW w:type="dxa" w:w="198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Rechazo fuera de límites</w:t>
            </w:r>
          </w:p>
        </w:tc>
        <w:tc>
          <w:tcPr>
            <w:tcW w:type="dxa" w:w="181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x = 12.0, y = 5.0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Rechazo en goal_callback (GoalResponse.REJECT)</w:t>
            </w:r>
          </w:p>
        </w:tc>
        <w:tc>
          <w:tcPr>
            <w:tcW w:type="dxa" w:w="243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85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SÍ ☐   NO ☐</w:t>
            </w:r>
          </w:p>
        </w:tc>
      </w:tr>
      <w:tr>
        <w:tc>
          <w:tcPr>
            <w:tcW w:type="dxa" w:w="198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Parada en cancelación</w:t>
            </w:r>
          </w:p>
        </w:tc>
        <w:tc>
          <w:tcPr>
            <w:tcW w:type="dxa" w:w="181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cancel_goal() en vuelo</w:t>
            </w:r>
          </w:p>
        </w:tc>
        <w:tc>
          <w:tcPr>
            <w:tcW w:type="dxa" w:w="255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Frenado en seco v=0, w=0, estado CANCELED</w:t>
            </w:r>
          </w:p>
        </w:tc>
        <w:tc>
          <w:tcPr>
            <w:tcW w:type="dxa" w:w="243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85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SÍ ☐   NO ☐</w:t>
            </w:r>
          </w:p>
        </w:tc>
      </w:tr>
      <w:tr>
        <w:tc>
          <w:tcPr>
            <w:tcW w:type="dxa" w:w="198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Preempción concurrente</w:t>
            </w:r>
          </w:p>
        </w:tc>
        <w:tc>
          <w:tcPr>
            <w:tcW w:type="dxa" w:w="181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Meta 2 recibida a t=2s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Aborto ordenado de Meta 1, transición a Meta 2</w:t>
            </w:r>
          </w:p>
        </w:tc>
        <w:tc>
          <w:tcPr>
            <w:tcW w:type="dxa" w:w="243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85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SÍ ☐   NO ☐</w:t>
            </w:r>
          </w:p>
        </w:tc>
      </w:tr>
      <w:tr>
        <w:tc>
          <w:tcPr>
            <w:tcW w:type="dxa" w:w="198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Cadencia de Feedback</w:t>
            </w:r>
          </w:p>
        </w:tc>
        <w:tc>
          <w:tcPr>
            <w:tcW w:type="dxa" w:w="181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ros2 topic hz</w:t>
            </w:r>
          </w:p>
        </w:tc>
        <w:tc>
          <w:tcPr>
            <w:tcW w:type="dxa" w:w="255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10 Hz +/- 1 Hz en /go_to_pose/_action/feedback</w:t>
            </w:r>
          </w:p>
        </w:tc>
        <w:tc>
          <w:tcPr>
            <w:tcW w:type="dxa" w:w="243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85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SÍ ☐   NO ☐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7. Cuestionario de Análisis Técnico y Justificación de Ingeniería</w:t>
      </w:r>
    </w:p>
    <w:p>
      <w:pPr>
        <w:spacing w:before="80" w:after="40"/>
      </w:pPr>
      <w:r>
        <w:rPr>
          <w:rFonts w:ascii="Arial" w:hAnsi="Arial"/>
          <w:b/>
          <w:sz w:val="19"/>
        </w:rPr>
        <w:t>1. La Tríada de Comunicación: Compare conceptual y arquitectónicamente Tópicos, Servicios y Acciones en ROS 2. ¿Bajo qué criterios de ingeniería se decide que una tarea robótica debe implementarse como una Acción en lugar de un Servicio o un Tópico?</w:t>
      </w:r>
    </w:p>
    <w:p>
      <w:pPr>
        <w:spacing w:before="0" w:after="160"/>
      </w:pPr>
      <w:r>
        <w:rPr>
          <w:rFonts w:ascii="Arial" w:hAnsi="Arial"/>
          <w:i/>
          <w:color w:val="777777"/>
          <w:sz w:val="18"/>
        </w:rPr>
        <w:t>[Espacio para respuesta técnica, ecuaciones y justificación del equipo]</w:t>
        <w:br/>
        <w:t>___________________________________________________________________________________________________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sz w:val="19"/>
        </w:rPr>
        <w:t>2. Los 5 Canales DDS: Explique en detalle qué sucede en la capa de red cuando un cliente envía una meta con send_goal_async(). ¿Por qué la Acción genera 3 servicios y 2 tópicos en lugar de uno solo?</w:t>
      </w:r>
    </w:p>
    <w:p>
      <w:pPr>
        <w:spacing w:before="0" w:after="160"/>
      </w:pPr>
      <w:r>
        <w:rPr>
          <w:rFonts w:ascii="Arial" w:hAnsi="Arial"/>
          <w:i/>
          <w:color w:val="777777"/>
          <w:sz w:val="18"/>
        </w:rPr>
        <w:t>[Espacio para respuesta técnica, ecuaciones y justificación del equipo]</w:t>
        <w:br/>
        <w:t>___________________________________________________________________________________________________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sz w:val="19"/>
        </w:rPr>
        <w:t>3. Máquina de Estados y Preempción: Describa los estados del GoalStatus de ROS 2. Explique cómo su nodo servidor gestiona la llegada de una nueva meta mientras otra se encuentra en estado STATUS_EXECUTING y por qué esta política es vital en robots de navegación autónoma (Nav2).</w:t>
      </w:r>
    </w:p>
    <w:p>
      <w:pPr>
        <w:spacing w:before="0" w:after="160"/>
      </w:pPr>
      <w:r>
        <w:rPr>
          <w:rFonts w:ascii="Arial" w:hAnsi="Arial"/>
          <w:i/>
          <w:color w:val="777777"/>
          <w:sz w:val="18"/>
        </w:rPr>
        <w:t>[Espacio para respuesta técnica, ecuaciones y justificación del equipo]</w:t>
        <w:br/>
        <w:t>___________________________________________________________________________________________________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sz w:val="19"/>
        </w:rPr>
        <w:t>4. Manejo de Cancelación Asíncrona: ¿Cuál es la diferencia entre que el middleware acepte la cancelación en cancel_callback y que el hilo de ejecución confirme la detención física mediante goal_handle.canceled()? ¿Por qué nunca debe matarse el proceso bruscamente?</w:t>
      </w:r>
    </w:p>
    <w:p>
      <w:pPr>
        <w:spacing w:before="0" w:after="160"/>
      </w:pPr>
      <w:r>
        <w:rPr>
          <w:rFonts w:ascii="Arial" w:hAnsi="Arial"/>
          <w:i/>
          <w:color w:val="777777"/>
          <w:sz w:val="18"/>
        </w:rPr>
        <w:t>[Espacio para respuesta técnica, ecuaciones y justificación del equipo]</w:t>
        <w:br/>
        <w:t>___________________________________________________________________________________________________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sz w:val="19"/>
        </w:rPr>
        <w:t>5. Portabilidad Sim-to-Real con micro-ROS: Justifique técnicamente cómo la independencia de transporte de ROS 2 permite que el mismo servidor de acciones comande al robot móvil físico con ESP32 simplemente remapeando el tópico cmd_vel.</w:t>
      </w:r>
    </w:p>
    <w:p>
      <w:pPr>
        <w:spacing w:before="0" w:after="160"/>
      </w:pPr>
      <w:r>
        <w:rPr>
          <w:rFonts w:ascii="Arial" w:hAnsi="Arial"/>
          <w:i/>
          <w:color w:val="777777"/>
          <w:sz w:val="18"/>
        </w:rPr>
        <w:t>[Espacio para respuesta técnica, ecuaciones y justificación del equipo]</w:t>
        <w:br/>
        <w:t>___________________________________________________________________________________________________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8. Anexo A: Comprobación Individual del Logro ABET (Obligatorio)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Estudiante 1: _____________________________________________ Código: 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 de Verificación Individual</w:t>
            </w:r>
          </w:p>
        </w:tc>
        <w:tc>
          <w:tcPr>
            <w:tcW w:type="dxa" w:w="65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Registro del Estudiante / Evaluación Docente</w:t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Rol técnico asumido en el proyecto</w:t>
            </w:r>
          </w:p>
        </w:tc>
        <w:tc>
          <w:tcPr>
            <w:tcW w:type="dxa" w:w="65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Arquitectura de acción y callbacks ☐    Control cinemático y preempción ☐    Cliente interactivo y waypoints ☐    Rosbag y métricas ☐</w:t>
            </w:r>
          </w:p>
        </w:tc>
      </w:tr>
      <w:tr>
        <w:tc>
          <w:tcPr>
            <w:tcW w:type="dxa" w:w="311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Contribución concreta al código (archivos y funciones)</w:t>
            </w:r>
          </w:p>
        </w:tc>
        <w:tc>
          <w:tcPr>
            <w:tcW w:type="dxa" w:w="65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Pregunta de sustentación individual formulada por el docente</w:t>
            </w:r>
          </w:p>
        </w:tc>
        <w:tc>
          <w:tcPr>
            <w:tcW w:type="dxa" w:w="65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Respuesta y justificación técnica del estudiante</w:t>
            </w:r>
          </w:p>
        </w:tc>
        <w:tc>
          <w:tcPr>
            <w:tcW w:type="dxa" w:w="65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Nivel de logro individual asignado por el docente</w:t>
            </w:r>
          </w:p>
        </w:tc>
        <w:tc>
          <w:tcPr>
            <w:tcW w:type="dxa" w:w="65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N1 ☐    N2 ☐    N3 (Umbral) ☐    N4 ☐    N5 ☐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Estudiante 2: _____________________________________________ Código: 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 de Verificación Individual</w:t>
            </w:r>
          </w:p>
        </w:tc>
        <w:tc>
          <w:tcPr>
            <w:tcW w:type="dxa" w:w="65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Registro del Estudiante / Evaluación Docente</w:t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Rol técnico asumido en el proyecto</w:t>
            </w:r>
          </w:p>
        </w:tc>
        <w:tc>
          <w:tcPr>
            <w:tcW w:type="dxa" w:w="65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Arquitectura de acción y callbacks ☐    Control cinemático y preempción ☐    Cliente interactivo y waypoints ☐    Rosbag y métricas ☐</w:t>
            </w:r>
          </w:p>
        </w:tc>
      </w:tr>
      <w:tr>
        <w:tc>
          <w:tcPr>
            <w:tcW w:type="dxa" w:w="311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Contribución concreta al código (archivos y funciones)</w:t>
            </w:r>
          </w:p>
        </w:tc>
        <w:tc>
          <w:tcPr>
            <w:tcW w:type="dxa" w:w="65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Pregunta de sustentación individual formulada por el docente</w:t>
            </w:r>
          </w:p>
        </w:tc>
        <w:tc>
          <w:tcPr>
            <w:tcW w:type="dxa" w:w="65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Respuesta y justificación técnica del estudiante</w:t>
            </w:r>
          </w:p>
        </w:tc>
        <w:tc>
          <w:tcPr>
            <w:tcW w:type="dxa" w:w="6520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Nivel de logro individual asignado por el docente</w:t>
            </w:r>
          </w:p>
        </w:tc>
        <w:tc>
          <w:tcPr>
            <w:tcW w:type="dxa" w:w="65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N1 ☐    N2 ☐    N3 (Umbral) ☐    N4 ☐    N5 ☐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9. Rúbricas Analíticas de Evaluación Docente (Ponderación Reforzada en Actions)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C1. Arquitectura y contrato de Acción ROS 2 (30%) — Student Outcome SO2</w:t>
      </w:r>
    </w:p>
    <w:p>
      <w:pPr>
        <w:spacing w:after="40"/>
      </w:pPr>
      <w:r>
        <w:rPr>
          <w:rFonts w:ascii="Arial" w:hAnsi="Arial"/>
          <w:i/>
          <w:sz w:val="17"/>
        </w:rPr>
        <w:t>Indicador de desempeño 2.1 / 2.3: Diseña contratos de comunicación robustos integrando interfaces customizadas de acciones y arquitectura cliente-servidor en ROS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708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Descriptor de Desempeño Observable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N5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475–500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Además de N4, implementa validación exhaustiva de precondiciones en goal_callback (rechazo por límites del lienzo [0.5, 10.5] o velocidades inválidas), introspecciona y documenta los 5 canales DDS generados por la acción, y explica la coordinación entre servicios y tópicos subyacentes.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N4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400–474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Compila exitosamente la interfaz GoToPose.action con los tipos requeridos, estructura callbacks asíncronos independientes (goal, cancel, execute) y valida la aceptación y rechazo de metas desde el ActionClient y por CLI.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N3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300–399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Define y compila el archivo .action, levanta el servidor y cliente de acción, y logra completar una meta básica en el lienzo.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N2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150–299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Presenta errores de compilación en rosidl o bloquea el hilo principal del nodo al omitir el bucle de ejecución asíncrono.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N1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0–149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No implementa la arquitectura de acciones (usa tópicos/servicios simples) o carece de evidencias funcionales.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C2. Ciclo de vida, máquina de estados y preempción (25%) — Student Outcome SO6</w:t>
      </w:r>
    </w:p>
    <w:p>
      <w:pPr>
        <w:spacing w:after="40"/>
      </w:pPr>
      <w:r>
        <w:rPr>
          <w:rFonts w:ascii="Arial" w:hAnsi="Arial"/>
          <w:i/>
          <w:sz w:val="17"/>
        </w:rPr>
        <w:t>Indicador de desempeño 6.4: Interpreta fallas y diagnósticos experimentales aplicando protocolos de diagnóstico por capas para aislar errores en hardware y software.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708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Descriptor de Desempeño Observable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N5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475–500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Además de N4, implementa política de reemplazo de meta en caliente (Goal Preemption): ante la llegada de una nueva meta mientras ejecutaba, aborta ordenadamente la anterior y transiciona a la nueva sin detener el nodo, registrando transiciones formales en GoalStatus.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N4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400–474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Gestiona adecuadamente el ciclo de vida del GoalHandle, emite feedback periódico a 10 Hz exactos, detiene el robot ante cancel_goal_async() con parada en seco instantánea (v=0, w=0) y marca estado CANCELED.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N3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300–399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Publica feedback intermitente y frena el robot al alcanzar la tolerancia de distancia, aunque la orientación final queda fuera de tolerancia o no soporta cancelación.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N2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150–299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No soporta cancelación (ignora is_cancel_requested) o el robot sigue moviéndose indefinidamente tras la cancelación.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N1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0–149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Sin feedback periódico, sin verificación de tolerancias ni soporte de interrupción por software.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C3. Modelado cinemático en lazo cerrado (20%) — Student Outcome SO1</w:t>
      </w:r>
    </w:p>
    <w:p>
      <w:pPr>
        <w:spacing w:after="40"/>
      </w:pPr>
      <w:r>
        <w:rPr>
          <w:rFonts w:ascii="Arial" w:hAnsi="Arial"/>
          <w:i/>
          <w:sz w:val="17"/>
        </w:rPr>
        <w:t>Indicador de desempeño 1.1 / 1.2: Analiza relaciones entre modelos matemáticos y orientación, calculando el error de rumbo y posición sin singularidades angulares.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708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Descriptor de Desempeño Observable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N5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475–500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Además de N4, desacopla formalmente las dos fases de control (rumbo y orientación final), demuestra analíticamente la estabilidad de Lyapunov del lazo, implementa atenuación suave con v*cos(alpha) en curvas cerradas y saturación cinemática sin discontinuidades.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N4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400–474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Calcula correctamente distancia euclidiana rho, error de rumbo alpha con wrap_to_pi y error angular theta_e, aplicando ganancias proporcionales sintonizadas que guían el robot a la meta suavemente.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N3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300–399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Implementa el cálculo cinemático de error cartesiano y orienta el robot hacia la meta, aunque presenta sobrepasos moderados o giros mayores a 180° por omisión de wrap_to_pi.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N2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150–299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La ley de control genera oscilaciones sostenidas, singularidades matemáticas cerca de la meta (rho -&gt; 0) o velocidades fuera de los límites de seguridad.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N1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0–149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No formula el modelo cinemático del uniciclo ni la ley de control; comandos erráticos sin convergencia.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C4. Misión multi-waypoint y rosbag MCAP (15%) — Student Outcome SO6</w:t>
      </w:r>
    </w:p>
    <w:p>
      <w:pPr>
        <w:spacing w:after="40"/>
      </w:pPr>
      <w:r>
        <w:rPr>
          <w:rFonts w:ascii="Arial" w:hAnsi="Arial"/>
          <w:i/>
          <w:sz w:val="17"/>
        </w:rPr>
        <w:t>Indicador de desempeño 6.1 / 6.2: Diseña y ejecuta pruebas de lazo cerrado, midiendo tiempos de convergencia y errores en estado estacionario.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708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Descriptor de Desempeño Observable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N5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475–500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Además de N4, ejecuta una misión de patrullaje encadenando 4 waypoints secuenciales esperando el Result de cada uno antes de despachar el siguiente, graba rosbag MCAP de alta resolución y genera gráficas de convergencia y perfiles de velocidad.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N4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400–474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Ejecuta los escenarios experimentales básicos (rectilíneo, rotación pura, diagonal y cancelación), diligencia completamente las Tablas 2 y 3, y aporta capturas de trayectoria claras en turtlesim.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N3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300–399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Ejecuta al menos 2 escenarios experimentales, registra datos básicos en las tablas y aporta evidencia fotográfica del rastro de la tortuga.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N2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150–299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Presenta datos experimentales incompletos, sin dataset de rosbag verificable o con discrepancias notorias entre lo reportado y el comportamiento real.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N1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0–149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Sin pruebas experimentales documentadas, sin rosbag y sin métricas cuantitativas.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C5. Trazabilidad técnica, trabajo en equipo y Sim-to-Real (10%) — Student Outcome SO3 / SO5</w:t>
      </w:r>
    </w:p>
    <w:p>
      <w:pPr>
        <w:spacing w:after="40"/>
      </w:pPr>
      <w:r>
        <w:rPr>
          <w:rFonts w:ascii="Arial" w:hAnsi="Arial"/>
          <w:i/>
          <w:sz w:val="17"/>
        </w:rPr>
        <w:t>Indicador de desempeño 3.1 - 3.3 / 5.1: Elabora documentación técnica reproducible, define roles técnicos y coordina la ejecución en equipo.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708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Descriptor de Desempeño Observable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N5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475–500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Además de N4, sustenta con fluidez técnica sobresaliente, demuestra commits Git equilibrados y trazables de todos los integrantes, y ejecuta con éxito el reto integrador Sim-to-Real remapeando el servidor hacia el robot físico con micro-ROS en ESP32.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N4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400–474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Entrega el informe técnico completo en formato oficial, responde con claridad a la sustentación técnica individual, mantiene el repositorio organizado y diligencia el Anexo A de comprobación.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N3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300–399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Presenta el informe técnico en el formato oficial, con Anexo A firmado y aportes individuales identificables.</w:t>
            </w:r>
          </w:p>
        </w:tc>
      </w:tr>
      <w:tr>
        <w:tc>
          <w:tcPr>
            <w:tcW w:type="dxa" w:w="1134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N2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150–299</w:t>
            </w:r>
          </w:p>
        </w:tc>
        <w:tc>
          <w:tcPr>
            <w:tcW w:type="dxa" w:w="708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Documento desordenado, sin respuestas justificadas en el cuestionario o con participación pasiva de algún integrante en la sustentación.</w:t>
            </w:r>
          </w:p>
        </w:tc>
      </w:tr>
      <w:tr>
        <w:tc>
          <w:tcPr>
            <w:tcW w:type="dxa" w:w="1134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N1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0–149</w:t>
            </w:r>
          </w:p>
        </w:tc>
        <w:tc>
          <w:tcPr>
            <w:tcW w:type="dxa" w:w="708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Falta el Anexo A individual, entrega incompleta o plagio/copia no autorizada.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8"/>
        </w:rPr>
        <w:t>10. Consolidación de Calificación Docente (Escala Zubatronic 0–500)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Criterio Evaluado</w:t>
            </w:r>
          </w:p>
        </w:tc>
        <w:tc>
          <w:tcPr>
            <w:tcW w:type="dxa" w:w="141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Peso Oficial (%)</w:t>
            </w:r>
          </w:p>
        </w:tc>
        <w:tc>
          <w:tcPr>
            <w:tcW w:type="dxa" w:w="1247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Nivel Marcado</w:t>
            </w:r>
          </w:p>
        </w:tc>
        <w:tc>
          <w:tcPr>
            <w:tcW w:type="dxa" w:w="187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Valor Obtenido (0–500)</w:t>
            </w:r>
          </w:p>
        </w:tc>
        <w:tc>
          <w:tcPr>
            <w:tcW w:type="dxa" w:w="1701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Aporte Ponderado</w:t>
            </w:r>
          </w:p>
        </w:tc>
      </w:tr>
      <w:tr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C1. Arquitectura y contrato de Acción ROS 2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124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8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C2. Ciclo de vida, máquina de estados y preempción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124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C3. Modelado cinemático en lazo cerrado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124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8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C4. Misión multi-waypoint y rosbag MCAP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15%</w:t>
            </w:r>
          </w:p>
        </w:tc>
        <w:tc>
          <w:tcPr>
            <w:tcW w:type="dxa" w:w="124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C5. Trazabilidad técnica, trabajo en equipo y Sim-to-Real</w:t>
            </w:r>
          </w:p>
        </w:tc>
        <w:tc>
          <w:tcPr>
            <w:tcW w:type="dxa" w:w="141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type="dxa" w:w="1247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0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85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TOTAL CONSOLIDADO</w:t>
            </w:r>
          </w:p>
        </w:tc>
        <w:tc>
          <w:tcPr>
            <w:tcW w:type="dxa" w:w="141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247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01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________ / 500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Arial" w:hAnsi="Arial"/>
          <w:i/>
          <w:color w:val="555555"/>
          <w:sz w:val="17"/>
        </w:rPr>
        <w:t>Nota institucional: Nota Académica sobre 5,0 = Nota Consolidada sobre 500 ÷ 100. Aporte a la Nota del Corte 2: E₂ = Nota Académica × 0,30 (30% de la nota de C2).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986"/>
        <w:gridCol w:w="4986"/>
      </w:tblGrid>
      <w:tr>
        <w:tc>
          <w:tcPr>
            <w:tcW w:type="dxa" w:w="3969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 Oficial de la Actividad</w:t>
            </w:r>
          </w:p>
        </w:tc>
        <w:tc>
          <w:tcPr>
            <w:tcW w:type="dxa" w:w="5669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Registro Oficial</w:t>
            </w:r>
          </w:p>
        </w:tc>
      </w:tr>
      <w:tr>
        <w:tc>
          <w:tcPr>
            <w:tcW w:type="dxa" w:w="3969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Nota del Proyecto Integrador Corte 2 sobre 500 puntos</w:t>
            </w:r>
          </w:p>
        </w:tc>
        <w:tc>
          <w:tcPr>
            <w:tcW w:type="dxa" w:w="5669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__________ / 500</w:t>
            </w:r>
          </w:p>
        </w:tc>
      </w:tr>
      <w:tr>
        <w:tc>
          <w:tcPr>
            <w:tcW w:type="dxa" w:w="3969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Nota Académica Oficial sobre 5,0</w:t>
            </w:r>
          </w:p>
        </w:tc>
        <w:tc>
          <w:tcPr>
            <w:tcW w:type="dxa" w:w="5669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__________ / 5,0</w:t>
            </w:r>
          </w:p>
        </w:tc>
      </w:tr>
      <w:tr>
        <w:tc>
          <w:tcPr>
            <w:tcW w:type="dxa" w:w="3969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Número de Criterios en Nivel N3 o superior (Umbral Individual)</w:t>
            </w:r>
          </w:p>
        </w:tc>
        <w:tc>
          <w:tcPr>
            <w:tcW w:type="dxa" w:w="5669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_____ / 5</w:t>
            </w:r>
          </w:p>
        </w:tc>
      </w:tr>
      <w:tr>
        <w:tc>
          <w:tcPr>
            <w:tcW w:type="dxa" w:w="3969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b/>
                <w:sz w:val="18"/>
              </w:rPr>
              <w:t>¿Cumple el Umbral Individual de Logro ABET (todos en N3+)?</w:t>
            </w:r>
          </w:p>
        </w:tc>
        <w:tc>
          <w:tcPr>
            <w:tcW w:type="dxa" w:w="5669"/>
            <w:shd w:val="clear" w:color="auto" w:fill="F2F2F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SÍ ☐         NO ☐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