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Formato de evidencias y calificación — Taller 01: CLI de ROS 2</w:t>
      </w:r>
    </w:p>
    <w:p>
      <w:pPr>
        <w:ind w:left="259" w:right="259"/>
        <w:pBdr>
          <w:left w:val="single" w:sz="18" w:color="5B9BD5" w:space="8"/>
        </w:pBdr>
      </w:pPr>
      <w:r>
        <w:rPr>
          <w:i/>
          <w:color w:val="404040"/>
        </w:rPr>
        <w:t xml:space="preserve">Instrumento calificable asociado a </w:t>
      </w:r>
      <w:r>
        <w:rPr>
          <w:rFonts w:ascii="Aptos Mono" w:hAnsi="Aptos Mono" w:eastAsia="Aptos Mono"/>
          <w:i/>
          <w:color w:val="404040"/>
          <w:sz w:val="16"/>
        </w:rPr>
        <w:t>education/talleres/TALLER_ROS2_CLI.md</w:t>
      </w:r>
      <w:r>
        <w:rPr>
          <w:i/>
          <w:color w:val="404040"/>
        </w:rPr>
        <w:t>. El taller conserva las instrucciones de aprendizaje; este formato permite registrar la evidencia, marcar el nivel alcanzado en cada criterio y obtener una única nota consolidada.</w:t>
      </w:r>
    </w:p>
    <w:p>
      <w:pPr>
        <w:pStyle w:val="Heading1"/>
        <w:keepNext/>
      </w:pPr>
      <w:r>
        <w:t>1. Identificación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Registro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Asignatura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ROBOT OPERATING SYSTEM - ROS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Corte / instrumento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Primer corte / Talleres y tareas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Actividad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Taller 01 — CLI de ROS 2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Nombre completo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Código / grupo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Fecha de entrega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Enlace o ubicación de la entrega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Commit evaluado, si aplica</w:t>
            </w:r>
          </w:p>
        </w:tc>
        <w:tc>
          <w:tcPr>
            <w:tcW w:type="dxa" w:w="522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</w:tbl>
    <w:p>
      <w:pPr>
        <w:pStyle w:val="Heading1"/>
        <w:keepNext/>
      </w:pPr>
      <w:r>
        <w:t>2. Uso del formato</w:t>
      </w:r>
    </w:p>
    <w:p>
      <w:pPr>
        <w:pStyle w:val="ListNumber"/>
        <w:spacing w:after="20"/>
      </w:pPr>
      <w:r>
        <w:t>La persona participante registra las evidencias E1–E9.</w:t>
      </w:r>
    </w:p>
    <w:p>
      <w:pPr>
        <w:pStyle w:val="ListNumber"/>
        <w:spacing w:after="20"/>
      </w:pPr>
      <w:r>
        <w:t xml:space="preserve">Quien evalúa marca </w:t>
      </w:r>
      <w:r>
        <w:rPr>
          <w:b/>
        </w:rPr>
        <w:t>una sola casilla por criterio</w:t>
      </w:r>
      <w:r>
        <w:t>, correspondiente al nivel más alto demostrado. El nivel es acumulativo: para marcarlo también deben cumplirse los niveles anteriores.</w:t>
      </w:r>
    </w:p>
    <w:p>
      <w:pPr>
        <w:pStyle w:val="ListNumber"/>
        <w:spacing w:after="20"/>
      </w:pPr>
      <w:r>
        <w:t>En el consolidado final se copia el aporte indicado en la tabla rápida y se suman los cinco aportes. No se asignan puntajes intermedios.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Valor fijo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Interpretación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N5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500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Excelente: desempeño completo, preciso y reproducible.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N4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450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Bueno: desempeño correcto con omisiones menores.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N3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350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Aceptable: logra lo esencial con explicación parcial.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N2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Parcial: evidencia incompleta o errores importantes.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N1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100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Inicial: evidencia mínima, fragmentaria o no funcional.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Sin evidencia verificable.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3. Registro mínimo de evidencias</w:t>
      </w:r>
    </w:p>
    <w:p>
      <w:r>
        <w:t>Las capturas deben ser legibles y mostrar el resultado obtenido, no solamente el comando escrito.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Código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Evidencia requerida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Archivo, enlace, página o ubicación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E1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 Mono"/>
                <w:color w:val="9C0006"/>
                <w:sz w:val="15"/>
              </w:rPr>
              <w:t>ros2 node list</w:t>
            </w:r>
            <w:r>
              <w:rPr>
                <w:rFonts w:ascii="Aptos" w:hAnsi="Aptos"/>
                <w:sz w:val="15"/>
              </w:rPr>
              <w:t xml:space="preserve"> antes y después de detener </w:t>
            </w:r>
            <w:r>
              <w:rPr>
                <w:rFonts w:ascii="Aptos" w:hAnsi="Aptos" w:eastAsia="Aptos Mono"/>
                <w:color w:val="9C0006"/>
                <w:sz w:val="15"/>
              </w:rPr>
              <w:t>/teleop_turtle</w:t>
            </w:r>
            <w:r>
              <w:rPr>
                <w:rFonts w:ascii="Aptos" w:hAnsi="Aptos"/>
                <w:sz w:val="15"/>
              </w:rPr>
              <w:t xml:space="preserve">, y </w:t>
            </w:r>
            <w:r>
              <w:rPr>
                <w:rFonts w:ascii="Aptos" w:hAnsi="Aptos" w:eastAsia="Aptos Mono"/>
                <w:color w:val="9C0006"/>
                <w:sz w:val="15"/>
              </w:rPr>
              <w:t>ros2 node info /turtlesim</w:t>
            </w:r>
            <w:r>
              <w:rPr>
                <w:rFonts w:ascii="Aptos" w:hAnsi="Aptos"/>
                <w:sz w:val="15"/>
              </w:rPr>
              <w:t>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E2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Publicación de </w:t>
            </w:r>
            <w:r>
              <w:rPr>
                <w:rFonts w:ascii="Aptos" w:hAnsi="Aptos" w:eastAsia="Aptos Mono"/>
                <w:color w:val="9C0006"/>
                <w:sz w:val="15"/>
              </w:rPr>
              <w:t>geometry_msgs/msg/Twist</w:t>
            </w:r>
            <w:r>
              <w:rPr>
                <w:rFonts w:ascii="Aptos" w:hAnsi="Aptos"/>
                <w:sz w:val="15"/>
              </w:rPr>
              <w:t xml:space="preserve">, </w:t>
            </w:r>
            <w:r>
              <w:rPr>
                <w:rFonts w:ascii="Aptos" w:hAnsi="Aptos" w:eastAsia="Aptos Mono"/>
                <w:color w:val="9C0006"/>
                <w:sz w:val="15"/>
              </w:rPr>
              <w:t>ros2 topic echo /turtle1/cmd_vel</w:t>
            </w:r>
            <w:r>
              <w:rPr>
                <w:rFonts w:ascii="Aptos" w:hAnsi="Aptos"/>
                <w:sz w:val="15"/>
              </w:rPr>
              <w:t xml:space="preserve"> y trazo de la inicial.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E3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Invocación de </w:t>
            </w:r>
            <w:r>
              <w:rPr>
                <w:rFonts w:ascii="Aptos" w:hAnsi="Aptos" w:eastAsia="Aptos Mono"/>
                <w:color w:val="9C0006"/>
                <w:sz w:val="15"/>
              </w:rPr>
              <w:t>/clear</w:t>
            </w:r>
            <w:r>
              <w:rPr>
                <w:rFonts w:ascii="Aptos" w:hAnsi="Aptos"/>
                <w:sz w:val="15"/>
              </w:rPr>
              <w:t xml:space="preserve"> y efecto observable en </w:t>
            </w:r>
            <w:r>
              <w:rPr>
                <w:rFonts w:ascii="Aptos" w:hAnsi="Aptos" w:eastAsia="Aptos Mono"/>
                <w:color w:val="9C0006"/>
                <w:sz w:val="15"/>
              </w:rPr>
              <w:t>turtlesim</w:t>
            </w:r>
            <w:r>
              <w:rPr>
                <w:rFonts w:ascii="Aptos" w:hAnsi="Aptos"/>
                <w:sz w:val="15"/>
              </w:rPr>
              <w:t>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E4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Cambio de </w:t>
            </w:r>
            <w:r>
              <w:rPr>
                <w:rFonts w:ascii="Aptos" w:hAnsi="Aptos" w:eastAsia="Aptos Mono"/>
                <w:color w:val="9C0006"/>
                <w:sz w:val="15"/>
              </w:rPr>
              <w:t>background_r</w:t>
            </w:r>
            <w:r>
              <w:rPr>
                <w:rFonts w:ascii="Aptos" w:hAnsi="Aptos"/>
                <w:sz w:val="15"/>
              </w:rPr>
              <w:t>, con valor aplicado y efecto observable.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E5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Invocación de </w:t>
            </w:r>
            <w:r>
              <w:rPr>
                <w:rFonts w:ascii="Aptos" w:hAnsi="Aptos" w:eastAsia="Aptos Mono"/>
                <w:color w:val="9C0006"/>
                <w:sz w:val="15"/>
              </w:rPr>
              <w:t>/turtle1/set_pen</w:t>
            </w:r>
            <w:r>
              <w:rPr>
                <w:rFonts w:ascii="Aptos" w:hAnsi="Aptos"/>
                <w:sz w:val="15"/>
              </w:rPr>
              <w:t xml:space="preserve"> desde rqt, con color y ancho 5.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E6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Captura con </w:t>
            </w:r>
            <w:r>
              <w:rPr>
                <w:rFonts w:ascii="Aptos" w:hAnsi="Aptos" w:eastAsia="Aptos Mono"/>
                <w:color w:val="9C0006"/>
                <w:sz w:val="15"/>
              </w:rPr>
              <w:t>turtlesim</w:t>
            </w:r>
            <w:r>
              <w:rPr>
                <w:rFonts w:ascii="Aptos" w:hAnsi="Aptos"/>
                <w:sz w:val="15"/>
              </w:rPr>
              <w:t xml:space="preserve">, rqt Node Graph y </w:t>
            </w:r>
            <w:r>
              <w:rPr>
                <w:rFonts w:ascii="Aptos" w:hAnsi="Aptos" w:eastAsia="Aptos Mono"/>
                <w:color w:val="9C0006"/>
                <w:sz w:val="15"/>
              </w:rPr>
              <w:t>topic echo</w:t>
            </w:r>
            <w:r>
              <w:rPr>
                <w:rFonts w:ascii="Aptos" w:hAnsi="Aptos"/>
                <w:sz w:val="15"/>
              </w:rPr>
              <w:t xml:space="preserve"> activos.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E7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Diferencia entre tópico y servicio: flujo, asincronía y confirmación.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E8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Dos tópicos y dos servicios viables para </w:t>
            </w:r>
            <w:r>
              <w:rPr>
                <w:rFonts w:ascii="Aptos" w:hAnsi="Aptos" w:eastAsia="Aptos Mono"/>
                <w:color w:val="9C0006"/>
                <w:sz w:val="15"/>
              </w:rPr>
              <w:t>burger_delivery</w:t>
            </w:r>
            <w:r>
              <w:rPr>
                <w:rFonts w:ascii="Aptos" w:hAnsi="Aptos"/>
                <w:sz w:val="15"/>
              </w:rPr>
              <w:t>, con productor/consumidor o servidor/cliente.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E9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Diagnóstico real: síntoma, causa, corrección y verificación.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</w:tbl>
    <w:p>
      <w:r>
        <w:t>Ubicación del registro reproducible de comandos: ________________________________________________</w:t>
      </w:r>
    </w:p>
    <w:p>
      <w:pPr>
        <w:pStyle w:val="Heading1"/>
        <w:keepNext/>
      </w:pPr>
      <w:r>
        <w:t>4. Respuestas breves de la persona participante</w:t>
      </w:r>
    </w:p>
    <w:p>
      <w:pPr>
        <w:pStyle w:val="Heading2"/>
        <w:keepNext/>
      </w:pPr>
      <w:r>
        <w:t>E7. Tópico frente a servicio</w:t>
      </w:r>
    </w:p>
    <w:p>
      <w:r>
        <w:t>Explique la diferencia en máximo cinco líneas: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2"/>
        <w:keepNext/>
      </w:pPr>
      <w:r>
        <w:t xml:space="preserve">E8. Aplicación a </w:t>
      </w:r>
      <w:r>
        <w:rPr>
          <w:rFonts w:ascii="Aptos Mono" w:hAnsi="Aptos Mono" w:eastAsia="Aptos Mono"/>
          <w:color w:val="9C0006"/>
          <w:sz w:val="16"/>
        </w:rPr>
        <w:t>burger_delivery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Interfaz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Nombre propuesto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Productor/servidor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Consumidor/cliente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Justificación breve</w:t>
            </w: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Tópico 1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Tópico 2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Servicio 1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Servicio 2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</w:tbl>
    <w:p>
      <w:pPr>
        <w:pStyle w:val="Heading2"/>
        <w:keepNext/>
      </w:pPr>
      <w:r>
        <w:t>E9. Diagnóstico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Síntoma</w:t>
            </w:r>
          </w:p>
        </w:tc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Causa encontrada</w:t>
            </w:r>
          </w:p>
        </w:tc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Corrección aplicada</w:t>
            </w:r>
          </w:p>
        </w:tc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Verificación posterior</w:t>
            </w:r>
          </w:p>
        </w:tc>
      </w:tr>
      <w:tr>
        <w:trPr>
          <w:cantSplit/>
        </w:trPr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613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</w:tbl>
    <w:p>
      <w:r>
        <w:br w:type="page"/>
      </w:r>
    </w:p>
    <w:p>
      <w:pPr>
        <w:pStyle w:val="Heading1"/>
        <w:keepNext/>
      </w:pPr>
      <w:r>
        <w:t>5. Selección del nivel alcanzado</w:t>
      </w:r>
    </w:p>
    <w:p>
      <w:r>
        <w:t xml:space="preserve">Marque con una </w:t>
      </w:r>
      <w:r>
        <w:rPr>
          <w:b/>
        </w:rPr>
        <w:t>X</w:t>
      </w:r>
      <w:r>
        <w:t xml:space="preserve"> una sola casilla en cada criterio. Si no existe evidencia verificable, marque N0.</w:t>
      </w:r>
    </w:p>
    <w:p>
      <w:pPr>
        <w:pStyle w:val="Heading2"/>
        <w:keepNext/>
      </w:pPr>
      <w:r>
        <w:t>C1. Ejecución e introspección del grafo ROS 2 — peso 25%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2"/>
        <w:gridCol w:w="1440"/>
        <w:gridCol w:w="8208"/>
      </w:tblGrid>
      <w:tr>
        <w:trPr>
          <w:tblHeader w:val="true"/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Evidencia observable acumulativa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N5 — 500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N4, explica con precisión productores, consumidores y cambios del grafo; la ejecución es reproducible.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N4 — 450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N3, identifica correctamente tipos, relaciones y cambios del grafo, con omisiones menores.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N3 — 350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Ejecuta el entorno e identifica nodos e interfaces principales mediante comandos de introspección.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N2 — 250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Logra una ejecución parcial; faltan salidas o confunde algunas responsabilidades del grafo.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N1 — 100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Presenta evidencia fragmentaria, no funcional o sin interpretación.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N0 — 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 presenta evidencia verificable para el criterio.</w:t>
            </w:r>
          </w:p>
        </w:tc>
      </w:tr>
    </w:tbl>
    <w:p>
      <w:r>
        <w:rPr>
          <w:b/>
        </w:rPr>
        <w:t>Nivel C1 marcado:</w:t>
      </w:r>
      <w:r>
        <w:t xml:space="preserve"> ________</w:t>
      </w:r>
    </w:p>
    <w:p>
      <w:pPr>
        <w:pStyle w:val="Heading2"/>
        <w:keepNext/>
      </w:pPr>
      <w:r>
        <w:t>C2. Operación e interpretación de tópicos y mensajes — peso 20%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2"/>
        <w:gridCol w:w="1440"/>
        <w:gridCol w:w="8208"/>
      </w:tblGrid>
      <w:tr>
        <w:trPr>
          <w:tblHeader w:val="true"/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Evidencia observable acumulativa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N5 — 500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Además de N4, interpreta campos, unidades y efecto de </w:t>
            </w:r>
            <w:r>
              <w:rPr>
                <w:rFonts w:ascii="Aptos" w:hAnsi="Aptos" w:eastAsia="Aptos Mono"/>
                <w:color w:val="9C0006"/>
                <w:sz w:val="15"/>
              </w:rPr>
              <w:t>linear.x</w:t>
            </w:r>
            <w:r>
              <w:rPr>
                <w:rFonts w:ascii="Aptos" w:hAnsi="Aptos"/>
                <w:sz w:val="15"/>
              </w:rPr>
              <w:t xml:space="preserve"> y </w:t>
            </w:r>
            <w:r>
              <w:rPr>
                <w:rFonts w:ascii="Aptos" w:hAnsi="Aptos" w:eastAsia="Aptos Mono"/>
                <w:color w:val="9C0006"/>
                <w:sz w:val="15"/>
              </w:rPr>
              <w:t>angular.z</w:t>
            </w:r>
            <w:r>
              <w:rPr>
                <w:rFonts w:ascii="Aptos" w:hAnsi="Aptos"/>
                <w:sz w:val="15"/>
              </w:rPr>
              <w:t xml:space="preserve"> con precisión.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N4 — 450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N3, inspecciona el tópico y explica correctamente el flujo publicador/suscriptor.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N3 — 350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Publica un </w:t>
            </w:r>
            <w:r>
              <w:rPr>
                <w:rFonts w:ascii="Aptos" w:hAnsi="Aptos" w:eastAsia="Aptos Mono"/>
                <w:color w:val="9C0006"/>
                <w:sz w:val="15"/>
              </w:rPr>
              <w:t>Twist</w:t>
            </w:r>
            <w:r>
              <w:rPr>
                <w:rFonts w:ascii="Aptos" w:hAnsi="Aptos"/>
                <w:sz w:val="15"/>
              </w:rPr>
              <w:t xml:space="preserve">, produce el trazo solicitado y obtiene </w:t>
            </w:r>
            <w:r>
              <w:rPr>
                <w:rFonts w:ascii="Aptos" w:hAnsi="Aptos" w:eastAsia="Aptos Mono"/>
                <w:color w:val="9C0006"/>
                <w:sz w:val="15"/>
              </w:rPr>
              <w:t>topic echo</w:t>
            </w:r>
            <w:r>
              <w:rPr>
                <w:rFonts w:ascii="Aptos" w:hAnsi="Aptos"/>
                <w:sz w:val="15"/>
              </w:rPr>
              <w:t>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N2 — 250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Obtiene movimiento o datos parciales, pero mantiene errores de YAML o de interpretación.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N1 — 100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Presenta intentos sin una publicación funcional verificable.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N0 — 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 presenta evidencia verificable para el criterio.</w:t>
            </w:r>
          </w:p>
        </w:tc>
      </w:tr>
    </w:tbl>
    <w:p>
      <w:r>
        <w:rPr>
          <w:b/>
        </w:rPr>
        <w:t>Nivel C2 marcado:</w:t>
      </w:r>
      <w:r>
        <w:t xml:space="preserve"> ________</w:t>
      </w:r>
    </w:p>
    <w:p>
      <w:r>
        <w:br w:type="page"/>
      </w:r>
    </w:p>
    <w:p>
      <w:pPr>
        <w:pStyle w:val="Heading2"/>
        <w:keepNext/>
      </w:pPr>
      <w:r>
        <w:t>C3. Servicios, parámetros y rqt — peso 20%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2"/>
        <w:gridCol w:w="1440"/>
        <w:gridCol w:w="8208"/>
      </w:tblGrid>
      <w:tr>
        <w:trPr>
          <w:tblHeader w:val="true"/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Evidencia observable acumulativa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N5 — 500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N4, distingue con precisión solicitud–respuesta, configuración y herramienta gráfica.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N4 — 450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N3, identifica tipos y campos y explica el efecto de cada operación.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N3 — 350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Ejecuta correctamente </w:t>
            </w:r>
            <w:r>
              <w:rPr>
                <w:rFonts w:ascii="Aptos" w:hAnsi="Aptos" w:eastAsia="Aptos Mono"/>
                <w:color w:val="9C0006"/>
                <w:sz w:val="15"/>
              </w:rPr>
              <w:t>/clear</w:t>
            </w:r>
            <w:r>
              <w:rPr>
                <w:rFonts w:ascii="Aptos" w:hAnsi="Aptos"/>
                <w:sz w:val="15"/>
              </w:rPr>
              <w:t xml:space="preserve">, cambia </w:t>
            </w:r>
            <w:r>
              <w:rPr>
                <w:rFonts w:ascii="Aptos" w:hAnsi="Aptos" w:eastAsia="Aptos Mono"/>
                <w:color w:val="9C0006"/>
                <w:sz w:val="15"/>
              </w:rPr>
              <w:t>background_r</w:t>
            </w:r>
            <w:r>
              <w:rPr>
                <w:rFonts w:ascii="Aptos" w:hAnsi="Aptos"/>
                <w:sz w:val="15"/>
              </w:rPr>
              <w:t xml:space="preserve"> y usa rqt con </w:t>
            </w:r>
            <w:r>
              <w:rPr>
                <w:rFonts w:ascii="Aptos" w:hAnsi="Aptos" w:eastAsia="Aptos Mono"/>
                <w:color w:val="9C0006"/>
                <w:sz w:val="15"/>
              </w:rPr>
              <w:t>/turtle1/set_pen</w:t>
            </w:r>
            <w:r>
              <w:rPr>
                <w:rFonts w:ascii="Aptos" w:hAnsi="Aptos"/>
                <w:sz w:val="15"/>
              </w:rPr>
              <w:t>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N2 — 250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Completa solamente una o dos operaciones o conserva errores de sintaxis.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N1 — 100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Presenta intentos sin operaciones funcionales verificables.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N0 — 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 presenta evidencia verificable para el criterio.</w:t>
            </w:r>
          </w:p>
        </w:tc>
      </w:tr>
    </w:tbl>
    <w:p>
      <w:r>
        <w:rPr>
          <w:b/>
        </w:rPr>
        <w:t>Nivel C3 marcado:</w:t>
      </w:r>
      <w:r>
        <w:t xml:space="preserve"> ________</w:t>
      </w:r>
    </w:p>
    <w:p>
      <w:pPr>
        <w:pStyle w:val="Heading2"/>
        <w:keepNext/>
      </w:pPr>
      <w:r>
        <w:t xml:space="preserve">C4. Decisión arquitectónica para </w:t>
      </w:r>
      <w:r>
        <w:rPr>
          <w:rFonts w:ascii="Aptos Mono" w:hAnsi="Aptos Mono" w:eastAsia="Aptos Mono"/>
          <w:color w:val="9C0006"/>
          <w:sz w:val="16"/>
        </w:rPr>
        <w:t>burger_delivery</w:t>
      </w:r>
      <w:r>
        <w:t xml:space="preserve"> — peso 20%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2"/>
        <w:gridCol w:w="1440"/>
        <w:gridCol w:w="8208"/>
      </w:tblGrid>
      <w:tr>
        <w:trPr>
          <w:tblHeader w:val="true"/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Evidencia observable acumulativa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N5 — 500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N4, analiza correctamente una consecuencia de escoger la interfaz contraria.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N4 — 450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N3, identifica datos o contratos y justifica cada elección.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N3 — 350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Propone dos tópicos y dos servicios pertinentes con sus participantes.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N2 — 250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Presenta menos de cuatro casos válidos o confunde tópico y servicio.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N1 — 100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Las propuestas son genéricas o no corresponden a la comunicación requerida.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N0 — 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 presenta evidencia verificable para el criterio.</w:t>
            </w:r>
          </w:p>
        </w:tc>
      </w:tr>
    </w:tbl>
    <w:p>
      <w:r>
        <w:rPr>
          <w:b/>
        </w:rPr>
        <w:t>Nivel C4 marcado:</w:t>
      </w:r>
      <w:r>
        <w:t xml:space="preserve"> ________</w:t>
      </w:r>
    </w:p>
    <w:p>
      <w:r>
        <w:br w:type="page"/>
      </w:r>
    </w:p>
    <w:p>
      <w:pPr>
        <w:pStyle w:val="Heading2"/>
        <w:keepNext/>
      </w:pPr>
      <w:r>
        <w:t>C5. Evidencia reproducible y diagnóstico — peso 15%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92"/>
        <w:gridCol w:w="1440"/>
        <w:gridCol w:w="8208"/>
      </w:tblGrid>
      <w:tr>
        <w:trPr>
          <w:tblHeader w:val="true"/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Evidencia observable acumulativa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N5 — 500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N4, el diagnóstico conecta síntoma, causa, corrección y prueba posterior de forma técnica.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N4 — 450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Además de N3, la evidencia es ordenada, atribuible y permite reproducir casi todos los resultados.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N3 — 350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Las evidencias permiten verificar el funcionamiento general y documentan una dificultad real.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N2 — 250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Hay capturas aisladas, registros incompletos o no se verifica la corrección.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N1 — 100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La evidencia es fragmentaria, ilegible o no atribuible a la ejecución solicitada.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</w:r>
            <w:sdt>
              <w:sdtPr>
                <w:alias w:val="Marcar nivel"/>
                <w:tag w:val="nivel"/>
                <w:id w:val="-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N0 — 0</w:t>
            </w:r>
          </w:p>
        </w:tc>
        <w:tc>
          <w:tcPr>
            <w:tcW w:type="dxa" w:w="3485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 presenta evidencia verificable para el criterio.</w:t>
            </w:r>
          </w:p>
        </w:tc>
      </w:tr>
    </w:tbl>
    <w:p>
      <w:r>
        <w:rPr>
          <w:b/>
        </w:rPr>
        <w:t>Nivel C5 marcado:</w:t>
      </w:r>
      <w:r>
        <w:t xml:space="preserve"> ________</w:t>
      </w:r>
    </w:p>
    <w:p>
      <w:r>
        <w:br w:type="page"/>
      </w:r>
    </w:p>
    <w:p>
      <w:pPr>
        <w:pStyle w:val="Heading1"/>
        <w:keepNext/>
      </w:pPr>
      <w:r>
        <w:t>6. Tabla rápida de aportes</w:t>
      </w:r>
    </w:p>
    <w:p>
      <w:r>
        <w:t>Después de marcar cada nivel, copie en el consolidado el aporte correspondiente. Los valores ya incluyen el peso del criterio.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cantSplit/>
        </w:trPr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Peso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N0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N1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N2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N3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N4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N5</w:t>
            </w:r>
          </w:p>
        </w:tc>
      </w:tr>
      <w:tr>
        <w:trPr>
          <w:cantSplit/>
        </w:trPr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C1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25%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62,5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87,5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112,5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125</w:t>
            </w:r>
          </w:p>
        </w:tc>
      </w:tr>
      <w:tr>
        <w:trPr>
          <w:cantSplit/>
        </w:trPr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C2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20%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100</w:t>
            </w:r>
          </w:p>
        </w:tc>
      </w:tr>
      <w:tr>
        <w:trPr>
          <w:cantSplit/>
        </w:trPr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C3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20%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100</w:t>
            </w:r>
          </w:p>
        </w:tc>
      </w:tr>
      <w:tr>
        <w:trPr>
          <w:cantSplit/>
        </w:trPr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C4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20%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100</w:t>
            </w:r>
          </w:p>
        </w:tc>
      </w:tr>
      <w:tr>
        <w:trPr>
          <w:cantSplit/>
        </w:trPr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C5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15%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0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37,5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52,5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67,5</w:t>
            </w:r>
          </w:p>
        </w:tc>
        <w:tc>
          <w:tcPr>
            <w:tcW w:type="dxa" w:w="1307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75</w:t>
            </w:r>
          </w:p>
        </w:tc>
      </w:tr>
    </w:tbl>
    <w:p>
      <w:pPr>
        <w:pStyle w:val="Heading1"/>
        <w:keepNext/>
      </w:pPr>
      <w:r>
        <w:t>7. Consolidado final de calificación</w:t>
      </w:r>
    </w:p>
    <w:p>
      <w:pPr>
        <w:spacing w:after="60"/>
      </w:pPr>
      <w:r>
        <w:rPr>
          <w:rFonts w:ascii="Aptos" w:hAnsi="Aptos"/>
          <w:sz w:val="17"/>
        </w:rPr>
        <w:t xml:space="preserve">Copie únicamente los cinco aportes de la tabla rápida. En Word, use </w:t>
      </w:r>
      <w:r>
        <w:rPr>
          <w:rFonts w:ascii="Aptos" w:hAnsi="Aptos"/>
          <w:b/>
          <w:sz w:val="17"/>
        </w:rPr>
        <w:t>Ctrl+A y F9</w:t>
      </w:r>
      <w:r>
        <w:rPr>
          <w:rFonts w:ascii="Aptos" w:hAnsi="Aptos"/>
          <w:sz w:val="17"/>
        </w:rPr>
        <w:t xml:space="preserve"> para actualizar automáticamente el total y su equivalente sobre 5,0.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Peso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Nivel marcado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Valor del nivel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5"/>
              </w:rPr>
              <w:t>Aporte según tabla rápida</w:t>
            </w: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C1. Grafo ROS 2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25%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C2. Tópicos y mensajes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20%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C3. Servicios, parámetros y rqt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20%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 xml:space="preserve">C4. Arquitectura </w:t>
            </w:r>
            <w:r>
              <w:rPr>
                <w:rFonts w:ascii="Aptos" w:hAnsi="Aptos" w:eastAsia="Aptos Mono"/>
                <w:color w:val="9C0006"/>
                <w:sz w:val="15"/>
              </w:rPr>
              <w:t>burger_delivery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20%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C5. Evidencia y diagnóstico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5"/>
              </w:rPr>
              <w:t>15%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pPr>
              <w:spacing w:after="0" w:line="240" w:lineRule="auto"/>
            </w:pPr>
          </w:p>
        </w:tc>
      </w:tr>
      <w:tr>
        <w:trPr>
          <w:cantSplit/>
        </w:trPr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sz w:val="15"/>
              </w:rPr>
              <w:t>TOTAL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sz w:val="15"/>
              </w:rPr>
              <w:t>100%</w:t>
            </w: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  <w:tc>
          <w:tcPr>
            <w:tcW w:type="dxa" w:w="2091"/>
            <w:vAlign w:val="center"/>
            <w:tcMar>
              <w:top w:w="35" w:type="dxa"/>
              <w:start w:w="55" w:type="dxa"/>
              <w:bottom w:w="3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rPr>
                <w:b/>
              </w:rPr>
              <w:t xml:space="preserve">Total: </w:t>
            </w:r>
            <w:bookmarkStart w:id="710" w:name="NotaTaller500"/>
            <w:r>
              <w:fldChar w:fldCharType="begin"/>
              <w:instrText xml:space="preserve"> =SUM(ABOVE) \# "0.0" </w:instrText>
              <w:fldChar w:fldCharType="separate"/>
              <w:t>0.0</w:t>
              <w:fldChar w:fldCharType="end"/>
            </w:r>
            <w:bookmarkEnd w:id="710"/>
            <w:r>
              <w:t xml:space="preserve"> / 500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Resultado final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Registro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Nota Taller 01 sobre 500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fldChar w:fldCharType="begin"/>
              <w:instrText xml:space="preserve"> REF NotaTaller500 \# "0.0" </w:instrText>
              <w:fldChar w:fldCharType="separate"/>
              <w:t>0.0</w:t>
              <w:fldChar w:fldCharType="end"/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Nota Taller 01 sobre 5,0 = total ÷ 100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AF2F8"/>
          </w:tcPr>
          <w:p>
            <w:pPr>
              <w:spacing w:after="0" w:line="240" w:lineRule="auto"/>
              <w:jc w:val="center"/>
            </w:pPr>
            <w:r>
              <w:fldChar w:fldCharType="begin"/>
              <w:instrText xml:space="preserve"> =NotaTaller500/100 \# "0.00" </w:instrText>
              <w:fldChar w:fldCharType="separate"/>
              <w:t>0.00</w:t>
              <w:fldChar w:fldCharType="end"/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Nivel global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6"/>
              </w:rPr>
              <w:t>__________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Observaciones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</w:p>
        </w:tc>
      </w:tr>
    </w:tbl>
    <w:p>
      <w:pPr>
        <w:pStyle w:val="Heading1"/>
        <w:keepNext/>
      </w:pPr>
      <w:r>
        <w:t>8. Uso posterior en la nota del corte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Registro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Peso del Taller 01 dentro del acumulado </w:t>
            </w:r>
            <w:r>
              <w:rPr>
                <w:rFonts w:ascii="Aptos" w:hAnsi="Aptos" w:eastAsia="Aptos Mono"/>
                <w:color w:val="9C0006"/>
                <w:sz w:val="16"/>
              </w:rPr>
              <w:t>T₁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sz w:val="16"/>
              </w:rPr>
              <w:t>______ %</w:t>
            </w:r>
          </w:p>
        </w:tc>
      </w:tr>
      <w:tr>
        <w:trPr>
          <w:cantSplit/>
        </w:trPr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 xml:space="preserve">Aporte del Taller 01 a </w:t>
            </w:r>
            <w:r>
              <w:rPr>
                <w:rFonts w:ascii="Aptos" w:hAnsi="Aptos" w:eastAsia="Aptos Mono"/>
                <w:color w:val="9C0006"/>
                <w:sz w:val="16"/>
              </w:rPr>
              <w:t>T₁</w:t>
            </w:r>
          </w:p>
        </w:tc>
        <w:tc>
          <w:tcPr>
            <w:tcW w:type="dxa" w:w="5227"/>
            <w:vAlign w:val="center"/>
            <w:tcMar>
              <w:top w:w="55" w:type="dxa"/>
              <w:start w:w="55" w:type="dxa"/>
              <w:bottom w:w="55" w:type="dxa"/>
              <w:end w:w="55" w:type="dxa"/>
            </w:tcMar>
            <w:shd w:fill="EAF2F8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6"/>
              </w:rPr>
              <w:t>Nota Taller 01 × peso ÷ 100</w:t>
            </w:r>
          </w:p>
        </w:tc>
      </w:tr>
    </w:tbl>
    <w:p>
      <w:pPr>
        <w:ind w:left="288"/>
      </w:pPr>
      <w:r>
        <w:rPr>
          <w:rFonts w:ascii="Aptos Mono" w:hAnsi="Aptos Mono" w:eastAsia="Aptos Mono"/>
          <w:color w:val="404040"/>
          <w:sz w:val="16"/>
        </w:rPr>
        <w:t>T₁ = Σ(Nota de cada taller o tarea × su peso) / 100</w:t>
      </w:r>
    </w:p>
    <w:p>
      <w:pPr>
        <w:ind w:left="288"/>
      </w:pPr>
      <w:r>
        <w:rPr>
          <w:rFonts w:ascii="Aptos Mono" w:hAnsi="Aptos Mono" w:eastAsia="Aptos Mono"/>
          <w:color w:val="404040"/>
          <w:sz w:val="16"/>
        </w:rPr>
        <w:t>Nota Corte 1 = 0,28 T₁ + 0,42 L₁ + 0,30 E₁</w:t>
      </w:r>
    </w:p>
    <w:p>
      <w:r>
        <w:t xml:space="preserve">Este documento entrega directamente la </w:t>
      </w:r>
      <w:r>
        <w:rPr>
          <w:b/>
        </w:rPr>
        <w:t>Nota Taller 01</w:t>
      </w:r>
      <w:r>
        <w:t>. Esa nota pasa al consolidado de talleres y tareas del primer corte.</w:t>
      </w:r>
    </w:p>
    <w:p>
      <w:pPr>
        <w:pStyle w:val="Heading1"/>
        <w:keepNext/>
      </w:pPr>
      <w:r>
        <w:t>9. Cierre</w:t>
      </w:r>
    </w:p>
    <w:p>
      <w:r>
        <w:t>Nombre de quien evalúa: ____________________________________  Fecha: __________________</w:t>
      </w:r>
    </w:p>
    <w:p>
      <w:r>
        <w:t>Firma o visto bueno: 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835" w:left="893" w:header="259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5"/>
      </w:rPr>
      <w:t xml:space="preserve">Taller 01 · Evidencias y calificación  |  Página </w:t>
    </w:r>
    <w:r>
      <w:rPr>
        <w:color w:val="666666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666666"/>
        <w:sz w:val="15"/>
      </w:rPr>
      <w:t xml:space="preserve"> de </w:t>
    </w:r>
    <w:r>
      <w:rPr>
        <w:color w:val="666666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84"/>
      <w:gridCol w:w="5256"/>
    </w:tblGrid>
    <w:tr>
      <w:tc>
        <w:tcPr>
          <w:tcW w:type="dxa" w:w="5220"/>
          <w:vAlign w:val="center"/>
          <w:shd w:fill="17365D"/>
        </w:tcPr>
        <w:p>
          <w:pPr>
            <w:jc w:val="left"/>
          </w:pPr>
          <w:r>
            <w:rPr>
              <w:rFonts w:ascii="Aptos" w:hAnsi="Aptos"/>
              <w:b/>
              <w:color w:val="FFFFFF"/>
              <w:sz w:val="16"/>
            </w:rPr>
            <w:t>UNIVERSIDAD MILITAR NUEVA GRANADA</w:t>
          </w:r>
        </w:p>
      </w:tc>
      <w:tc>
        <w:tcPr>
          <w:tcW w:type="dxa" w:w="5220"/>
          <w:vAlign w:val="center"/>
          <w:shd w:fill="17365D"/>
        </w:tcPr>
        <w:p>
          <w:pPr>
            <w:jc w:val="right"/>
          </w:pPr>
          <w:r>
            <w:rPr>
              <w:rFonts w:ascii="Aptos" w:hAnsi="Aptos"/>
              <w:b/>
              <w:color w:val="FFFFFF"/>
              <w:sz w:val="16"/>
            </w:rPr>
            <w:t>ROBOT OPERATING SYSTEM - ROS</w:t>
            <w:br/>
            <w:t>Instrumento de evaluación — Corte 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5" w:lineRule="auto"/>
    </w:pPr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8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65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evidencias y calificación — Taller 01: CLI de ROS 2</dc:title>
  <dc:subject>Instrumento ABET/SGDE de evaluación del primer corte</dc:subject>
  <dc:creator>Universidad Militar Nueva Granada</dc:creator>
  <cp:keywords>ROS 2, ABET, SGDE, rúbrica, Taller 01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