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RISK ANALYSIS &amp; MITIGATION PLAN: RENT GUARD (FLORIDA)</w:t>
      </w:r>
    </w:p>
    <w:p>
      <w:r/>
    </w:p>
    <w:p>
      <w:pPr>
        <w:pStyle w:val="Heading2"/>
      </w:pPr>
      <w:r>
        <w:t>Executive Summary</w:t>
      </w:r>
    </w:p>
    <w:p>
      <w:r>
        <w:t xml:space="preserve">Rent Guard operates in a "high-velocity" legal environment where the primary value proposition is the speed of eviction and recovery. Our strategy relies on maintaining a </w:t>
      </w:r>
      <w:r>
        <w:rPr>
          <w:b/>
        </w:rPr>
        <w:t>Service Provider</w:t>
      </w:r>
      <w:r>
        <w:t xml:space="preserve"> status rather than an </w:t>
      </w:r>
      <w:r>
        <w:rPr>
          <w:b/>
        </w:rPr>
        <w:t>Insurer</w:t>
      </w:r>
      <w:r>
        <w:t xml:space="preserve"> status, while leveraging Florida's </w:t>
      </w:r>
      <w:r>
        <w:rPr>
          <w:b/>
        </w:rPr>
        <w:t>Summary Procedure</w:t>
      </w:r>
      <w:r>
        <w:t xml:space="preserve"> (Chapter 83) for maximum operational efficiency.</w:t>
      </w:r>
    </w:p>
    <w:p>
      <w:r/>
    </w:p>
    <w:p>
      <w:r>
        <w:br w:type="page"/>
      </w:r>
    </w:p>
    <w:p>
      <w:r/>
    </w:p>
    <w:p>
      <w:pPr>
        <w:pStyle w:val="Heading2"/>
      </w:pPr>
      <w:r>
        <w:t>1. Regulatory Risk: Classification as "Unauthorized Insurer"</w:t>
      </w:r>
    </w:p>
    <w:p>
      <w:r/>
      <w:r>
        <w:rPr>
          <w:b/>
        </w:rPr>
        <w:t>Risk</w:t>
      </w:r>
      <w:r>
        <w:t>: The Florida Office of Insurance Regulation (FOIR) might classify Rent Guard’s protection payments as "Insurance" or "Surety," which would require significant capital reserves and licensing.</w:t>
      </w:r>
    </w:p>
    <w:p>
      <w:r/>
    </w:p>
    <w:p>
      <w:pPr>
        <w:pStyle w:val="Heading3"/>
      </w:pPr>
      <w:r>
        <w:t>Mitigation Plan:</w:t>
      </w:r>
    </w:p>
    <w:p>
      <w:pPr>
        <w:pStyle w:val="ListBullet"/>
      </w:pPr>
      <w:r>
        <w:t>**Contractual Labeling**: Avoid words like "Guarantee," "Insure," "Policy," or "Premium." Use "Protection Service," "Protected Funds," and "Service Fee."</w:t>
      </w:r>
    </w:p>
    <w:p>
      <w:pPr>
        <w:pStyle w:val="ListBullet"/>
      </w:pPr>
      <w:r>
        <w:t>**Contingent Nature**: Frame the payment as an **administrative service event** where Rent Guard *elects* to pay as part of a risk-management package, tied to the acquisition of the Landlord's legal rights.</w:t>
      </w:r>
    </w:p>
    <w:p>
      <w:pPr>
        <w:pStyle w:val="ListBullet"/>
      </w:pPr>
      <w:r>
        <w:t>**Service Components**: Bundle the protection with non-financial services (credit monitoring, eviction coordination, tenant screening) to maintain the "Service" character.</w:t>
      </w:r>
    </w:p>
    <w:p>
      <w:r/>
    </w:p>
    <w:p>
      <w:r>
        <w:br w:type="page"/>
      </w:r>
    </w:p>
    <w:p>
      <w:r/>
    </w:p>
    <w:p>
      <w:pPr>
        <w:pStyle w:val="Heading2"/>
      </w:pPr>
      <w:r>
        <w:t>2. Operational Risk: Eviction Speed &amp; Summary Procedure</w:t>
      </w:r>
    </w:p>
    <w:p>
      <w:r/>
      <w:r>
        <w:rPr>
          <w:b/>
        </w:rPr>
        <w:t>Risk</w:t>
      </w:r>
      <w:r>
        <w:t>: Local courts or Tenant defenses delay the eviction process, extending the period of unpaid rent and increasing Rent Guard's liability.</w:t>
      </w:r>
    </w:p>
    <w:p>
      <w:r/>
    </w:p>
    <w:p>
      <w:pPr>
        <w:pStyle w:val="Heading3"/>
      </w:pPr>
      <w:r>
        <w:t>Mitigation Plan:</w:t>
      </w:r>
    </w:p>
    <w:p>
      <w:pPr>
        <w:pStyle w:val="ListBullet"/>
      </w:pPr>
      <w:r>
        <w:t>**Power of Attorney (POA)**: Use the irrevocable POA in the contract to act immediately upon default.</w:t>
      </w:r>
    </w:p>
    <w:p>
      <w:pPr>
        <w:pStyle w:val="ListBullet"/>
      </w:pPr>
      <w:r>
        <w:t>**Section 83.60(2) Compliance**: Ensure the contract requires the Tenant to deposit rent into the Court Registry as a condition of filing any defense. If they fail to deposit, they waive all defenses—securing an immediate default judgment.</w:t>
      </w:r>
    </w:p>
    <w:p>
      <w:pPr>
        <w:pStyle w:val="ListBullet"/>
      </w:pPr>
      <w:r>
        <w:t>**Standardized Filings**: Use "Summary Procedure" (Sec 51.011) exclusively. Our contract mandates Tenant waiver of jury trials and certain procedural delays to the extent legally permissible.</w:t>
      </w:r>
    </w:p>
    <w:p>
      <w:r/>
    </w:p>
    <w:p>
      <w:r>
        <w:br w:type="page"/>
      </w:r>
    </w:p>
    <w:p>
      <w:r/>
    </w:p>
    <w:p>
      <w:pPr>
        <w:pStyle w:val="Heading2"/>
      </w:pPr>
      <w:r>
        <w:t>3. Practice of Law (UPL) Risk</w:t>
      </w:r>
    </w:p>
    <w:p>
      <w:r/>
      <w:r>
        <w:rPr>
          <w:b/>
        </w:rPr>
        <w:t>Risk</w:t>
      </w:r>
      <w:r>
        <w:t>: Rent Guard (the LLC) acts as a lawyer by filing complaints, which is a crime in Florida (Unauthorized Practice of Law).</w:t>
      </w:r>
    </w:p>
    <w:p>
      <w:r/>
    </w:p>
    <w:p>
      <w:pPr>
        <w:pStyle w:val="Heading3"/>
      </w:pPr>
      <w:r>
        <w:t>Mitigation Plan:</w:t>
      </w:r>
    </w:p>
    <w:p>
      <w:pPr>
        <w:pStyle w:val="ListBullet"/>
      </w:pPr>
      <w:r>
        <w:t>**Pre-Retained Counsel**: Rent Guard should not file "In Propria Persona" for the Landlord. Instead, Rent Guard should use the POA to **engage a licensed Florida attorney** to sign all pleadings.</w:t>
      </w:r>
    </w:p>
    <w:p>
      <w:pPr>
        <w:pStyle w:val="ListBullet"/>
      </w:pPr>
      <w:r>
        <w:t>**Flat-Fee Legal Flow**: The "Service Fee" should include the cost of this pre-arranged legal representation.</w:t>
      </w:r>
    </w:p>
    <w:p>
      <w:r/>
    </w:p>
    <w:p>
      <w:r>
        <w:br w:type="page"/>
      </w:r>
    </w:p>
    <w:p>
      <w:r/>
    </w:p>
    <w:p>
      <w:pPr>
        <w:pStyle w:val="Heading2"/>
      </w:pPr>
      <w:r>
        <w:t>4. Collection &amp; Debt Recovery Risk (FCCPA/FDCPA)</w:t>
      </w:r>
    </w:p>
    <w:p>
      <w:r/>
      <w:r>
        <w:rPr>
          <w:b/>
        </w:rPr>
        <w:t>Risk</w:t>
      </w:r>
      <w:r>
        <w:t>: Attempts to recover subrogated funds from Tenants violate the Florida Consumer Collection Practices Act (FCCPA) or the Federal FDCPA.</w:t>
      </w:r>
    </w:p>
    <w:p>
      <w:r/>
    </w:p>
    <w:p>
      <w:pPr>
        <w:pStyle w:val="Heading3"/>
      </w:pPr>
      <w:r>
        <w:t>Mitigation Plan:</w:t>
      </w:r>
    </w:p>
    <w:p>
      <w:pPr>
        <w:pStyle w:val="ListBullet"/>
      </w:pPr>
      <w:r>
        <w:t>**Tenant Acknowledgement**: The contract includes a specific "Tenant Financial Declaration" where the Tenant acknowledges the debt is a commercial subrogation arising from a service, not a consumer loan.</w:t>
      </w:r>
    </w:p>
    <w:p>
      <w:pPr>
        <w:pStyle w:val="ListBullet"/>
      </w:pPr>
      <w:r>
        <w:t>**Compliance Training**: All collection outreach (automated or manual) must include FDCPA-mandated disclosures ("Mini-Miranda").</w:t>
      </w:r>
    </w:p>
    <w:p>
      <w:pPr>
        <w:pStyle w:val="ListBullet"/>
      </w:pPr>
      <w:r>
        <w:t>**Asset/Skip-Tracing**: The contract contains express consent for tracking, making it easier to locate Tenants post-eviction.</w:t>
      </w:r>
    </w:p>
    <w:p>
      <w:r/>
    </w:p>
    <w:p>
      <w:r>
        <w:br w:type="page"/>
      </w:r>
    </w:p>
    <w:p>
      <w:r/>
    </w:p>
    <w:p>
      <w:pPr>
        <w:pStyle w:val="Heading2"/>
      </w:pPr>
      <w:r>
        <w:t>5. Collision Risk (Landlord-Tenant Collusion)</w:t>
      </w:r>
    </w:p>
    <w:p>
      <w:r/>
      <w:r>
        <w:rPr>
          <w:b/>
        </w:rPr>
        <w:t>Risk</w:t>
      </w:r>
      <w:r>
        <w:t>: A Landlord and Tenant "fake" a default to collect the Protected Funds.</w:t>
      </w:r>
    </w:p>
    <w:p>
      <w:r/>
    </w:p>
    <w:p>
      <w:pPr>
        <w:pStyle w:val="Heading3"/>
      </w:pPr>
      <w:r>
        <w:t>Mitigation Plan:</w:t>
      </w:r>
    </w:p>
    <w:p>
      <w:pPr>
        <w:pStyle w:val="ListBullet"/>
      </w:pPr>
      <w:r>
        <w:t>**Mandatory Eviction**: Rent Guard *requires* the initiation of an eviction as a condition of paying the Landlord's funds.</w:t>
      </w:r>
    </w:p>
    <w:p>
      <w:pPr>
        <w:pStyle w:val="ListBullet"/>
      </w:pPr>
      <w:r>
        <w:t>**Direct Control**: Rent Guard takes over the eviction process via POA. If the Landlord settles with the Tenant without Rent Guard's consent, the Landlord must refund all payments plus penalties.</w:t>
      </w:r>
    </w:p>
    <w:p>
      <w:r/>
    </w:p>
    <w:p>
      <w:r>
        <w:br w:type="page"/>
      </w:r>
    </w:p>
    <w:p>
      <w:r/>
    </w:p>
    <w:p>
      <w:pPr>
        <w:pStyle w:val="Heading2"/>
      </w:pPr>
      <w:r>
        <w:t>Risk Matrix</w:t>
      </w:r>
    </w:p>
    <w:p>
      <w:r/>
    </w:p>
    <w:p>
      <w:r>
        <w:t>| Risk Area | Probability | Impact | Primary Mitigation |</w:t>
      </w:r>
    </w:p>
    <w:p>
      <w:r>
        <w:t>| :--- | :--- | :--- | :--- |</w:t>
      </w:r>
    </w:p>
    <w:p>
      <w:r>
        <w:t xml:space="preserve">| </w:t>
      </w:r>
      <w:r>
        <w:rPr>
          <w:b/>
        </w:rPr>
        <w:t>OIR Investigation</w:t>
      </w:r>
      <w:r>
        <w:t xml:space="preserve"> | Low | Critical | Service-first contract language |</w:t>
      </w:r>
    </w:p>
    <w:p>
      <w:r>
        <w:t xml:space="preserve">| </w:t>
      </w:r>
      <w:r>
        <w:rPr>
          <w:b/>
        </w:rPr>
        <w:t>Evict. Procedural Delay</w:t>
      </w:r>
      <w:r>
        <w:t xml:space="preserve"> | High | Medium | 3-Day Notice Automation via POA |</w:t>
      </w:r>
    </w:p>
    <w:p>
      <w:r>
        <w:t xml:space="preserve">| </w:t>
      </w:r>
      <w:r>
        <w:rPr>
          <w:b/>
        </w:rPr>
        <w:t>Collection Failure</w:t>
      </w:r>
      <w:r>
        <w:t xml:space="preserve"> | High | Medium | Mandatory Subrogation + Skip-tracing |</w:t>
      </w:r>
    </w:p>
    <w:p>
      <w:r>
        <w:t xml:space="preserve">| </w:t>
      </w:r>
      <w:r>
        <w:rPr>
          <w:b/>
        </w:rPr>
        <w:t>Landlord Fraud</w:t>
      </w:r>
      <w:r>
        <w:t xml:space="preserve"> | Low | High | Mandatory Eviction Requirement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