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rFonts w:ascii="Arial" w:cs="Arial" w:eastAsia="Arial" w:hAnsi="Arial"/>
          <w:color w:val="666666"/>
          <w:sz w:val="20"/>
          <w:szCs w:val="20"/>
          <w:rtl/>
        </w:rPr>
        <w:t xml:space="preserve">ויצמן אחזקות (ג.מ.ש) בע"מ</w:t>
      </w:r>
    </w:p>
    <w:p>
      <w:pPr>
        <w:bidi/>
        <w:spacing w:after="60"/>
        <w:jc w:val="right"/>
      </w:pPr>
      <w:r>
        <w:rPr>
          <w:rFonts w:ascii="Arial" w:cs="Arial" w:eastAsia="Arial" w:hAnsi="Arial"/>
          <w:b/>
          <w:bCs/>
          <w:color w:val="1F3864"/>
          <w:sz w:val="40"/>
          <w:szCs w:val="40"/>
          <w:rtl/>
        </w:rPr>
        <w:t xml:space="preserve">הערות למאזן הבוחן לחציון 1–6/2026</w:t>
      </w:r>
    </w:p>
    <w:p>
      <w:pPr>
        <w:pBdr>
          <w:bottom w:val="single" w:color="1F3864" w:sz="12" w:space="6"/>
        </w:pBdr>
        <w:bidi/>
        <w:spacing w:after="200"/>
        <w:jc w:val="right"/>
      </w:pPr>
      <w:r>
        <w:rPr>
          <w:rFonts w:ascii="Arial" w:cs="Arial" w:eastAsia="Arial" w:hAnsi="Arial"/>
          <w:b/>
          <w:bCs/>
          <w:color w:val="9C5700"/>
          <w:sz w:val="22"/>
          <w:szCs w:val="22"/>
          <w:rtl/>
        </w:rPr>
        <w:t xml:space="preserve">מסמך בירור להנהלת החשבונות</w:t>
      </w:r>
    </w:p>
    <w:tbl>
      <w:tblPr>
        <w:bidiVisual/>
        <w:tblW w:type="dxa" w:w="9360"/>
        <w:tblBorders>
          <w:top w:val="single" w:color="B4B4B4" w:sz="4"/>
          <w:left w:val="single" w:color="B4B4B4" w:sz="4"/>
          <w:bottom w:val="single" w:color="B4B4B4" w:sz="4"/>
          <w:right w:val="single" w:color="B4B4B4" w:sz="4"/>
          <w:insideH w:val="single" w:color="D0D0D0" w:sz="2"/>
          <w:insideV w:val="single" w:color="D0D0D0" w:sz="2"/>
        </w:tblBorders>
      </w:tblPr>
      <w:tblGrid>
        <w:gridCol w:w="2400"/>
        <w:gridCol w:w="6960"/>
      </w:tblGrid>
      <w:tr>
        <w:tc>
          <w:tcPr>
            <w:tcW w:type="dxa" w:w="2400"/>
            <w:shd w:fill="F2F2F2"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מקור הנתונים</w:t>
            </w:r>
          </w:p>
        </w:tc>
        <w:tc>
          <w:tcPr>
            <w:tcW w:type="dxa" w:w="69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קובץ 66245423 — מאזן בוחן לחודש 06/2026, הופק 15/08/2026 21:45</w:t>
            </w:r>
          </w:p>
        </w:tc>
      </w:tr>
      <w:tr>
        <w:tc>
          <w:tcPr>
            <w:tcW w:type="dxa" w:w="2400"/>
            <w:shd w:fill="F2F2F2"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היקף</w:t>
            </w:r>
          </w:p>
        </w:tc>
        <w:tc>
          <w:tcPr>
            <w:tcW w:type="dxa" w:w="69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מאזן בוחן (דף 1 מתוך 9) · שני גיליונות ריכוז שכר · שישה גיליונות חיוב חודשי ינואר–יוני</w:t>
            </w:r>
          </w:p>
        </w:tc>
      </w:tr>
      <w:tr>
        <w:tc>
          <w:tcPr>
            <w:tcW w:type="dxa" w:w="2400"/>
            <w:shd w:fill="F2F2F2"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מהות המסמך</w:t>
            </w:r>
          </w:p>
        </w:tc>
        <w:tc>
          <w:tcPr>
            <w:tcW w:type="dxa" w:w="69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בדיקת סבירות והתאמות. אין זו ביקורת ואין זו חוות דעת חשבונאית.</w:t>
            </w:r>
          </w:p>
        </w:tc>
      </w:tr>
      <w:tr>
        <w:tc>
          <w:tcPr>
            <w:tcW w:type="dxa" w:w="2400"/>
            <w:shd w:fill="F2F2F2"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נספח</w:t>
            </w:r>
          </w:p>
        </w:tc>
        <w:tc>
          <w:tcPr>
            <w:tcW w:type="dxa" w:w="69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גיליון התאמות: weizman-h1-2026-reconciliation.xlsx</w:t>
            </w:r>
          </w:p>
        </w:tc>
      </w:tr>
    </w:tbl>
    <w:p>
      <w:pPr>
        <w:pStyle w:val="Heading1"/>
        <w:bidi/>
        <w:spacing w:after="140" w:before="320"/>
        <w:jc w:val="right"/>
      </w:pPr>
      <w:r>
        <w:rPr>
          <w:rFonts w:ascii="Arial" w:cs="Arial" w:eastAsia="Arial" w:hAnsi="Arial"/>
          <w:b/>
          <w:bCs/>
          <w:color w:val="1F3864"/>
          <w:sz w:val="28"/>
          <w:szCs w:val="28"/>
          <w:rtl/>
        </w:rPr>
        <w:t xml:space="preserve">1. תמצית</w:t>
      </w:r>
    </w:p>
    <w:p>
      <w:pPr>
        <w:bidi/>
        <w:spacing w:after="120" w:before="0" w:line="276"/>
        <w:jc w:val="right"/>
      </w:pPr>
      <w:r>
        <w:rPr>
          <w:rFonts w:ascii="Arial" w:cs="Arial" w:eastAsia="Arial" w:hAnsi="Arial"/>
          <w:b w:val="false"/>
          <w:bCs w:val="false"/>
          <w:i w:val="false"/>
          <w:iCs w:val="false"/>
          <w:color w:val="000000"/>
          <w:sz w:val="21"/>
          <w:szCs w:val="21"/>
          <w:rtl/>
        </w:rPr>
        <w:t xml:space="preserve">החישוב האריתמטי בקובץ נבדק שורה‑אחר‑שורה ונמצא מדויק לאגורה: −731,852.38 + 968,426.00 + 5,619.00 + 31,670.00 − 126,797.09 = 147,065.53 ₪. גם שיעור המע"מ (18%) נבדק בכל ששת החודשים ונמצא תקין.</w:t>
      </w:r>
    </w:p>
    <w:p>
      <w:pPr>
        <w:bidi/>
        <w:spacing w:after="120" w:line="276"/>
        <w:jc w:val="right"/>
      </w:pPr>
      <w:r>
        <w:rPr>
          <w:rFonts w:ascii="Arial" w:cs="Arial" w:eastAsia="Arial" w:hAnsi="Arial"/>
          <w:b w:val="false"/>
          <w:bCs w:val="false"/>
          <w:i w:val="false"/>
          <w:iCs w:val="false"/>
          <w:color w:val="000000"/>
          <w:sz w:val="21"/>
          <w:szCs w:val="21"/>
          <w:rtl/>
        </w:rPr>
        <w:t xml:space="preserve">הבעיה איננה בחשבון — אלא במה שהוא נשען עליו. </w:t>
      </w:r>
      <w:r>
        <w:rPr>
          <w:rFonts w:ascii="Arial" w:cs="Arial" w:eastAsia="Arial" w:hAnsi="Arial"/>
          <w:b/>
          <w:bCs/>
          <w:i w:val="false"/>
          <w:iCs w:val="false"/>
          <w:color w:val="000000"/>
          <w:sz w:val="21"/>
          <w:szCs w:val="21"/>
          <w:rtl/>
        </w:rPr>
        <w:t xml:space="preserve">רווח של 147,066 ₪ על מחזור של 5,736,781 ₪ הוא שוליים של 2.56%</w:t>
      </w:r>
      <w:r>
        <w:rPr>
          <w:rFonts w:ascii="Arial" w:cs="Arial" w:eastAsia="Arial" w:hAnsi="Arial"/>
          <w:b w:val="false"/>
          <w:bCs w:val="false"/>
          <w:i w:val="false"/>
          <w:iCs w:val="false"/>
          <w:color w:val="000000"/>
          <w:sz w:val="21"/>
          <w:szCs w:val="21"/>
          <w:rtl/>
        </w:rPr>
        <w:t xml:space="preserve">. מעל השורה הזו תלויים סעיף ביטוח שלא כומת כלל, פער חשבונית של 5,564 ₪, פער הכנסות של 7,140 ₪, פער הוצאות רכב של 7,934 ₪, ותשלום של 221,972 ₪ שלא תועד. כל אחד מהם, ובוודאי צירופם, עשוי לשנות את התמונה.</w:t>
      </w:r>
    </w:p>
    <w:p>
      <w:pPr>
        <w:bidi/>
        <w:spacing w:after="120" w:line="276"/>
        <w:jc w:val="right"/>
      </w:pPr>
      <w:r>
        <w:rPr>
          <w:rFonts w:ascii="Arial" w:cs="Arial" w:eastAsia="Arial" w:hAnsi="Arial"/>
          <w:b/>
          <w:bCs/>
          <w:i w:val="false"/>
          <w:iCs w:val="false"/>
          <w:color w:val="C00000"/>
          <w:sz w:val="21"/>
          <w:szCs w:val="21"/>
          <w:rtl/>
        </w:rPr>
        <w:t xml:space="preserve">המלצה: אין להציג את המספר 147,066 ₪ כתוצאה סופית לפני סגירת חמשת הסעיפים המסומנים כ"חוסם" ו"גבוה" בפרק 3.</w:t>
      </w:r>
    </w:p>
    <w:p>
      <w:pPr>
        <w:pStyle w:val="Heading1"/>
        <w:bidi/>
        <w:spacing w:after="140" w:before="320"/>
        <w:jc w:val="right"/>
      </w:pPr>
      <w:r>
        <w:rPr>
          <w:rFonts w:ascii="Arial" w:cs="Arial" w:eastAsia="Arial" w:hAnsi="Arial"/>
          <w:b/>
          <w:bCs/>
          <w:color w:val="1F3864"/>
          <w:sz w:val="28"/>
          <w:szCs w:val="28"/>
          <w:rtl/>
        </w:rPr>
        <w:t xml:space="preserve">2. תמונת המספרים</w:t>
      </w:r>
    </w:p>
    <w:tbl>
      <w:tblPr>
        <w:bidiVisual/>
        <w:tblW w:type="dxa" w:w="9360"/>
        <w:tblBorders>
          <w:top w:val="single" w:color="B4B4B4" w:sz="4"/>
          <w:left w:val="single" w:color="B4B4B4" w:sz="4"/>
          <w:bottom w:val="single" w:color="B4B4B4" w:sz="4"/>
          <w:right w:val="single" w:color="B4B4B4" w:sz="4"/>
          <w:insideH w:val="single" w:color="D0D0D0" w:sz="2"/>
          <w:insideV w:val="single" w:color="D0D0D0" w:sz="2"/>
        </w:tblBorders>
      </w:tblPr>
      <w:tblGrid>
        <w:gridCol w:w="3400"/>
        <w:gridCol w:w="2400"/>
        <w:gridCol w:w="3560"/>
      </w:tblGrid>
      <w:tr>
        <w:trPr>
          <w:tblHeader/>
        </w:trPr>
        <w:tc>
          <w:tcPr>
            <w:tcW w:type="dxa" w:w="34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סעיף</w:t>
            </w:r>
          </w:p>
        </w:tc>
        <w:tc>
          <w:tcPr>
            <w:tcW w:type="dxa" w:w="24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סכום (₪)</w:t>
            </w:r>
          </w:p>
        </w:tc>
        <w:tc>
          <w:tcPr>
            <w:tcW w:type="dxa" w:w="356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הערה</w:t>
            </w:r>
          </w:p>
        </w:tc>
      </w:tr>
      <w:tr>
        <w:tc>
          <w:tcPr>
            <w:tcW w:type="dxa" w:w="34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הכנסות ברוטו 1–6/2026</w:t>
            </w:r>
          </w:p>
        </w:tc>
        <w:tc>
          <w:tcPr>
            <w:tcW w:type="dxa" w:w="24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5,736,781.36</w:t>
            </w:r>
          </w:p>
        </w:tc>
        <w:tc>
          <w:tcPr>
            <w:tcW w:type="dxa" w:w="35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כ‑956,130 ₪ לחודש</w:t>
            </w:r>
          </w:p>
        </w:tc>
      </w:tr>
      <w:tr>
        <w:tc>
          <w:tcPr>
            <w:tcW w:type="dxa" w:w="34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הוצאות 1–6/2026</w:t>
            </w:r>
          </w:p>
        </w:tc>
        <w:tc>
          <w:tcPr>
            <w:tcW w:type="dxa" w:w="24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5,492,267.64</w:t>
            </w:r>
          </w:p>
        </w:tc>
        <w:tc>
          <w:tcPr>
            <w:tcW w:type="dxa" w:w="35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כ‑915,378 ₪ לחודש</w:t>
            </w:r>
          </w:p>
        </w:tc>
      </w:tr>
      <w:tr>
        <w:tc>
          <w:tcPr>
            <w:tcW w:type="dxa" w:w="3400"/>
            <w:shd w:fill="FFF2CC"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רווח מדווח</w:t>
            </w:r>
          </w:p>
        </w:tc>
        <w:tc>
          <w:tcPr>
            <w:tcW w:type="dxa" w:w="2400"/>
            <w:shd w:fill="FFF2CC" w:color="auto" w:val="clear"/>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147,065.53</w:t>
            </w:r>
          </w:p>
        </w:tc>
        <w:tc>
          <w:tcPr>
            <w:tcW w:type="dxa" w:w="3560"/>
            <w:shd w:fill="FFF2CC"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שוליים 2.56%</w:t>
            </w:r>
          </w:p>
        </w:tc>
      </w:tr>
    </w:tbl>
    <w:p>
      <w:pPr>
        <w:bidi/>
        <w:spacing w:after="100" w:before="0" w:line="276"/>
        <w:jc w:val="right"/>
      </w:pPr>
      <w:r>
        <w:rPr>
          <w:rFonts w:ascii="Arial" w:cs="Arial" w:eastAsia="Arial" w:hAnsi="Arial"/>
          <w:b w:val="false"/>
          <w:bCs w:val="false"/>
          <w:i w:val="false"/>
          <w:iCs w:val="false"/>
          <w:color w:val="000000"/>
          <w:sz w:val="21"/>
          <w:szCs w:val="21"/>
          <w:rtl/>
        </w:rPr>
        <w:t xml:space="preserve"/>
      </w:r>
    </w:p>
    <w:p>
      <w:pPr>
        <w:bidi/>
        <w:spacing w:after="120" w:before="0" w:line="276"/>
        <w:jc w:val="right"/>
      </w:pPr>
      <w:r>
        <w:rPr>
          <w:rFonts w:ascii="Arial" w:cs="Arial" w:eastAsia="Arial" w:hAnsi="Arial"/>
          <w:b w:val="false"/>
          <w:bCs w:val="false"/>
          <w:i w:val="false"/>
          <w:iCs w:val="false"/>
          <w:color w:val="666666"/>
          <w:sz w:val="20"/>
          <w:szCs w:val="20"/>
          <w:rtl/>
        </w:rPr>
        <w:t xml:space="preserve">פילוח ההוצאות: ניקיון 38.1% · שכר 19.3% · גינון 10.4% · קבלני חוץ 8.2% · מעליות 6.3% · חומרי חשמל 5.0%. ניקיון ושכר יחד מהווים 57% מסך ההוצאות.</w:t>
      </w:r>
    </w:p>
    <w:p>
      <w:pPr>
        <w:pStyle w:val="Heading1"/>
        <w:bidi/>
        <w:spacing w:after="140" w:before="320"/>
        <w:jc w:val="right"/>
      </w:pPr>
      <w:r>
        <w:rPr>
          <w:rFonts w:ascii="Arial" w:cs="Arial" w:eastAsia="Arial" w:hAnsi="Arial"/>
          <w:b/>
          <w:bCs/>
          <w:color w:val="1F3864"/>
          <w:sz w:val="28"/>
          <w:szCs w:val="28"/>
          <w:rtl/>
        </w:rPr>
        <w:t xml:space="preserve">3. ממצאים מהותיים</w:t>
      </w:r>
    </w:p>
    <w:p>
      <w:pPr>
        <w:bidi/>
        <w:spacing w:after="100" w:before="260"/>
        <w:jc w:val="right"/>
      </w:pPr>
      <w:r>
        <w:rPr>
          <w:rFonts w:ascii="Arial" w:cs="Arial" w:eastAsia="Arial" w:hAnsi="Arial"/>
          <w:b/>
          <w:bCs/>
          <w:color w:val="1F3864"/>
          <w:sz w:val="23"/>
          <w:szCs w:val="23"/>
          <w:rtl/>
        </w:rPr>
        <w:t xml:space="preserve">1. הוצאות ביטוח של ויצמן מתוך פרומול — חסרות ולא כומתו</w:t>
      </w:r>
      <w:r>
        <w:rPr>
          <w:rFonts w:ascii="Arial" w:cs="Arial" w:eastAsia="Arial" w:hAnsi="Arial"/>
          <w:b/>
          <w:bCs/>
          <w:color w:val="C00000"/>
          <w:sz w:val="19"/>
          <w:szCs w:val="19"/>
          <w:rtl/>
        </w:rPr>
        <w:t xml:space="preserve">   [חוסם]</w:t>
      </w:r>
    </w:p>
    <w:p>
      <w:pPr>
        <w:bidi/>
        <w:spacing w:after="120" w:before="0" w:line="276"/>
        <w:jc w:val="right"/>
      </w:pPr>
      <w:r>
        <w:rPr>
          <w:rFonts w:ascii="Arial" w:cs="Arial" w:eastAsia="Arial" w:hAnsi="Arial"/>
          <w:b w:val="false"/>
          <w:bCs w:val="false"/>
          <w:i w:val="false"/>
          <w:iCs w:val="false"/>
          <w:color w:val="000000"/>
          <w:sz w:val="21"/>
          <w:szCs w:val="21"/>
          <w:rtl/>
        </w:rPr>
        <w:t xml:space="preserve">בראש המאזן רשומה ההערה "חסר הוצאות ביטוח של ויצמן מתוך פרומול". ההערה לא כומתה ולא נכללה בחישוב התוצאה.</w:t>
      </w:r>
    </w:p>
    <w:p>
      <w:pPr>
        <w:bidi/>
        <w:spacing w:after="120" w:before="0" w:line="276"/>
        <w:jc w:val="right"/>
      </w:pPr>
      <w:r>
        <w:rPr>
          <w:rFonts w:ascii="Arial" w:cs="Arial" w:eastAsia="Arial" w:hAnsi="Arial"/>
          <w:b w:val="false"/>
          <w:bCs w:val="false"/>
          <w:i w:val="false"/>
          <w:iCs w:val="false"/>
          <w:color w:val="000000"/>
          <w:sz w:val="21"/>
          <w:szCs w:val="21"/>
          <w:rtl/>
        </w:rPr>
        <w:t xml:space="preserve">בספרים רשום ביטוח בסך 50,832 ₪ לחציון (8,472 ₪ לחודש), ובנוסף הוצאה מראש של 31,670 ₪ בגין ביטוח בניינים. סכום החוסר עצמו אינו ידוע.</w:t>
      </w:r>
    </w:p>
    <w:p>
      <w:pPr>
        <w:bidi/>
        <w:spacing w:after="120"/>
        <w:jc w:val="right"/>
      </w:pPr>
      <w:r>
        <w:rPr>
          <w:rFonts w:ascii="Arial" w:cs="Arial" w:eastAsia="Arial" w:hAnsi="Arial"/>
          <w:b/>
          <w:bCs/>
          <w:color w:val="C00000"/>
          <w:sz w:val="21"/>
          <w:szCs w:val="21"/>
          <w:rtl/>
        </w:rPr>
        <w:t xml:space="preserve">מאחר שהרווח כולו עומד על 147,066 ₪, כל סכום ביטוח בסדר גודל דומה מוחק את מלוא הרווח. זהו הסעיף הראשון שיש לסגור.</w:t>
      </w:r>
    </w:p>
    <w:p>
      <w:pPr>
        <w:bidi/>
        <w:spacing w:after="100" w:before="260"/>
        <w:jc w:val="right"/>
      </w:pPr>
      <w:r>
        <w:rPr>
          <w:rFonts w:ascii="Arial" w:cs="Arial" w:eastAsia="Arial" w:hAnsi="Arial"/>
          <w:b/>
          <w:bCs/>
          <w:color w:val="1F3864"/>
          <w:sz w:val="23"/>
          <w:szCs w:val="23"/>
          <w:rtl/>
        </w:rPr>
        <w:t xml:space="preserve">2. מרץ 2026 — לא רשומה שורת תשלום</w:t>
      </w:r>
      <w:r>
        <w:rPr>
          <w:rFonts w:ascii="Arial" w:cs="Arial" w:eastAsia="Arial" w:hAnsi="Arial"/>
          <w:b/>
          <w:bCs/>
          <w:color w:val="C00000"/>
          <w:sz w:val="19"/>
          <w:szCs w:val="19"/>
          <w:rtl/>
        </w:rPr>
        <w:t xml:space="preserve">   [חוסם]</w:t>
      </w:r>
    </w:p>
    <w:p>
      <w:pPr>
        <w:bidi/>
        <w:spacing w:after="120" w:before="0" w:line="276"/>
        <w:jc w:val="right"/>
      </w:pPr>
      <w:r>
        <w:rPr>
          <w:rFonts w:ascii="Arial" w:cs="Arial" w:eastAsia="Arial" w:hAnsi="Arial"/>
          <w:b w:val="false"/>
          <w:bCs w:val="false"/>
          <w:i w:val="false"/>
          <w:iCs w:val="false"/>
          <w:color w:val="000000"/>
          <w:sz w:val="21"/>
          <w:szCs w:val="21"/>
          <w:rtl/>
        </w:rPr>
        <w:t xml:space="preserve">בכל גיליון חודשי קיימת שורת "שולם" — למעט מרץ, שבו הגיליון מסתיים בשורת המע"מ. אין תיעוד לתשלום של 221,971.75 ₪.</w:t>
      </w:r>
    </w:p>
    <w:tbl>
      <w:tblPr>
        <w:bidiVisual/>
        <w:tblW w:type="dxa" w:w="9360"/>
        <w:tblBorders>
          <w:top w:val="single" w:color="B4B4B4" w:sz="4"/>
          <w:left w:val="single" w:color="B4B4B4" w:sz="4"/>
          <w:bottom w:val="single" w:color="B4B4B4" w:sz="4"/>
          <w:right w:val="single" w:color="B4B4B4" w:sz="4"/>
          <w:insideH w:val="single" w:color="D0D0D0" w:sz="2"/>
          <w:insideV w:val="single" w:color="D0D0D0" w:sz="2"/>
        </w:tblBorders>
      </w:tblPr>
      <w:tblGrid>
        <w:gridCol w:w="1700"/>
        <w:gridCol w:w="2000"/>
        <w:gridCol w:w="2000"/>
        <w:gridCol w:w="1900"/>
        <w:gridCol w:w="1760"/>
      </w:tblGrid>
      <w:tr>
        <w:trPr>
          <w:tblHeader/>
        </w:trPr>
        <w:tc>
          <w:tcPr>
            <w:tcW w:type="dxa" w:w="17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חודש</w:t>
            </w:r>
          </w:p>
        </w:tc>
        <w:tc>
          <w:tcPr>
            <w:tcW w:type="dxa" w:w="20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כולל מע"מ</w:t>
            </w:r>
          </w:p>
        </w:tc>
        <w:tc>
          <w:tcPr>
            <w:tcW w:type="dxa" w:w="20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שולם</w:t>
            </w:r>
          </w:p>
        </w:tc>
        <w:tc>
          <w:tcPr>
            <w:tcW w:type="dxa" w:w="19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יתרה פתוחה</w:t>
            </w:r>
          </w:p>
        </w:tc>
        <w:tc>
          <w:tcPr>
            <w:tcW w:type="dxa" w:w="176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הערה</w:t>
            </w:r>
          </w:p>
        </w:tc>
      </w:tr>
      <w:tr>
        <w:tc>
          <w:tcPr>
            <w:tcW w:type="dxa" w:w="1700"/>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ינואר</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256,759.54</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255,823.21</w:t>
            </w:r>
          </w:p>
        </w:tc>
        <w:tc>
          <w:tcPr>
            <w:tcW w:type="dxa" w:w="19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936.33</w:t>
            </w:r>
          </w:p>
        </w:tc>
        <w:tc>
          <w:tcPr>
            <w:tcW w:type="dxa" w:w="17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
            </w:r>
          </w:p>
        </w:tc>
      </w:tr>
      <w:tr>
        <w:tc>
          <w:tcPr>
            <w:tcW w:type="dxa" w:w="1700"/>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פברואר</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240,371.50</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230,570.00</w:t>
            </w:r>
          </w:p>
        </w:tc>
        <w:tc>
          <w:tcPr>
            <w:tcW w:type="dxa" w:w="19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9,801.50</w:t>
            </w:r>
          </w:p>
        </w:tc>
        <w:tc>
          <w:tcPr>
            <w:tcW w:type="dxa" w:w="17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שני תשלומים</w:t>
            </w:r>
          </w:p>
        </w:tc>
      </w:tr>
      <w:tr>
        <w:tc>
          <w:tcPr>
            <w:tcW w:type="dxa" w:w="1700"/>
            <w:shd w:fill="FCE4E4"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מרץ</w:t>
            </w:r>
          </w:p>
        </w:tc>
        <w:tc>
          <w:tcPr>
            <w:tcW w:type="dxa" w:w="2000"/>
            <w:shd w:fill="FCE4E4" w:color="auto" w:val="clear"/>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221,971.75</w:t>
            </w:r>
          </w:p>
        </w:tc>
        <w:tc>
          <w:tcPr>
            <w:tcW w:type="dxa" w:w="2000"/>
            <w:shd w:fill="FCE4E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w:t>
            </w:r>
          </w:p>
        </w:tc>
        <w:tc>
          <w:tcPr>
            <w:tcW w:type="dxa" w:w="1900"/>
            <w:shd w:fill="FCE4E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w:t>
            </w:r>
          </w:p>
        </w:tc>
        <w:tc>
          <w:tcPr>
            <w:tcW w:type="dxa" w:w="1760"/>
            <w:shd w:fill="FCE4E4"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אין שורת תשלום</w:t>
            </w:r>
          </w:p>
        </w:tc>
      </w:tr>
      <w:tr>
        <w:tc>
          <w:tcPr>
            <w:tcW w:type="dxa" w:w="1700"/>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אפריל</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238,608.84</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220,000.00</w:t>
            </w:r>
          </w:p>
        </w:tc>
        <w:tc>
          <w:tcPr>
            <w:tcW w:type="dxa" w:w="19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18,608.84</w:t>
            </w:r>
          </w:p>
        </w:tc>
        <w:tc>
          <w:tcPr>
            <w:tcW w:type="dxa" w:w="17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סכום עגול</w:t>
            </w:r>
          </w:p>
        </w:tc>
      </w:tr>
      <w:tr>
        <w:tc>
          <w:tcPr>
            <w:tcW w:type="dxa" w:w="1700"/>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מאי</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204,465.92</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204,572.32</w:t>
            </w:r>
          </w:p>
        </w:tc>
        <w:tc>
          <w:tcPr>
            <w:tcW w:type="dxa" w:w="19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-106.40</w:t>
            </w:r>
          </w:p>
        </w:tc>
        <w:tc>
          <w:tcPr>
            <w:tcW w:type="dxa" w:w="17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כולל החזר 25,428</w:t>
            </w:r>
          </w:p>
        </w:tc>
      </w:tr>
      <w:tr>
        <w:tc>
          <w:tcPr>
            <w:tcW w:type="dxa" w:w="1700"/>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יוני</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216,211.13</w:t>
            </w:r>
          </w:p>
        </w:tc>
        <w:tc>
          <w:tcPr>
            <w:tcW w:type="dxa" w:w="20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213,902.54</w:t>
            </w:r>
          </w:p>
        </w:tc>
        <w:tc>
          <w:tcPr>
            <w:tcW w:type="dxa" w:w="19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2,308.59</w:t>
            </w:r>
          </w:p>
        </w:tc>
        <w:tc>
          <w:tcPr>
            <w:tcW w:type="dxa" w:w="17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כולל 1,909 ישירות</w:t>
            </w:r>
          </w:p>
        </w:tc>
      </w:tr>
    </w:tbl>
    <w:p>
      <w:pPr>
        <w:bidi/>
        <w:spacing w:after="60" w:before="0" w:line="276"/>
        <w:jc w:val="right"/>
      </w:pPr>
      <w:r>
        <w:rPr>
          <w:rFonts w:ascii="Arial" w:cs="Arial" w:eastAsia="Arial" w:hAnsi="Arial"/>
          <w:b w:val="false"/>
          <w:bCs w:val="false"/>
          <w:i w:val="false"/>
          <w:iCs w:val="false"/>
          <w:color w:val="000000"/>
          <w:sz w:val="21"/>
          <w:szCs w:val="21"/>
          <w:rtl/>
        </w:rPr>
        <w:t xml:space="preserve"/>
      </w:r>
    </w:p>
    <w:p>
      <w:pPr>
        <w:bidi/>
        <w:spacing w:after="120" w:line="276"/>
        <w:jc w:val="right"/>
      </w:pPr>
      <w:r>
        <w:rPr>
          <w:rFonts w:ascii="Arial" w:cs="Arial" w:eastAsia="Arial" w:hAnsi="Arial"/>
          <w:b/>
          <w:bCs/>
          <w:i w:val="false"/>
          <w:iCs w:val="false"/>
          <w:color w:val="000000"/>
          <w:sz w:val="21"/>
          <w:szCs w:val="21"/>
          <w:rtl/>
        </w:rPr>
        <w:t xml:space="preserve">היתרה הפתוחה ללא מרץ היא 31,548.86 ₪. אם מרץ אכן לא שולם — 253,520.61 ₪.</w:t>
      </w:r>
    </w:p>
    <w:p>
      <w:pPr>
        <w:bidi/>
        <w:spacing w:after="120" w:before="0" w:line="276"/>
        <w:jc w:val="right"/>
      </w:pPr>
      <w:r>
        <w:rPr>
          <w:rFonts w:ascii="Arial" w:cs="Arial" w:eastAsia="Arial" w:hAnsi="Arial"/>
          <w:b w:val="false"/>
          <w:bCs w:val="false"/>
          <w:i/>
          <w:iCs/>
          <w:color w:val="9C5700"/>
          <w:sz w:val="20"/>
          <w:szCs w:val="20"/>
          <w:rtl/>
        </w:rPr>
        <w:t xml:space="preserve">הערה נלווית: התשלומים מבוצעים בסכומים עגולים (220,000 / 230,000) ולא בסכום החשבונית, ולכן נוצרת יתרה גוררת מדי חודש. מומלץ לעבור לתשלום בסכום המדויק.</w:t>
      </w:r>
    </w:p>
    <w:p>
      <w:pPr>
        <w:bidi/>
        <w:spacing w:after="100" w:before="260"/>
        <w:jc w:val="right"/>
      </w:pPr>
      <w:r>
        <w:rPr>
          <w:rFonts w:ascii="Arial" w:cs="Arial" w:eastAsia="Arial" w:hAnsi="Arial"/>
          <w:b/>
          <w:bCs/>
          <w:color w:val="1F3864"/>
          <w:sz w:val="23"/>
          <w:szCs w:val="23"/>
          <w:rtl/>
        </w:rPr>
        <w:t xml:space="preserve">3. שני גיליונות שכר סותרים — פער של 5,564.08 ₪ בחשבונית המשלימה</w:t>
      </w:r>
      <w:r>
        <w:rPr>
          <w:rFonts w:ascii="Arial" w:cs="Arial" w:eastAsia="Arial" w:hAnsi="Arial"/>
          <w:b/>
          <w:bCs/>
          <w:color w:val="C00000"/>
          <w:sz w:val="19"/>
          <w:szCs w:val="19"/>
          <w:rtl/>
        </w:rPr>
        <w:t xml:space="preserve">   [גבוה]</w:t>
      </w:r>
    </w:p>
    <w:p>
      <w:pPr>
        <w:bidi/>
        <w:spacing w:after="120" w:before="0" w:line="276"/>
        <w:jc w:val="right"/>
      </w:pPr>
      <w:r>
        <w:rPr>
          <w:rFonts w:ascii="Arial" w:cs="Arial" w:eastAsia="Arial" w:hAnsi="Arial"/>
          <w:b w:val="false"/>
          <w:bCs w:val="false"/>
          <w:i w:val="false"/>
          <w:iCs w:val="false"/>
          <w:color w:val="000000"/>
          <w:sz w:val="21"/>
          <w:szCs w:val="21"/>
          <w:rtl/>
        </w:rPr>
        <w:t xml:space="preserve">בקובץ קיימים שני גיליונות ריכוז שכר, ובהם סכומים שונים לעובדת בן מאיר דורית במרץ ובאפריל. התיקון אמור היה רק להזיז מקדמה בין חודשים — אך הוא גם גורע מהסך הכולל.</w:t>
      </w:r>
    </w:p>
    <w:tbl>
      <w:tblPr>
        <w:bidiVisual/>
        <w:tblW w:type="dxa" w:w="9360"/>
        <w:tblBorders>
          <w:top w:val="single" w:color="B4B4B4" w:sz="4"/>
          <w:left w:val="single" w:color="B4B4B4" w:sz="4"/>
          <w:bottom w:val="single" w:color="B4B4B4" w:sz="4"/>
          <w:right w:val="single" w:color="B4B4B4" w:sz="4"/>
          <w:insideH w:val="single" w:color="D0D0D0" w:sz="2"/>
          <w:insideV w:val="single" w:color="D0D0D0" w:sz="2"/>
        </w:tblBorders>
      </w:tblPr>
      <w:tblGrid>
        <w:gridCol w:w="1700"/>
        <w:gridCol w:w="2300"/>
        <w:gridCol w:w="2300"/>
        <w:gridCol w:w="3060"/>
      </w:tblGrid>
      <w:tr>
        <w:trPr>
          <w:tblHeader/>
        </w:trPr>
        <w:tc>
          <w:tcPr>
            <w:tcW w:type="dxa" w:w="17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חודש</w:t>
            </w:r>
          </w:p>
        </w:tc>
        <w:tc>
          <w:tcPr>
            <w:tcW w:type="dxa" w:w="23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ריכוז נתוני שכר</w:t>
            </w:r>
          </w:p>
        </w:tc>
        <w:tc>
          <w:tcPr>
            <w:tcW w:type="dxa" w:w="23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שכר כולל תיקון</w:t>
            </w:r>
          </w:p>
        </w:tc>
        <w:tc>
          <w:tcPr>
            <w:tcW w:type="dxa" w:w="306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הערה</w:t>
            </w:r>
          </w:p>
        </w:tc>
      </w:tr>
      <w:tr>
        <w:tc>
          <w:tcPr>
            <w:tcW w:type="dxa" w:w="1700"/>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מרץ</w:t>
            </w:r>
          </w:p>
        </w:tc>
        <w:tc>
          <w:tcPr>
            <w:tcW w:type="dxa" w:w="23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26,461.08</w:t>
            </w:r>
          </w:p>
        </w:tc>
        <w:tc>
          <w:tcPr>
            <w:tcW w:type="dxa" w:w="23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14,497.00</w:t>
            </w:r>
          </w:p>
        </w:tc>
        <w:tc>
          <w:tcPr>
            <w:tcW w:type="dxa" w:w="30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מקדמה רשומה 14,497.43 — הוזז בפועל 11,964.08</w:t>
            </w:r>
          </w:p>
        </w:tc>
      </w:tr>
      <w:tr>
        <w:tc>
          <w:tcPr>
            <w:tcW w:type="dxa" w:w="1700"/>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אפריל</w:t>
            </w:r>
          </w:p>
        </w:tc>
        <w:tc>
          <w:tcPr>
            <w:tcW w:type="dxa" w:w="23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10,902.01</w:t>
            </w:r>
          </w:p>
        </w:tc>
        <w:tc>
          <w:tcPr>
            <w:tcW w:type="dxa" w:w="23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17,302.01</w:t>
            </w:r>
          </w:p>
        </w:tc>
        <w:tc>
          <w:tcPr>
            <w:tcW w:type="dxa" w:w="30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מקדמה 6,400.00</w:t>
            </w:r>
          </w:p>
        </w:tc>
      </w:tr>
      <w:tr>
        <w:tc>
          <w:tcPr>
            <w:tcW w:type="dxa" w:w="1700"/>
            <w:shd w:fill="FFF2CC"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סה"כ לעובדת</w:t>
            </w:r>
          </w:p>
        </w:tc>
        <w:tc>
          <w:tcPr>
            <w:tcW w:type="dxa" w:w="2300"/>
            <w:shd w:fill="FFF2CC" w:color="auto" w:val="clear"/>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120,161.52</w:t>
            </w:r>
          </w:p>
        </w:tc>
        <w:tc>
          <w:tcPr>
            <w:tcW w:type="dxa" w:w="2300"/>
            <w:shd w:fill="FFF2CC" w:color="auto" w:val="clear"/>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114,597.44</w:t>
            </w:r>
          </w:p>
        </w:tc>
        <w:tc>
          <w:tcPr>
            <w:tcW w:type="dxa" w:w="3060"/>
            <w:shd w:fill="FFF2CC"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C00000"/>
                <w:sz w:val="19"/>
                <w:szCs w:val="19"/>
                <w:rtl/>
              </w:rPr>
              <w:t xml:space="preserve">פער 5,564.08 ₪</w:t>
            </w:r>
          </w:p>
        </w:tc>
      </w:tr>
    </w:tbl>
    <w:p>
      <w:pPr>
        <w:bidi/>
        <w:spacing w:after="60" w:before="0" w:line="276"/>
        <w:jc w:val="right"/>
      </w:pPr>
      <w:r>
        <w:rPr>
          <w:rFonts w:ascii="Arial" w:cs="Arial" w:eastAsia="Arial" w:hAnsi="Arial"/>
          <w:b w:val="false"/>
          <w:bCs w:val="false"/>
          <w:i w:val="false"/>
          <w:iCs w:val="false"/>
          <w:color w:val="000000"/>
          <w:sz w:val="21"/>
          <w:szCs w:val="21"/>
          <w:rtl/>
        </w:rPr>
        <w:t xml:space="preserve"/>
      </w:r>
    </w:p>
    <w:p>
      <w:pPr>
        <w:bidi/>
        <w:spacing w:after="120" w:before="0" w:line="276"/>
        <w:jc w:val="right"/>
      </w:pPr>
      <w:r>
        <w:rPr>
          <w:rFonts w:ascii="Arial" w:cs="Arial" w:eastAsia="Arial" w:hAnsi="Arial"/>
          <w:b w:val="false"/>
          <w:bCs w:val="false"/>
          <w:i w:val="false"/>
          <w:iCs w:val="false"/>
          <w:color w:val="000000"/>
          <w:sz w:val="21"/>
          <w:szCs w:val="21"/>
          <w:rtl/>
        </w:rPr>
        <w:t xml:space="preserve">הזזה בין חודשים אינה אמורה לשנות סכום מצטבר. הפער מתגלגל ישירות לחשבונית המשלימה שפרומול מוציאה לוויצמן:</w:t>
      </w:r>
    </w:p>
    <w:tbl>
      <w:tblPr>
        <w:bidiVisual/>
        <w:tblW w:type="dxa" w:w="9360"/>
        <w:tblBorders>
          <w:top w:val="single" w:color="B4B4B4" w:sz="4"/>
          <w:left w:val="single" w:color="B4B4B4" w:sz="4"/>
          <w:bottom w:val="single" w:color="B4B4B4" w:sz="4"/>
          <w:right w:val="single" w:color="B4B4B4" w:sz="4"/>
          <w:insideH w:val="single" w:color="D0D0D0" w:sz="2"/>
          <w:insideV w:val="single" w:color="D0D0D0" w:sz="2"/>
        </w:tblBorders>
      </w:tblPr>
      <w:tblGrid>
        <w:gridCol w:w="4200"/>
        <w:gridCol w:w="2600"/>
        <w:gridCol w:w="2560"/>
      </w:tblGrid>
      <w:tr>
        <w:trPr>
          <w:tblHeader/>
        </w:trPr>
        <w:tc>
          <w:tcPr>
            <w:tcW w:type="dxa" w:w="42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בסיס החישוב</w:t>
            </w:r>
          </w:p>
        </w:tc>
        <w:tc>
          <w:tcPr>
            <w:tcW w:type="dxa" w:w="26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חשבונית משלימה</w:t>
            </w:r>
          </w:p>
        </w:tc>
        <w:tc>
          <w:tcPr>
            <w:tcW w:type="dxa" w:w="256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הערה</w:t>
            </w:r>
          </w:p>
        </w:tc>
      </w:tr>
      <w:tr>
        <w:tc>
          <w:tcPr>
            <w:tcW w:type="dxa" w:w="42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לפי 'שכר כולל תיקון'</w:t>
            </w:r>
          </w:p>
        </w:tc>
        <w:tc>
          <w:tcPr>
            <w:tcW w:type="dxa" w:w="26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18,159.09</w:t>
            </w:r>
          </w:p>
        </w:tc>
        <w:tc>
          <w:tcPr>
            <w:tcW w:type="dxa" w:w="25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זהו הסכום שנרשם בפועל בהפרשה</w:t>
            </w:r>
          </w:p>
        </w:tc>
      </w:tr>
      <w:tr>
        <w:tc>
          <w:tcPr>
            <w:tcW w:type="dxa" w:w="42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לפי 'ריכוז נתוני שכר'</w:t>
            </w:r>
          </w:p>
        </w:tc>
        <w:tc>
          <w:tcPr>
            <w:tcW w:type="dxa" w:w="26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23,723.17</w:t>
            </w:r>
          </w:p>
        </w:tc>
        <w:tc>
          <w:tcPr>
            <w:tcW w:type="dxa" w:w="25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C00000"/>
                <w:sz w:val="17"/>
                <w:szCs w:val="17"/>
                <w:rtl/>
              </w:rPr>
              <w:t xml:space="preserve">אם זו הגרסה הקובעת — חסרה הפרשה</w:t>
            </w:r>
          </w:p>
        </w:tc>
      </w:tr>
    </w:tbl>
    <w:p>
      <w:pPr>
        <w:bidi/>
        <w:spacing w:after="100" w:before="260"/>
        <w:jc w:val="right"/>
      </w:pPr>
      <w:r>
        <w:rPr>
          <w:rFonts w:ascii="Arial" w:cs="Arial" w:eastAsia="Arial" w:hAnsi="Arial"/>
          <w:b/>
          <w:bCs/>
          <w:color w:val="1F3864"/>
          <w:sz w:val="23"/>
          <w:szCs w:val="23"/>
          <w:rtl/>
        </w:rPr>
        <w:t xml:space="preserve">4. שלושה מספרים שונים להכנסות יוני, וחשבון חייבים בתוך קבוצת ההכנסות</w:t>
      </w:r>
      <w:r>
        <w:rPr>
          <w:rFonts w:ascii="Arial" w:cs="Arial" w:eastAsia="Arial" w:hAnsi="Arial"/>
          <w:b/>
          <w:bCs/>
          <w:color w:val="C00000"/>
          <w:sz w:val="19"/>
          <w:szCs w:val="19"/>
          <w:rtl/>
        </w:rPr>
        <w:t xml:space="preserve">   [גבוה]</w:t>
      </w:r>
    </w:p>
    <w:p>
      <w:pPr>
        <w:bidi/>
        <w:spacing w:after="120" w:before="0" w:line="276"/>
        <w:jc w:val="right"/>
      </w:pPr>
      <w:r>
        <w:rPr>
          <w:rFonts w:ascii="Arial" w:cs="Arial" w:eastAsia="Arial" w:hAnsi="Arial"/>
          <w:b w:val="false"/>
          <w:bCs w:val="false"/>
          <w:i w:val="false"/>
          <w:iCs w:val="false"/>
          <w:color w:val="000000"/>
          <w:sz w:val="21"/>
          <w:szCs w:val="21"/>
          <w:rtl/>
        </w:rPr>
        <w:t xml:space="preserve">שלושה סכומים בקובץ מתארים לכאורה את אותם דמי ניהול של חודש יוני:</w:t>
      </w:r>
    </w:p>
    <w:tbl>
      <w:tblPr>
        <w:bidiVisual/>
        <w:tblW w:type="dxa" w:w="9360"/>
        <w:tblBorders>
          <w:top w:val="single" w:color="B4B4B4" w:sz="4"/>
          <w:left w:val="single" w:color="B4B4B4" w:sz="4"/>
          <w:bottom w:val="single" w:color="B4B4B4" w:sz="4"/>
          <w:right w:val="single" w:color="B4B4B4" w:sz="4"/>
          <w:insideH w:val="single" w:color="D0D0D0" w:sz="2"/>
          <w:insideV w:val="single" w:color="D0D0D0" w:sz="2"/>
        </w:tblBorders>
      </w:tblPr>
      <w:tblGrid>
        <w:gridCol w:w="4200"/>
        <w:gridCol w:w="2600"/>
        <w:gridCol w:w="2560"/>
      </w:tblGrid>
      <w:tr>
        <w:trPr>
          <w:tblHeader/>
        </w:trPr>
        <w:tc>
          <w:tcPr>
            <w:tcW w:type="dxa" w:w="42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מקור</w:t>
            </w:r>
          </w:p>
        </w:tc>
        <w:tc>
          <w:tcPr>
            <w:tcW w:type="dxa" w:w="26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סכום</w:t>
            </w:r>
          </w:p>
        </w:tc>
        <w:tc>
          <w:tcPr>
            <w:tcW w:type="dxa" w:w="256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הערה</w:t>
            </w:r>
          </w:p>
        </w:tc>
      </w:tr>
      <w:tr>
        <w:tc>
          <w:tcPr>
            <w:tcW w:type="dxa" w:w="42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תנועת זכות בחשבון 1010101 (יוני)</w:t>
            </w:r>
          </w:p>
        </w:tc>
        <w:tc>
          <w:tcPr>
            <w:tcW w:type="dxa" w:w="26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970,953.39</w:t>
            </w:r>
          </w:p>
        </w:tc>
        <w:tc>
          <w:tcPr>
            <w:tcW w:type="dxa" w:w="25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ההכנסה שנרשמה בספרים</w:t>
            </w:r>
          </w:p>
        </w:tc>
      </w:tr>
      <w:tr>
        <w:tc>
          <w:tcPr>
            <w:tcW w:type="dxa" w:w="42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חובה בחשבון 1091007 'הכנסות לקבל'</w:t>
            </w:r>
          </w:p>
        </w:tc>
        <w:tc>
          <w:tcPr>
            <w:tcW w:type="dxa" w:w="26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975,566.10</w:t>
            </w:r>
          </w:p>
        </w:tc>
        <w:tc>
          <w:tcPr>
            <w:tcW w:type="dxa" w:w="25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מקזז את ההכנסות</w:t>
            </w:r>
          </w:p>
        </w:tc>
      </w:tr>
      <w:tr>
        <w:tc>
          <w:tcPr>
            <w:tcW w:type="dxa" w:w="42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פקודה נוספת 'הכנסות חודש 06/2026'</w:t>
            </w:r>
          </w:p>
        </w:tc>
        <w:tc>
          <w:tcPr>
            <w:tcW w:type="dxa" w:w="26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968,426.00</w:t>
            </w:r>
          </w:p>
        </w:tc>
        <w:tc>
          <w:tcPr>
            <w:tcW w:type="dxa" w:w="256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666666"/>
                <w:sz w:val="17"/>
                <w:szCs w:val="17"/>
                <w:rtl/>
              </w:rPr>
              <w:t xml:space="preserve">מוסיף ידנית</w:t>
            </w:r>
          </w:p>
        </w:tc>
      </w:tr>
    </w:tbl>
    <w:p>
      <w:pPr>
        <w:bidi/>
        <w:spacing w:after="60" w:before="0" w:line="276"/>
        <w:jc w:val="right"/>
      </w:pPr>
      <w:r>
        <w:rPr>
          <w:rFonts w:ascii="Arial" w:cs="Arial" w:eastAsia="Arial" w:hAnsi="Arial"/>
          <w:b w:val="false"/>
          <w:bCs w:val="false"/>
          <w:i w:val="false"/>
          <w:iCs w:val="false"/>
          <w:color w:val="000000"/>
          <w:sz w:val="21"/>
          <w:szCs w:val="21"/>
          <w:rtl/>
        </w:rPr>
        <w:t xml:space="preserve"/>
      </w:r>
    </w:p>
    <w:p>
      <w:pPr>
        <w:bidi/>
        <w:spacing w:after="120" w:before="0" w:line="276"/>
        <w:jc w:val="right"/>
      </w:pPr>
      <w:r>
        <w:rPr>
          <w:rFonts w:ascii="Arial" w:cs="Arial" w:eastAsia="Arial" w:hAnsi="Arial"/>
          <w:b w:val="false"/>
          <w:bCs w:val="false"/>
          <w:i w:val="false"/>
          <w:iCs w:val="false"/>
          <w:color w:val="000000"/>
          <w:sz w:val="21"/>
          <w:szCs w:val="21"/>
          <w:rtl/>
        </w:rPr>
        <w:t xml:space="preserve">בנוסף — חשבון 1091007 הוא חשבון חייבים, אך הוא ממוקם בתוך קבוצת ההכנסות (10). לכן היתרה בחובה מקזזת את ההכנסות מ‑5,736,781 ₪ ל‑4,761,215 ₪, ומייצרת "הפסד" מדומה של 731,852 ₪ שיש לתקן ידנית בפקודה נוספת.</w:t>
      </w:r>
    </w:p>
    <w:p>
      <w:pPr>
        <w:bidi/>
        <w:spacing w:after="120" w:before="0" w:line="276"/>
        <w:jc w:val="right"/>
      </w:pPr>
      <w:r>
        <w:rPr>
          <w:rFonts w:ascii="Arial" w:cs="Arial" w:eastAsia="Arial" w:hAnsi="Arial"/>
          <w:b w:val="false"/>
          <w:bCs w:val="false"/>
          <w:i w:val="false"/>
          <w:iCs w:val="false"/>
          <w:color w:val="000000"/>
          <w:sz w:val="21"/>
          <w:szCs w:val="21"/>
          <w:rtl/>
        </w:rPr>
        <w:t xml:space="preserve">נבדקה גם הקריאה החלופית — העברת חשבון 1091007 לקבוצה מאזנית ללא הוספה ידנית של הכנסות יוני. התוצאה: 154,205.63 ₪ במקום 147,065.53 ₪, כלומר פער של 7,140.10 ₪ — בדיוק ההפרש בין 975,566.10 ל‑968,426.00.</w:t>
      </w:r>
    </w:p>
    <w:p>
      <w:pPr>
        <w:bidi/>
        <w:spacing w:after="120" w:line="276"/>
        <w:jc w:val="right"/>
      </w:pPr>
      <w:r>
        <w:rPr>
          <w:rFonts w:ascii="Arial" w:cs="Arial" w:eastAsia="Arial" w:hAnsi="Arial"/>
          <w:b/>
          <w:bCs/>
          <w:i w:val="false"/>
          <w:iCs w:val="false"/>
          <w:color w:val="000000"/>
          <w:sz w:val="21"/>
          <w:szCs w:val="21"/>
          <w:rtl/>
        </w:rPr>
        <w:t xml:space="preserve">המשמעות המעשית: </w:t>
      </w:r>
      <w:r>
        <w:rPr>
          <w:rFonts w:ascii="Arial" w:cs="Arial" w:eastAsia="Arial" w:hAnsi="Arial"/>
          <w:b w:val="false"/>
          <w:bCs w:val="false"/>
          <w:i w:val="false"/>
          <w:iCs w:val="false"/>
          <w:color w:val="000000"/>
          <w:sz w:val="21"/>
          <w:szCs w:val="21"/>
          <w:rtl/>
        </w:rPr>
        <w:t xml:space="preserve">השורה התחתונה יציבה בטווח 147–154 אלף ₪ בשתי הקריאות, אך אופן ההצגה אינו מאפשר לקורא להבין זאת. מומלץ להעביר את החשבון לקבוצה מאזנית ולהתאים את שלושת המספרים.</w:t>
      </w:r>
    </w:p>
    <w:p>
      <w:pPr>
        <w:bidi/>
        <w:spacing w:after="100" w:before="260"/>
        <w:jc w:val="right"/>
      </w:pPr>
      <w:r>
        <w:rPr>
          <w:rFonts w:ascii="Arial" w:cs="Arial" w:eastAsia="Arial" w:hAnsi="Arial"/>
          <w:b/>
          <w:bCs/>
          <w:color w:val="1F3864"/>
          <w:sz w:val="23"/>
          <w:szCs w:val="23"/>
          <w:rtl/>
        </w:rPr>
        <w:t xml:space="preserve">5. הוצאות רכב — שלושה מספרים שונים</w:t>
      </w:r>
      <w:r>
        <w:rPr>
          <w:rFonts w:ascii="Arial" w:cs="Arial" w:eastAsia="Arial" w:hAnsi="Arial"/>
          <w:b/>
          <w:bCs/>
          <w:color w:val="9C5700"/>
          <w:sz w:val="19"/>
          <w:szCs w:val="19"/>
          <w:rtl/>
        </w:rPr>
        <w:t xml:space="preserve">   [בינוני]</w:t>
      </w:r>
    </w:p>
    <w:p>
      <w:pPr>
        <w:bidi/>
        <w:spacing w:after="120" w:before="0" w:line="276"/>
        <w:jc w:val="right"/>
      </w:pPr>
      <w:r>
        <w:rPr>
          <w:rFonts w:ascii="Arial" w:cs="Arial" w:eastAsia="Arial" w:hAnsi="Arial"/>
          <w:b w:val="false"/>
          <w:bCs w:val="false"/>
          <w:i w:val="false"/>
          <w:iCs w:val="false"/>
          <w:color w:val="000000"/>
          <w:sz w:val="21"/>
          <w:szCs w:val="21"/>
          <w:rtl/>
        </w:rPr>
        <w:t xml:space="preserve">שלושה מקורות בקובץ נותנים שלושה סכומים להוצאות הרכב לתקופה:</w:t>
      </w:r>
    </w:p>
    <w:tbl>
      <w:tblPr>
        <w:bidiVisual/>
        <w:tblW w:type="dxa" w:w="9360"/>
        <w:tblBorders>
          <w:top w:val="single" w:color="B4B4B4" w:sz="4"/>
          <w:left w:val="single" w:color="B4B4B4" w:sz="4"/>
          <w:bottom w:val="single" w:color="B4B4B4" w:sz="4"/>
          <w:right w:val="single" w:color="B4B4B4" w:sz="4"/>
          <w:insideH w:val="single" w:color="D0D0D0" w:sz="2"/>
          <w:insideV w:val="single" w:color="D0D0D0" w:sz="2"/>
        </w:tblBorders>
      </w:tblPr>
      <w:tblGrid>
        <w:gridCol w:w="4600"/>
        <w:gridCol w:w="2400"/>
        <w:gridCol w:w="2360"/>
      </w:tblGrid>
      <w:tr>
        <w:trPr>
          <w:tblHeader/>
        </w:trPr>
        <w:tc>
          <w:tcPr>
            <w:tcW w:type="dxa" w:w="46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מקור</w:t>
            </w:r>
          </w:p>
        </w:tc>
        <w:tc>
          <w:tcPr>
            <w:tcW w:type="dxa" w:w="24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סכום</w:t>
            </w:r>
          </w:p>
        </w:tc>
        <w:tc>
          <w:tcPr>
            <w:tcW w:type="dxa" w:w="236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פער מול הספרים</w:t>
            </w:r>
          </w:p>
        </w:tc>
      </w:tr>
      <w:tr>
        <w:tc>
          <w:tcPr>
            <w:tcW w:type="dxa" w:w="46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מאזן בוחן — חשבון 1230201</w:t>
            </w:r>
          </w:p>
        </w:tc>
        <w:tc>
          <w:tcPr>
            <w:tcW w:type="dxa" w:w="240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000000"/>
                <w:sz w:val="19"/>
                <w:szCs w:val="19"/>
                <w:rtl/>
              </w:rPr>
              <w:t xml:space="preserve">112,604.61</w:t>
            </w:r>
          </w:p>
        </w:tc>
        <w:tc>
          <w:tcPr>
            <w:tcW w:type="dxa" w:w="2360"/>
            <w:tcMar>
              <w:top w:type="dxa" w:w="70"/>
              <w:left w:type="dxa" w:w="110"/>
              <w:bottom w:type="dxa" w:w="70"/>
              <w:right w:type="dxa" w:w="110"/>
            </w:tcMar>
            <w:vAlign w:val="center"/>
          </w:tcPr>
          <w:p>
            <w:pPr>
              <w:bidi/>
              <w:spacing w:after="40" w:before="40" w:line="240"/>
              <w:jc w:val="center"/>
            </w:pPr>
            <w:r>
              <w:rPr>
                <w:rFonts w:ascii="Arial" w:cs="Arial" w:eastAsia="Arial" w:hAnsi="Arial"/>
                <w:b w:val="false"/>
                <w:bCs w:val="false"/>
                <w:i w:val="false"/>
                <w:iCs w:val="false"/>
                <w:color w:val="000000"/>
                <w:sz w:val="19"/>
                <w:szCs w:val="19"/>
                <w:rtl/>
              </w:rPr>
              <w:t xml:space="preserve">—</w:t>
            </w:r>
          </w:p>
        </w:tc>
      </w:tr>
      <w:tr>
        <w:tc>
          <w:tcPr>
            <w:tcW w:type="dxa" w:w="46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גיליון שכר — 'הוצאות אחזקת רכב'</w:t>
            </w:r>
          </w:p>
        </w:tc>
        <w:tc>
          <w:tcPr>
            <w:tcW w:type="dxa" w:w="24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104,671.11</w:t>
            </w:r>
          </w:p>
        </w:tc>
        <w:tc>
          <w:tcPr>
            <w:tcW w:type="dxa" w:w="236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C00000"/>
                <w:sz w:val="19"/>
                <w:szCs w:val="19"/>
                <w:rtl/>
              </w:rPr>
              <w:t xml:space="preserve">7,933.50</w:t>
            </w:r>
          </w:p>
        </w:tc>
      </w:tr>
      <w:tr>
        <w:tc>
          <w:tcPr>
            <w:tcW w:type="dxa" w:w="46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גיליון שכר — 'הוצאות רכב לתקופה'</w:t>
            </w:r>
          </w:p>
        </w:tc>
        <w:tc>
          <w:tcPr>
            <w:tcW w:type="dxa" w:w="24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109,108.05</w:t>
            </w:r>
          </w:p>
        </w:tc>
        <w:tc>
          <w:tcPr>
            <w:tcW w:type="dxa" w:w="2360"/>
            <w:tcMar>
              <w:top w:type="dxa" w:w="70"/>
              <w:left w:type="dxa" w:w="110"/>
              <w:bottom w:type="dxa" w:w="70"/>
              <w:right w:type="dxa" w:w="110"/>
            </w:tcMar>
            <w:vAlign w:val="center"/>
          </w:tcPr>
          <w:p>
            <w:pPr>
              <w:bidi/>
              <w:spacing w:after="40" w:before="40" w:line="240"/>
              <w:jc w:val="left"/>
            </w:pPr>
            <w:r>
              <w:rPr>
                <w:rFonts w:ascii="Arial" w:cs="Arial" w:eastAsia="Arial" w:hAnsi="Arial"/>
                <w:b/>
                <w:bCs/>
                <w:i w:val="false"/>
                <w:iCs w:val="false"/>
                <w:color w:val="C00000"/>
                <w:sz w:val="19"/>
                <w:szCs w:val="19"/>
                <w:rtl/>
              </w:rPr>
              <w:t xml:space="preserve">3,496.56</w:t>
            </w:r>
          </w:p>
        </w:tc>
      </w:tr>
    </w:tbl>
    <w:p>
      <w:pPr>
        <w:bidi/>
        <w:spacing w:after="60" w:before="0" w:line="276"/>
        <w:jc w:val="right"/>
      </w:pPr>
      <w:r>
        <w:rPr>
          <w:rFonts w:ascii="Arial" w:cs="Arial" w:eastAsia="Arial" w:hAnsi="Arial"/>
          <w:b w:val="false"/>
          <w:bCs w:val="false"/>
          <w:i w:val="false"/>
          <w:iCs w:val="false"/>
          <w:color w:val="000000"/>
          <w:sz w:val="21"/>
          <w:szCs w:val="21"/>
          <w:rtl/>
        </w:rPr>
        <w:t xml:space="preserve"/>
      </w:r>
    </w:p>
    <w:p>
      <w:pPr>
        <w:bidi/>
        <w:spacing w:after="120" w:before="0" w:line="276"/>
        <w:jc w:val="right"/>
      </w:pPr>
      <w:r>
        <w:rPr>
          <w:rFonts w:ascii="Arial" w:cs="Arial" w:eastAsia="Arial" w:hAnsi="Arial"/>
          <w:b w:val="false"/>
          <w:bCs w:val="false"/>
          <w:i w:val="false"/>
          <w:iCs w:val="false"/>
          <w:color w:val="666666"/>
          <w:sz w:val="20"/>
          <w:szCs w:val="20"/>
          <w:rtl/>
        </w:rPr>
        <w:t xml:space="preserve">הפער בין שני האחרונים (4,436.93 ₪) מסומן בגיליון עצמו אך אינו מוסבר. הפער מול הספרים (7,933.50 ₪) אינו מסומן כלל.</w:t>
      </w:r>
    </w:p>
    <w:p>
      <w:pPr>
        <w:pStyle w:val="Heading1"/>
        <w:bidi/>
        <w:spacing w:after="140" w:before="320"/>
        <w:jc w:val="right"/>
      </w:pPr>
      <w:r>
        <w:rPr>
          <w:rFonts w:ascii="Arial" w:cs="Arial" w:eastAsia="Arial" w:hAnsi="Arial"/>
          <w:b/>
          <w:bCs/>
          <w:color w:val="1F3864"/>
          <w:sz w:val="28"/>
          <w:szCs w:val="28"/>
          <w:rtl/>
        </w:rPr>
        <w:t xml:space="preserve">4. ממצאים משניים</w:t>
      </w:r>
    </w:p>
    <w:p>
      <w:pPr>
        <w:pStyle w:val="ListParagraph"/>
        <w:numPr>
          <w:ilvl w:val="0"/>
          <w:numId w:val="2"/>
        </w:numPr>
        <w:bidi/>
        <w:spacing w:after="80" w:line="276"/>
        <w:jc w:val="right"/>
      </w:pPr>
      <w:r>
        <w:rPr>
          <w:rFonts w:ascii="Arial" w:cs="Arial" w:eastAsia="Arial" w:hAnsi="Arial"/>
          <w:b w:val="false"/>
          <w:bCs w:val="false"/>
          <w:color w:val="000000"/>
          <w:sz w:val="21"/>
          <w:szCs w:val="21"/>
          <w:rtl/>
        </w:rPr>
        <w:t xml:space="preserve">חשבון הוצאה ביתרת זכות — חשבון 1221742 "עבודות חשמל": הוצאה 450 ₪ מול זיכוי 2,218 ₪, ויתרה בזכות של 1,768 ₪. במקביל נרשמה הפרשה של 22,000 ₪ ("בכר עבודות חשמל 6.2026"). יש לאתר לאן שייך הזיכוי. גם בחשבון הגינון קיימת יתרת זכות של 359 ₪.</w:t>
      </w:r>
    </w:p>
    <w:p>
      <w:pPr>
        <w:pStyle w:val="ListParagraph"/>
        <w:numPr>
          <w:ilvl w:val="0"/>
          <w:numId w:val="2"/>
        </w:numPr>
        <w:bidi/>
        <w:spacing w:after="80" w:line="276"/>
        <w:jc w:val="right"/>
      </w:pPr>
      <w:r>
        <w:rPr>
          <w:rFonts w:ascii="Arial" w:cs="Arial" w:eastAsia="Arial" w:hAnsi="Arial"/>
          <w:b w:val="false"/>
          <w:bCs w:val="false"/>
          <w:color w:val="000000"/>
          <w:sz w:val="21"/>
          <w:szCs w:val="21"/>
          <w:rtl/>
        </w:rPr>
        <w:t xml:space="preserve">מאי ויוני זהים אצל בן מאיר דורית — 19,286.24 ₪ בדיוק בשני החודשים, ובגיליון מאי החודשי רשום "שולם מגמש" ללא סכום. נראה שנתון מאי נאמד לפי יוני. זהו בדיוק הפער בין סכום גיליונות האקסל (1,063,455 ₪) לסכום מערכת השכר (1,082,741 ₪).</w:t>
      </w:r>
    </w:p>
    <w:p>
      <w:pPr>
        <w:pStyle w:val="ListParagraph"/>
        <w:numPr>
          <w:ilvl w:val="0"/>
          <w:numId w:val="2"/>
        </w:numPr>
        <w:bidi/>
        <w:spacing w:after="80" w:line="276"/>
        <w:jc w:val="right"/>
      </w:pPr>
      <w:r>
        <w:rPr>
          <w:rFonts w:ascii="Arial" w:cs="Arial" w:eastAsia="Arial" w:hAnsi="Arial"/>
          <w:b w:val="false"/>
          <w:bCs w:val="false"/>
          <w:color w:val="000000"/>
          <w:sz w:val="21"/>
          <w:szCs w:val="21"/>
          <w:rtl/>
        </w:rPr>
        <w:t xml:space="preserve">ריכוז הוצאות בחודש יוני — עבודות אינסטלציה 43,700 ₪ מתוך 114,767 ₪ מצטבר (38%), מעליות‑חלפים 16,949 ₪ מתוך 22,361 ₪ (76%), מאגרי מים 23,095 ₪ מתוך 75,695 ₪, גנרטורים 12,800 ₪ מתוך 25,718 ₪. יש לוודא שאלה הוצאות שוטפות ולא עבודות השבחה המחייבות היוון — הדבר משפיע גם על התוצאה וגם על הפחת.</w:t>
      </w:r>
    </w:p>
    <w:p>
      <w:pPr>
        <w:pStyle w:val="ListParagraph"/>
        <w:numPr>
          <w:ilvl w:val="0"/>
          <w:numId w:val="2"/>
        </w:numPr>
        <w:bidi/>
        <w:spacing w:after="80" w:line="276"/>
        <w:jc w:val="right"/>
      </w:pPr>
      <w:r>
        <w:rPr>
          <w:rFonts w:ascii="Arial" w:cs="Arial" w:eastAsia="Arial" w:hAnsi="Arial"/>
          <w:b w:val="false"/>
          <w:bCs w:val="false"/>
          <w:color w:val="000000"/>
          <w:sz w:val="21"/>
          <w:szCs w:val="21"/>
          <w:rtl/>
        </w:rPr>
        <w:t xml:space="preserve">תחלופת עובדים — מתוך כ‑20 עובדים: איילין אבוהי סיימה אחרי פברואר, רומנו אבי אחרי אפריל (מאי חלקי 537.85 ₪), מאור פוריה מסיים ביוני (742.70 ₪). טמנו אסף החל ב‑27/04/2026. שלושה עוזבים ומצטרף אחד בחצי שנה — כ‑15% תחלופה. לא נראתה הפרשה לפיצויים בדף שהתקבל.</w:t>
      </w:r>
    </w:p>
    <w:p>
      <w:pPr>
        <w:pStyle w:val="ListParagraph"/>
        <w:numPr>
          <w:ilvl w:val="0"/>
          <w:numId w:val="2"/>
        </w:numPr>
        <w:bidi/>
        <w:spacing w:after="80" w:line="276"/>
        <w:jc w:val="right"/>
      </w:pPr>
      <w:r>
        <w:rPr>
          <w:rFonts w:ascii="Arial" w:cs="Arial" w:eastAsia="Arial" w:hAnsi="Arial"/>
          <w:b w:val="false"/>
          <w:bCs w:val="false"/>
          <w:color w:val="000000"/>
          <w:sz w:val="21"/>
          <w:szCs w:val="21"/>
          <w:rtl/>
        </w:rPr>
        <w:t xml:space="preserve">שי לחגים 6,800 ₪ ושי ומתנות 800 ₪ — יש לוודא זקיפת שווי לעובדים וטיפול נכון במע"מ תשומות.</w:t>
      </w:r>
    </w:p>
    <w:p>
      <w:pPr>
        <w:pStyle w:val="ListParagraph"/>
        <w:numPr>
          <w:ilvl w:val="0"/>
          <w:numId w:val="2"/>
        </w:numPr>
        <w:bidi/>
        <w:spacing w:after="80" w:line="276"/>
        <w:jc w:val="right"/>
      </w:pPr>
      <w:r>
        <w:rPr>
          <w:rFonts w:ascii="Arial" w:cs="Arial" w:eastAsia="Arial" w:hAnsi="Arial"/>
          <w:b w:val="false"/>
          <w:bCs w:val="false"/>
          <w:color w:val="000000"/>
          <w:sz w:val="21"/>
          <w:szCs w:val="21"/>
          <w:rtl/>
        </w:rPr>
        <w:t xml:space="preserve">הוצאות מימון נטו 3,886.79 ₪ (ריבית ועמלות בנק מזרחי) ללא הכנסות ריבית כנגד — אם קיימות יתרות מזומן משמעותיות, הן אינן נושאות תשואה.</w:t>
      </w:r>
    </w:p>
    <w:p>
      <w:pPr>
        <w:pStyle w:val="Heading1"/>
        <w:bidi/>
        <w:spacing w:after="140" w:before="320"/>
        <w:jc w:val="right"/>
      </w:pPr>
      <w:r>
        <w:rPr>
          <w:rFonts w:ascii="Arial" w:cs="Arial" w:eastAsia="Arial" w:hAnsi="Arial"/>
          <w:b/>
          <w:bCs/>
          <w:color w:val="1F3864"/>
          <w:sz w:val="28"/>
          <w:szCs w:val="28"/>
          <w:rtl/>
        </w:rPr>
        <w:t xml:space="preserve">5. שתי הערות על הדוח עצמו</w:t>
      </w:r>
    </w:p>
    <w:p>
      <w:pPr>
        <w:pStyle w:val="Heading2"/>
        <w:bidi/>
        <w:spacing w:after="100" w:before="240"/>
        <w:jc w:val="right"/>
      </w:pPr>
      <w:r>
        <w:rPr>
          <w:rFonts w:ascii="Arial" w:cs="Arial" w:eastAsia="Arial" w:hAnsi="Arial"/>
          <w:b/>
          <w:bCs/>
          <w:color w:val="1F3864"/>
          <w:sz w:val="23"/>
          <w:szCs w:val="23"/>
          <w:rtl/>
        </w:rPr>
        <w:t xml:space="preserve">א. התקבל דף 1 מתוך 9</w:t>
      </w:r>
    </w:p>
    <w:p>
      <w:pPr>
        <w:bidi/>
        <w:spacing w:after="120" w:before="0" w:line="276"/>
        <w:jc w:val="right"/>
      </w:pPr>
      <w:r>
        <w:rPr>
          <w:rFonts w:ascii="Arial" w:cs="Arial" w:eastAsia="Arial" w:hAnsi="Arial"/>
          <w:b w:val="false"/>
          <w:bCs w:val="false"/>
          <w:i w:val="false"/>
          <w:iCs w:val="false"/>
          <w:color w:val="000000"/>
          <w:sz w:val="21"/>
          <w:szCs w:val="21"/>
          <w:rtl/>
        </w:rPr>
        <w:t xml:space="preserve">בשורה 2 של המאזן רשום במפורש "דף 1 מתוך 9". החומר שהתקבל כולל אך ורק את סעיפי הרווח וההפסד (חשבונות 10xx–15xx). כל הצד המאזני — מזומנים, לקוחות, ספקים, הון והפרשות — חסר. ללא אלה לא ניתן לבדוק גיול חובות, יתרות הדדיות מול ויצמן ופרומול, או שהמאזן אכן מאוזן.</w:t>
      </w:r>
    </w:p>
    <w:p>
      <w:pPr>
        <w:pStyle w:val="Heading2"/>
        <w:bidi/>
        <w:spacing w:after="100" w:before="240"/>
        <w:jc w:val="right"/>
      </w:pPr>
      <w:r>
        <w:rPr>
          <w:rFonts w:ascii="Arial" w:cs="Arial" w:eastAsia="Arial" w:hAnsi="Arial"/>
          <w:b/>
          <w:bCs/>
          <w:color w:val="1F3864"/>
          <w:sz w:val="23"/>
          <w:szCs w:val="23"/>
          <w:rtl/>
        </w:rPr>
        <w:t xml:space="preserve">ב. הדוח אינו מציג פילוח חודשי</w:t>
      </w:r>
    </w:p>
    <w:p>
      <w:pPr>
        <w:bidi/>
        <w:spacing w:after="120" w:before="0" w:line="276"/>
        <w:jc w:val="right"/>
      </w:pPr>
      <w:r>
        <w:rPr>
          <w:rFonts w:ascii="Arial" w:cs="Arial" w:eastAsia="Arial" w:hAnsi="Arial"/>
          <w:b w:val="false"/>
          <w:bCs w:val="false"/>
          <w:i w:val="false"/>
          <w:iCs w:val="false"/>
          <w:color w:val="000000"/>
          <w:sz w:val="21"/>
          <w:szCs w:val="21"/>
          <w:rtl/>
        </w:rPr>
        <w:t xml:space="preserve">הדוח בנוי כ"תנועה מצטברת + חודש שוטף", כך שניתן לראות רק את יוני מול הסך המצטבר. אין פילוח חודשי של ההוצאות, ולכן לא ניתן לזהות עונתיות או קפיצות חד‑פעמיות. הפילוח החודשי היחיד בקובץ הוא של השכר. מבוקש דוח רווח והפסד בשש עמודות חודשיות — הפקתו קצרה, והשפעתה על יכולת הקריאה של הנתונים משמעותית.</w:t>
      </w:r>
    </w:p>
    <w:p>
      <w:r>
        <w:br w:type="page"/>
      </w:r>
    </w:p>
    <w:p>
      <w:pPr>
        <w:pStyle w:val="Heading1"/>
        <w:bidi/>
        <w:spacing w:after="140" w:before="320"/>
        <w:jc w:val="right"/>
      </w:pPr>
      <w:r>
        <w:rPr>
          <w:rFonts w:ascii="Arial" w:cs="Arial" w:eastAsia="Arial" w:hAnsi="Arial"/>
          <w:b/>
          <w:bCs/>
          <w:color w:val="1F3864"/>
          <w:sz w:val="28"/>
          <w:szCs w:val="28"/>
          <w:rtl/>
        </w:rPr>
        <w:t xml:space="preserve">6. שאלות לתשובה</w:t>
      </w:r>
    </w:p>
    <w:p>
      <w:pPr>
        <w:bidi/>
        <w:spacing w:after="120" w:before="0" w:line="276"/>
        <w:jc w:val="right"/>
      </w:pPr>
      <w:r>
        <w:rPr>
          <w:rFonts w:ascii="Arial" w:cs="Arial" w:eastAsia="Arial" w:hAnsi="Arial"/>
          <w:b w:val="false"/>
          <w:bCs w:val="false"/>
          <w:i w:val="false"/>
          <w:iCs w:val="false"/>
          <w:color w:val="666666"/>
          <w:sz w:val="20"/>
          <w:szCs w:val="20"/>
          <w:rtl/>
        </w:rPr>
        <w:t xml:space="preserve">לנוחות המענה, השאלות מסודרות לפי עדיפות. גיליון ההתאמות המצורף כולל עמודות ריקות למילוי התשובות.</w:t>
      </w:r>
    </w:p>
    <w:tbl>
      <w:tblPr>
        <w:bidiVisual/>
        <w:tblW w:type="dxa" w:w="9360"/>
        <w:tblBorders>
          <w:top w:val="single" w:color="B4B4B4" w:sz="4"/>
          <w:left w:val="single" w:color="B4B4B4" w:sz="4"/>
          <w:bottom w:val="single" w:color="B4B4B4" w:sz="4"/>
          <w:right w:val="single" w:color="B4B4B4" w:sz="4"/>
          <w:insideH w:val="single" w:color="D0D0D0" w:sz="2"/>
          <w:insideV w:val="single" w:color="D0D0D0" w:sz="2"/>
        </w:tblBorders>
      </w:tblPr>
      <w:tblGrid>
        <w:gridCol w:w="700"/>
        <w:gridCol w:w="5300"/>
        <w:gridCol w:w="1700"/>
        <w:gridCol w:w="1660"/>
      </w:tblGrid>
      <w:tr>
        <w:trPr>
          <w:tblHeader/>
        </w:trPr>
        <w:tc>
          <w:tcPr>
            <w:tcW w:type="dxa" w:w="7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w:t>
            </w:r>
          </w:p>
        </w:tc>
        <w:tc>
          <w:tcPr>
            <w:tcW w:type="dxa" w:w="53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השאלה</w:t>
            </w:r>
          </w:p>
        </w:tc>
        <w:tc>
          <w:tcPr>
            <w:tcW w:type="dxa" w:w="170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סכום (₪)</w:t>
            </w:r>
          </w:p>
        </w:tc>
        <w:tc>
          <w:tcPr>
            <w:tcW w:type="dxa" w:w="1660"/>
            <w:shd w:fill="1F386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FFFFFF"/>
                <w:sz w:val="19"/>
                <w:szCs w:val="19"/>
                <w:rtl/>
              </w:rPr>
              <w:t xml:space="preserve">עדיפות</w:t>
            </w:r>
          </w:p>
        </w:tc>
      </w:tr>
      <w:tr>
        <w:tc>
          <w:tcPr>
            <w:tcW w:type="dxa" w:w="700"/>
            <w:shd w:fill="FCE4E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1</w:t>
            </w:r>
          </w:p>
        </w:tc>
        <w:tc>
          <w:tcPr>
            <w:tcW w:type="dxa" w:w="5300"/>
            <w:shd w:fill="FCE4E4"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מהו סכום הוצאות הביטוח של ויצמן מתוך פרומול שסומן כחסר בראש המאזן?</w:t>
            </w:r>
          </w:p>
        </w:tc>
        <w:tc>
          <w:tcPr>
            <w:tcW w:type="dxa" w:w="1700"/>
            <w:shd w:fill="FCE4E4" w:color="auto" w:val="clear"/>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לא ידוע</w:t>
            </w:r>
          </w:p>
        </w:tc>
        <w:tc>
          <w:tcPr>
            <w:tcW w:type="dxa" w:w="1660"/>
            <w:shd w:fill="FCE4E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חוסם</w:t>
            </w:r>
          </w:p>
        </w:tc>
      </w:tr>
      <w:tr>
        <w:tc>
          <w:tcPr>
            <w:tcW w:type="dxa" w:w="700"/>
            <w:shd w:fill="FCE4E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2</w:t>
            </w:r>
          </w:p>
        </w:tc>
        <w:tc>
          <w:tcPr>
            <w:tcW w:type="dxa" w:w="5300"/>
            <w:shd w:fill="FCE4E4" w:color="auto" w:val="clear"/>
            <w:tcMar>
              <w:top w:type="dxa" w:w="70"/>
              <w:left w:type="dxa" w:w="110"/>
              <w:bottom w:type="dxa" w:w="70"/>
              <w:right w:type="dxa" w:w="110"/>
            </w:tcMar>
            <w:vAlign w:val="center"/>
          </w:tcPr>
          <w:p>
            <w:pPr>
              <w:bidi/>
              <w:spacing w:after="40" w:before="40" w:line="240"/>
              <w:jc w:val="right"/>
            </w:pPr>
            <w:r>
              <w:rPr>
                <w:rFonts w:ascii="Arial" w:cs="Arial" w:eastAsia="Arial" w:hAnsi="Arial"/>
                <w:b/>
                <w:bCs/>
                <w:i w:val="false"/>
                <w:iCs w:val="false"/>
                <w:color w:val="000000"/>
                <w:sz w:val="19"/>
                <w:szCs w:val="19"/>
                <w:rtl/>
              </w:rPr>
              <w:t xml:space="preserve">האם תשלום מרץ 2026 בוצע? נדרשת אסמכתה.</w:t>
            </w:r>
          </w:p>
        </w:tc>
        <w:tc>
          <w:tcPr>
            <w:tcW w:type="dxa" w:w="1700"/>
            <w:shd w:fill="FCE4E4" w:color="auto" w:val="clear"/>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221,971.75</w:t>
            </w:r>
          </w:p>
        </w:tc>
        <w:tc>
          <w:tcPr>
            <w:tcW w:type="dxa" w:w="1660"/>
            <w:shd w:fill="FCE4E4" w:color="auto" w:val="clear"/>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חוסם</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3</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איזה גיליון שכר קובע — 'ריכוז נתוני שכר' או 'שכר כולל תיקון'?</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5,564.08</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גבוה</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4</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מדוע סה"כ בן מאיר דורית השתנה ב‑5,564.08 ₪ מתיקון שאמור רק להזיז בין חודשים?</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5,564.08</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גבוה</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5</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הסבר לשלושת מספרי הכנסות יוני: 970,953.39 / 975,566.10 / 968,426.00</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7,140.10</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גבוה</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6</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האם ניתן להעביר את חשבון 1091007 מקבוצת ההכנסות לקבוצה מאזנית?</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975,566.10</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גבוה</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7</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נדרשים שמונת הדפים החסרים של מאזן הבוחן</w:t>
            </w:r>
          </w:p>
        </w:tc>
        <w:tc>
          <w:tcPr>
            <w:tcW w:type="dxa" w:w="1700"/>
            <w:tcMar>
              <w:top w:type="dxa" w:w="70"/>
              <w:left w:type="dxa" w:w="110"/>
              <w:bottom w:type="dxa" w:w="70"/>
              <w:right w:type="dxa" w:w="110"/>
            </w:tcMar>
            <w:vAlign w:val="center"/>
          </w:tcPr>
          <w:p>
            <w:pPr>
              <w:bidi/>
              <w:spacing w:after="40" w:before="40" w:line="240"/>
              <w:jc w:val="center"/>
            </w:pPr>
            <w:r>
              <w:rPr>
                <w:rFonts w:ascii="Arial" w:cs="Arial" w:eastAsia="Arial" w:hAnsi="Arial"/>
                <w:b w:val="false"/>
                <w:bCs w:val="false"/>
                <w:i w:val="false"/>
                <w:iCs w:val="false"/>
                <w:color w:val="000000"/>
                <w:sz w:val="19"/>
                <w:szCs w:val="19"/>
                <w:rtl/>
              </w:rPr>
              <w:t xml:space="preserve">—</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גבוה</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8</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נדרש דוח רווח והפסד בשש עמודות חודשיות</w:t>
            </w:r>
          </w:p>
        </w:tc>
        <w:tc>
          <w:tcPr>
            <w:tcW w:type="dxa" w:w="1700"/>
            <w:tcMar>
              <w:top w:type="dxa" w:w="70"/>
              <w:left w:type="dxa" w:w="110"/>
              <w:bottom w:type="dxa" w:w="70"/>
              <w:right w:type="dxa" w:w="110"/>
            </w:tcMar>
            <w:vAlign w:val="center"/>
          </w:tcPr>
          <w:p>
            <w:pPr>
              <w:bidi/>
              <w:spacing w:after="40" w:before="40" w:line="240"/>
              <w:jc w:val="center"/>
            </w:pPr>
            <w:r>
              <w:rPr>
                <w:rFonts w:ascii="Arial" w:cs="Arial" w:eastAsia="Arial" w:hAnsi="Arial"/>
                <w:b w:val="false"/>
                <w:bCs w:val="false"/>
                <w:i w:val="false"/>
                <w:iCs w:val="false"/>
                <w:color w:val="000000"/>
                <w:sz w:val="19"/>
                <w:szCs w:val="19"/>
                <w:rtl/>
              </w:rPr>
              <w:t xml:space="preserve">—</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C00000"/>
                <w:sz w:val="19"/>
                <w:szCs w:val="19"/>
                <w:rtl/>
              </w:rPr>
              <w:t xml:space="preserve">גבוה</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9</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התאמת הוצאות רכב: 112,604.61 בספרים מול 104,671.11 בגיליון</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7,933.50</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9C5700"/>
                <w:sz w:val="19"/>
                <w:szCs w:val="19"/>
                <w:rtl/>
              </w:rPr>
              <w:t xml:space="preserve">בינוני</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10</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לאן שייך הזיכוי של 2,218 ₪ שהותיר את חשבון 1221742 ביתרת זכות?</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1,768.00</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9C5700"/>
                <w:sz w:val="19"/>
                <w:szCs w:val="19"/>
                <w:rtl/>
              </w:rPr>
              <w:t xml:space="preserve">בינוני</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11</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המקדמה רשומה 14,497.43 ₪ אך הוזזו 11,964.08 ₪ — מה ההסבר?</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2,533.35</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9C5700"/>
                <w:sz w:val="19"/>
                <w:szCs w:val="19"/>
                <w:rtl/>
              </w:rPr>
              <w:t xml:space="preserve">בינוני</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12</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אישור נתון השכר של בן מאיר דורית במאי (זהה ליוני)</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19,286.24</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9C5700"/>
                <w:sz w:val="19"/>
                <w:szCs w:val="19"/>
                <w:rtl/>
              </w:rPr>
              <w:t xml:space="preserve">בינוני</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13</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האם עבודות האינסטלציה (43,700 ₪ ביוני) הן הוצאה שוטפת או השבחה להיוון?</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43,700.00</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9C5700"/>
                <w:sz w:val="19"/>
                <w:szCs w:val="19"/>
                <w:rtl/>
              </w:rPr>
              <w:t xml:space="preserve">בינוני</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14</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האם קיימת הפרשה לפיצויים?</w:t>
            </w:r>
          </w:p>
        </w:tc>
        <w:tc>
          <w:tcPr>
            <w:tcW w:type="dxa" w:w="1700"/>
            <w:tcMar>
              <w:top w:type="dxa" w:w="70"/>
              <w:left w:type="dxa" w:w="110"/>
              <w:bottom w:type="dxa" w:w="70"/>
              <w:right w:type="dxa" w:w="110"/>
            </w:tcMar>
            <w:vAlign w:val="center"/>
          </w:tcPr>
          <w:p>
            <w:pPr>
              <w:bidi/>
              <w:spacing w:after="40" w:before="40" w:line="240"/>
              <w:jc w:val="center"/>
            </w:pPr>
            <w:r>
              <w:rPr>
                <w:rFonts w:ascii="Arial" w:cs="Arial" w:eastAsia="Arial" w:hAnsi="Arial"/>
                <w:b w:val="false"/>
                <w:bCs w:val="false"/>
                <w:i w:val="false"/>
                <w:iCs w:val="false"/>
                <w:color w:val="000000"/>
                <w:sz w:val="19"/>
                <w:szCs w:val="19"/>
                <w:rtl/>
              </w:rPr>
              <w:t xml:space="preserve">—</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9C5700"/>
                <w:sz w:val="19"/>
                <w:szCs w:val="19"/>
                <w:rtl/>
              </w:rPr>
              <w:t xml:space="preserve">בינוני</w:t>
            </w:r>
          </w:p>
        </w:tc>
      </w:tr>
      <w:tr>
        <w:tc>
          <w:tcPr>
            <w:tcW w:type="dxa" w:w="70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000000"/>
                <w:sz w:val="19"/>
                <w:szCs w:val="19"/>
                <w:rtl/>
              </w:rPr>
              <w:t xml:space="preserve">15</w:t>
            </w:r>
          </w:p>
        </w:tc>
        <w:tc>
          <w:tcPr>
            <w:tcW w:type="dxa" w:w="5300"/>
            <w:tcMar>
              <w:top w:type="dxa" w:w="70"/>
              <w:left w:type="dxa" w:w="110"/>
              <w:bottom w:type="dxa" w:w="70"/>
              <w:right w:type="dxa" w:w="110"/>
            </w:tcMar>
            <w:vAlign w:val="center"/>
          </w:tcPr>
          <w:p>
            <w:pPr>
              <w:bidi/>
              <w:spacing w:after="40" w:before="40" w:line="240"/>
              <w:jc w:val="right"/>
            </w:pPr>
            <w:r>
              <w:rPr>
                <w:rFonts w:ascii="Arial" w:cs="Arial" w:eastAsia="Arial" w:hAnsi="Arial"/>
                <w:b w:val="false"/>
                <w:bCs w:val="false"/>
                <w:i w:val="false"/>
                <w:iCs w:val="false"/>
                <w:color w:val="000000"/>
                <w:sz w:val="19"/>
                <w:szCs w:val="19"/>
                <w:rtl/>
              </w:rPr>
              <w:t xml:space="preserve">שי לחגים ומתנות — זקיפת שווי ומע"מ תשומות טופלו?</w:t>
            </w:r>
          </w:p>
        </w:tc>
        <w:tc>
          <w:tcPr>
            <w:tcW w:type="dxa" w:w="1700"/>
            <w:tcMar>
              <w:top w:type="dxa" w:w="70"/>
              <w:left w:type="dxa" w:w="110"/>
              <w:bottom w:type="dxa" w:w="70"/>
              <w:right w:type="dxa" w:w="110"/>
            </w:tcMar>
            <w:vAlign w:val="center"/>
          </w:tcPr>
          <w:p>
            <w:pPr>
              <w:bidi/>
              <w:spacing w:after="40" w:before="40" w:line="240"/>
              <w:jc w:val="left"/>
            </w:pPr>
            <w:r>
              <w:rPr>
                <w:rFonts w:ascii="Arial" w:cs="Arial" w:eastAsia="Arial" w:hAnsi="Arial"/>
                <w:b w:val="false"/>
                <w:bCs w:val="false"/>
                <w:i w:val="false"/>
                <w:iCs w:val="false"/>
                <w:color w:val="000000"/>
                <w:sz w:val="19"/>
                <w:szCs w:val="19"/>
                <w:rtl/>
              </w:rPr>
              <w:t xml:space="preserve">7,600.00</w:t>
            </w:r>
          </w:p>
        </w:tc>
        <w:tc>
          <w:tcPr>
            <w:tcW w:type="dxa" w:w="1660"/>
            <w:tcMar>
              <w:top w:type="dxa" w:w="70"/>
              <w:left w:type="dxa" w:w="110"/>
              <w:bottom w:type="dxa" w:w="70"/>
              <w:right w:type="dxa" w:w="110"/>
            </w:tcMar>
            <w:vAlign w:val="center"/>
          </w:tcPr>
          <w:p>
            <w:pPr>
              <w:bidi/>
              <w:spacing w:after="40" w:before="40" w:line="240"/>
              <w:jc w:val="center"/>
            </w:pPr>
            <w:r>
              <w:rPr>
                <w:rFonts w:ascii="Arial" w:cs="Arial" w:eastAsia="Arial" w:hAnsi="Arial"/>
                <w:b/>
                <w:bCs/>
                <w:i w:val="false"/>
                <w:iCs w:val="false"/>
                <w:color w:val="9C5700"/>
                <w:sz w:val="19"/>
                <w:szCs w:val="19"/>
                <w:rtl/>
              </w:rPr>
              <w:t xml:space="preserve">נמוך</w:t>
            </w:r>
          </w:p>
        </w:tc>
      </w:tr>
    </w:tbl>
    <w:p>
      <w:pPr>
        <w:pStyle w:val="Heading1"/>
        <w:bidi/>
        <w:spacing w:after="140" w:before="320"/>
        <w:jc w:val="right"/>
      </w:pPr>
      <w:r>
        <w:rPr>
          <w:rFonts w:ascii="Arial" w:cs="Arial" w:eastAsia="Arial" w:hAnsi="Arial"/>
          <w:b/>
          <w:bCs/>
          <w:color w:val="1F3864"/>
          <w:sz w:val="28"/>
          <w:szCs w:val="28"/>
          <w:rtl/>
        </w:rPr>
        <w:t xml:space="preserve">7. הצהרה</w:t>
      </w:r>
    </w:p>
    <w:p>
      <w:pPr>
        <w:bidi/>
        <w:spacing w:after="120" w:before="0" w:line="276"/>
        <w:jc w:val="right"/>
      </w:pPr>
      <w:r>
        <w:rPr>
          <w:rFonts w:ascii="Arial" w:cs="Arial" w:eastAsia="Arial" w:hAnsi="Arial"/>
          <w:b w:val="false"/>
          <w:bCs w:val="false"/>
          <w:i/>
          <w:iCs/>
          <w:color w:val="666666"/>
          <w:sz w:val="19"/>
          <w:szCs w:val="19"/>
          <w:rtl/>
        </w:rPr>
        <w:t xml:space="preserve">כל הסכומים במסמך זה נלקחו כלשונם מהקובץ שהתקבל, ולא בוצע כל שינוי בנתוני המקור. המסמך מהווה בדיקת סבירות והתאמות בלבד — אין הוא ביקורת חשבונות, אין הוא חוות דעת חשבונאית או מיסויית, ואין להסתמך עליו ככזה. סעיפים הנוגעים לסיווג חשבונאי, היוון עבודות, זקיפת שווי והפרשות לפיצויים מחייבים בדיקה של רואה חשבון.</w:t>
      </w:r>
    </w:p>
    <w:sectPr>
      <w:headerReference w:type="default" r:id="rId7"/>
      <w:footerReference w:type="default" r:id="rId8"/>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6"/>
        <w:szCs w:val="16"/>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bidi/>
      <w:jc w:val="right"/>
    </w:pPr>
    <w:r>
      <w:rPr>
        <w:rFonts w:ascii="Arial" w:cs="Arial" w:eastAsia="Arial" w:hAnsi="Arial"/>
        <w:color w:val="888888"/>
        <w:sz w:val="16"/>
        <w:szCs w:val="16"/>
        <w:rtl/>
      </w:rPr>
      <w:t xml:space="preserve">ויצמן אחזקות (ג.מ.ש) בע"מ — הערות למאזן הבוחן 1–6/2026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הערות למאזן הבוחן לחציון 1–6/2026 — ויצמן אחזקות (ג.מ.ש) בע"מ</dc:title>
  <dc:creator>ניתוח פנימי</dc:creator>
  <cp:lastModifiedBy>Un-named</cp:lastModifiedBy>
  <cp:revision>1</cp:revision>
  <dcterms:created xsi:type="dcterms:W3CDTF">2026-08-20T08:02:27.462Z</dcterms:created>
  <dcterms:modified xsi:type="dcterms:W3CDTF">2026-08-20T08:02:27.462Z</dcterms:modified>
</cp:coreProperties>
</file>

<file path=docProps/custom.xml><?xml version="1.0" encoding="utf-8"?>
<Properties xmlns="http://schemas.openxmlformats.org/officeDocument/2006/custom-properties" xmlns:vt="http://schemas.openxmlformats.org/officeDocument/2006/docPropsVTypes"/>
</file>