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4985" w14:textId="078DDA1E" w:rsidR="0038306B" w:rsidRDefault="00A270BA" w:rsidP="002D7CD9">
      <w:pPr>
        <w:spacing w:line="360" w:lineRule="auto"/>
        <w:jc w:val="both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 w:hint="cs"/>
          <w:b/>
          <w:bCs/>
          <w:u w:val="single"/>
          <w:rtl/>
        </w:rPr>
        <w:t>מטל</w:t>
      </w:r>
      <w:r w:rsidR="007E2310">
        <w:rPr>
          <w:rFonts w:ascii="David" w:hAnsi="David" w:cs="David" w:hint="cs"/>
          <w:b/>
          <w:bCs/>
          <w:u w:val="single"/>
          <w:rtl/>
        </w:rPr>
        <w:t>ה מסכמת</w:t>
      </w:r>
    </w:p>
    <w:p w14:paraId="060BA30C" w14:textId="4C7F40F6" w:rsidR="00C00EBA" w:rsidRP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שאלה ראשונה</w:t>
      </w:r>
    </w:p>
    <w:p w14:paraId="4C2F8783" w14:textId="237A4E91" w:rsidR="007E2310" w:rsidRDefault="002A57CB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חוק העונשין</w:t>
      </w:r>
      <w:r w:rsidR="00220DE6">
        <w:rPr>
          <w:rFonts w:ascii="David" w:hAnsi="David" w:cs="David" w:hint="cs"/>
          <w:rtl/>
        </w:rPr>
        <w:t>,</w:t>
      </w:r>
      <w:r>
        <w:rPr>
          <w:rFonts w:ascii="David" w:hAnsi="David" w:cs="David" w:hint="cs"/>
          <w:rtl/>
        </w:rPr>
        <w:t xml:space="preserve"> טרם תיקון 137</w:t>
      </w:r>
      <w:r w:rsidR="00220DE6">
        <w:rPr>
          <w:rFonts w:ascii="David" w:hAnsi="David" w:cs="David" w:hint="cs"/>
          <w:rtl/>
        </w:rPr>
        <w:t>,</w:t>
      </w:r>
      <w:r w:rsidR="0003608A">
        <w:rPr>
          <w:rFonts w:ascii="David" w:hAnsi="David" w:cs="David" w:hint="cs"/>
          <w:rtl/>
        </w:rPr>
        <w:t xml:space="preserve"> קבע מדרג של שלוש עבירות</w:t>
      </w:r>
      <w:r w:rsidR="00026423">
        <w:rPr>
          <w:rFonts w:ascii="David" w:hAnsi="David" w:cs="David" w:hint="cs"/>
          <w:rtl/>
        </w:rPr>
        <w:t xml:space="preserve"> המתה</w:t>
      </w:r>
      <w:r w:rsidR="0003608A">
        <w:rPr>
          <w:rFonts w:ascii="David" w:hAnsi="David" w:cs="David"/>
        </w:rPr>
        <w:t>;</w:t>
      </w:r>
      <w:r w:rsidR="0003608A">
        <w:rPr>
          <w:rFonts w:ascii="David" w:hAnsi="David" w:cs="David" w:hint="cs"/>
          <w:rtl/>
        </w:rPr>
        <w:t xml:space="preserve"> רצח, הריגה וגרם מוות ברשלנות.</w:t>
      </w:r>
      <w:r w:rsidR="009954DC">
        <w:rPr>
          <w:rStyle w:val="af0"/>
          <w:rFonts w:ascii="David" w:hAnsi="David" w:cs="David"/>
          <w:rtl/>
        </w:rPr>
        <w:footnoteReference w:id="1"/>
      </w:r>
      <w:r w:rsidR="0003608A">
        <w:rPr>
          <w:rFonts w:ascii="David" w:hAnsi="David" w:cs="David" w:hint="cs"/>
          <w:rtl/>
        </w:rPr>
        <w:t xml:space="preserve"> </w:t>
      </w:r>
      <w:r w:rsidR="00814CC5">
        <w:rPr>
          <w:rFonts w:ascii="David" w:hAnsi="David" w:cs="David" w:hint="cs"/>
          <w:rtl/>
        </w:rPr>
        <w:t xml:space="preserve">עבירת הרצח </w:t>
      </w:r>
      <w:r w:rsidR="005B1268">
        <w:rPr>
          <w:rFonts w:ascii="David" w:hAnsi="David" w:cs="David" w:hint="cs"/>
          <w:rtl/>
        </w:rPr>
        <w:t>דרשה</w:t>
      </w:r>
      <w:r w:rsidR="006A4EF6">
        <w:rPr>
          <w:rFonts w:ascii="David" w:hAnsi="David" w:cs="David" w:hint="cs"/>
          <w:rtl/>
        </w:rPr>
        <w:t xml:space="preserve"> הוכחת </w:t>
      </w:r>
      <w:r w:rsidR="00E75EF8">
        <w:rPr>
          <w:rFonts w:ascii="David" w:hAnsi="David" w:cs="David" w:hint="cs"/>
          <w:rtl/>
        </w:rPr>
        <w:t>שלוש</w:t>
      </w:r>
      <w:r w:rsidR="00D224BC">
        <w:rPr>
          <w:rFonts w:ascii="David" w:hAnsi="David" w:cs="David" w:hint="cs"/>
          <w:rtl/>
        </w:rPr>
        <w:t>ה</w:t>
      </w:r>
      <w:r w:rsidR="00E75EF8">
        <w:rPr>
          <w:rFonts w:ascii="David" w:hAnsi="David" w:cs="David" w:hint="cs"/>
          <w:rtl/>
        </w:rPr>
        <w:t xml:space="preserve"> </w:t>
      </w:r>
      <w:r w:rsidR="00D224BC">
        <w:rPr>
          <w:rFonts w:ascii="David" w:hAnsi="David" w:cs="David" w:hint="cs"/>
          <w:rtl/>
        </w:rPr>
        <w:t>תנאים מצטברים:</w:t>
      </w:r>
      <w:r w:rsidR="00BD43ED">
        <w:rPr>
          <w:rFonts w:ascii="David" w:hAnsi="David" w:cs="David" w:hint="cs"/>
          <w:rtl/>
        </w:rPr>
        <w:t xml:space="preserve"> הכנה, </w:t>
      </w:r>
      <w:r w:rsidR="007C5A5B">
        <w:rPr>
          <w:rFonts w:ascii="David" w:hAnsi="David" w:cs="David" w:hint="cs"/>
          <w:rtl/>
        </w:rPr>
        <w:t>החלטה</w:t>
      </w:r>
      <w:r w:rsidR="00BD43ED">
        <w:rPr>
          <w:rFonts w:ascii="David" w:hAnsi="David" w:cs="David" w:hint="cs"/>
          <w:rtl/>
        </w:rPr>
        <w:t xml:space="preserve"> להמית והיעדר קנטור</w:t>
      </w:r>
      <w:r w:rsidR="00057425">
        <w:rPr>
          <w:rFonts w:ascii="David" w:hAnsi="David" w:cs="David" w:hint="cs"/>
          <w:rtl/>
        </w:rPr>
        <w:t>.</w:t>
      </w:r>
      <w:r w:rsidR="00F7346A">
        <w:rPr>
          <w:rStyle w:val="af0"/>
          <w:rFonts w:ascii="David" w:hAnsi="David" w:cs="David"/>
          <w:rtl/>
        </w:rPr>
        <w:footnoteReference w:id="2"/>
      </w:r>
      <w:r w:rsidR="003B57C7">
        <w:rPr>
          <w:rFonts w:ascii="David" w:hAnsi="David" w:cs="David" w:hint="cs"/>
          <w:rtl/>
        </w:rPr>
        <w:t xml:space="preserve"> </w:t>
      </w:r>
      <w:r w:rsidR="00FD0E08">
        <w:rPr>
          <w:rFonts w:ascii="David" w:hAnsi="David" w:cs="David" w:hint="cs"/>
          <w:rtl/>
        </w:rPr>
        <w:t>דינה</w:t>
      </w:r>
      <w:r w:rsidR="00057425">
        <w:rPr>
          <w:rFonts w:ascii="David" w:hAnsi="David" w:cs="David" w:hint="cs"/>
          <w:rtl/>
        </w:rPr>
        <w:t xml:space="preserve"> של עבירה זו</w:t>
      </w:r>
      <w:r w:rsidR="006E4183">
        <w:rPr>
          <w:rFonts w:ascii="David" w:hAnsi="David" w:cs="David" w:hint="cs"/>
          <w:rtl/>
        </w:rPr>
        <w:t xml:space="preserve"> </w:t>
      </w:r>
      <w:r w:rsidR="006A0A6F">
        <w:rPr>
          <w:rFonts w:ascii="David" w:hAnsi="David" w:cs="David" w:hint="cs"/>
          <w:rtl/>
        </w:rPr>
        <w:t>עמד</w:t>
      </w:r>
      <w:r w:rsidR="006E4183">
        <w:rPr>
          <w:rFonts w:ascii="David" w:hAnsi="David" w:cs="David" w:hint="cs"/>
          <w:rtl/>
        </w:rPr>
        <w:t xml:space="preserve"> על</w:t>
      </w:r>
      <w:r w:rsidR="00C5623F">
        <w:rPr>
          <w:rFonts w:ascii="David" w:hAnsi="David" w:cs="David" w:hint="cs"/>
          <w:rtl/>
        </w:rPr>
        <w:t xml:space="preserve"> מאסר עולם בלבד</w:t>
      </w:r>
      <w:r w:rsidR="00057425">
        <w:rPr>
          <w:rFonts w:ascii="David" w:hAnsi="David" w:cs="David" w:hint="cs"/>
          <w:rtl/>
        </w:rPr>
        <w:t xml:space="preserve">, ללא </w:t>
      </w:r>
      <w:r w:rsidR="007F5570">
        <w:rPr>
          <w:rFonts w:ascii="David" w:hAnsi="David" w:cs="David" w:hint="cs"/>
          <w:rtl/>
        </w:rPr>
        <w:t xml:space="preserve">מתן </w:t>
      </w:r>
      <w:r w:rsidR="00057425">
        <w:rPr>
          <w:rFonts w:ascii="David" w:hAnsi="David" w:cs="David" w:hint="cs"/>
          <w:rtl/>
        </w:rPr>
        <w:t xml:space="preserve">שיקול דעת </w:t>
      </w:r>
      <w:r w:rsidR="007F5570">
        <w:rPr>
          <w:rFonts w:ascii="David" w:hAnsi="David" w:cs="David" w:hint="cs"/>
          <w:rtl/>
        </w:rPr>
        <w:t>ל</w:t>
      </w:r>
      <w:r w:rsidR="006A0A6F">
        <w:rPr>
          <w:rFonts w:ascii="David" w:hAnsi="David" w:cs="David" w:hint="cs"/>
          <w:rtl/>
        </w:rPr>
        <w:t xml:space="preserve">בית המשפט </w:t>
      </w:r>
      <w:r w:rsidR="003F68CF">
        <w:rPr>
          <w:rFonts w:ascii="David" w:hAnsi="David" w:cs="David" w:hint="cs"/>
          <w:rtl/>
        </w:rPr>
        <w:t>באשר</w:t>
      </w:r>
      <w:r w:rsidR="006A0A6F">
        <w:rPr>
          <w:rFonts w:ascii="David" w:hAnsi="David" w:cs="David" w:hint="cs"/>
          <w:rtl/>
        </w:rPr>
        <w:t xml:space="preserve"> </w:t>
      </w:r>
      <w:r w:rsidR="003F68CF">
        <w:rPr>
          <w:rFonts w:ascii="David" w:hAnsi="David" w:cs="David" w:hint="cs"/>
          <w:rtl/>
        </w:rPr>
        <w:t>ל</w:t>
      </w:r>
      <w:r w:rsidR="006A0A6F">
        <w:rPr>
          <w:rFonts w:ascii="David" w:hAnsi="David" w:cs="David" w:hint="cs"/>
          <w:rtl/>
        </w:rPr>
        <w:t>רף הענישה</w:t>
      </w:r>
      <w:r w:rsidR="006E4183">
        <w:rPr>
          <w:rFonts w:ascii="David" w:hAnsi="David" w:cs="David" w:hint="cs"/>
          <w:rtl/>
        </w:rPr>
        <w:t>.</w:t>
      </w:r>
      <w:r w:rsidR="003B57C7">
        <w:rPr>
          <w:rStyle w:val="af0"/>
          <w:rFonts w:ascii="David" w:hAnsi="David" w:cs="David"/>
          <w:rtl/>
        </w:rPr>
        <w:footnoteReference w:id="3"/>
      </w:r>
      <w:r w:rsidR="006E4183">
        <w:rPr>
          <w:rFonts w:ascii="David" w:hAnsi="David" w:cs="David" w:hint="cs"/>
          <w:rtl/>
        </w:rPr>
        <w:t xml:space="preserve"> לעומ</w:t>
      </w:r>
      <w:r w:rsidR="003F68CF">
        <w:rPr>
          <w:rFonts w:ascii="David" w:hAnsi="David" w:cs="David" w:hint="cs"/>
          <w:rtl/>
        </w:rPr>
        <w:t>תה</w:t>
      </w:r>
      <w:r w:rsidR="006E4183">
        <w:rPr>
          <w:rFonts w:ascii="David" w:hAnsi="David" w:cs="David" w:hint="cs"/>
          <w:rtl/>
        </w:rPr>
        <w:t xml:space="preserve">, </w:t>
      </w:r>
      <w:r w:rsidR="00A136A8">
        <w:rPr>
          <w:rFonts w:ascii="David" w:hAnsi="David" w:cs="David" w:hint="cs"/>
          <w:rtl/>
        </w:rPr>
        <w:t xml:space="preserve">עבירת ההריגה שימשה כסל לכל מקרי ההמתה אשר לא עמדו ברף </w:t>
      </w:r>
      <w:r w:rsidR="001244CA">
        <w:rPr>
          <w:rFonts w:ascii="David" w:hAnsi="David" w:cs="David" w:hint="cs"/>
          <w:rtl/>
        </w:rPr>
        <w:t>עבירת ה</w:t>
      </w:r>
      <w:r w:rsidR="00A136A8">
        <w:rPr>
          <w:rFonts w:ascii="David" w:hAnsi="David" w:cs="David" w:hint="cs"/>
          <w:rtl/>
        </w:rPr>
        <w:t>רצח</w:t>
      </w:r>
      <w:r w:rsidR="003D6A53">
        <w:rPr>
          <w:rFonts w:ascii="David" w:hAnsi="David" w:cs="David" w:hint="cs"/>
          <w:rtl/>
        </w:rPr>
        <w:t xml:space="preserve">, </w:t>
      </w:r>
      <w:r w:rsidR="00A65676">
        <w:rPr>
          <w:rFonts w:ascii="David" w:hAnsi="David" w:cs="David" w:hint="cs"/>
          <w:rtl/>
        </w:rPr>
        <w:t>אך חרגו</w:t>
      </w:r>
      <w:r w:rsidR="00A40D36">
        <w:rPr>
          <w:rFonts w:ascii="David" w:hAnsi="David" w:cs="David" w:hint="cs"/>
          <w:rtl/>
        </w:rPr>
        <w:t xml:space="preserve"> מעבירת </w:t>
      </w:r>
      <w:r w:rsidR="00D94903">
        <w:rPr>
          <w:rFonts w:ascii="David" w:hAnsi="David" w:cs="David" w:hint="cs"/>
          <w:rtl/>
        </w:rPr>
        <w:t>גרימת מוות ברשלנות</w:t>
      </w:r>
      <w:r w:rsidR="00057425">
        <w:rPr>
          <w:rFonts w:ascii="David" w:hAnsi="David" w:cs="David" w:hint="cs"/>
          <w:rtl/>
        </w:rPr>
        <w:t xml:space="preserve">. </w:t>
      </w:r>
      <w:r w:rsidR="006A0A6F">
        <w:rPr>
          <w:rFonts w:ascii="David" w:hAnsi="David" w:cs="David" w:hint="cs"/>
          <w:rtl/>
        </w:rPr>
        <w:t xml:space="preserve">עונשה </w:t>
      </w:r>
      <w:r w:rsidR="00845321">
        <w:rPr>
          <w:rFonts w:ascii="David" w:hAnsi="David" w:cs="David" w:hint="cs"/>
          <w:rtl/>
        </w:rPr>
        <w:t xml:space="preserve">המירבי </w:t>
      </w:r>
      <w:r w:rsidR="006A0A6F">
        <w:rPr>
          <w:rFonts w:ascii="David" w:hAnsi="David" w:cs="David" w:hint="cs"/>
          <w:rtl/>
        </w:rPr>
        <w:t xml:space="preserve">של עבירה זו עמד על עשרים שנות מאסר, </w:t>
      </w:r>
      <w:r w:rsidR="00825E7C">
        <w:rPr>
          <w:rFonts w:ascii="David" w:hAnsi="David" w:cs="David" w:hint="cs"/>
          <w:rtl/>
        </w:rPr>
        <w:t xml:space="preserve">תוך הותרת </w:t>
      </w:r>
      <w:r w:rsidR="00C62790">
        <w:rPr>
          <w:rFonts w:ascii="David" w:hAnsi="David" w:cs="David" w:hint="cs"/>
          <w:rtl/>
        </w:rPr>
        <w:t>שיקול דעת</w:t>
      </w:r>
      <w:r w:rsidR="00825E7C">
        <w:rPr>
          <w:rFonts w:ascii="David" w:hAnsi="David" w:cs="David" w:hint="cs"/>
          <w:rtl/>
        </w:rPr>
        <w:t xml:space="preserve"> ל</w:t>
      </w:r>
      <w:r w:rsidR="00C62790">
        <w:rPr>
          <w:rFonts w:ascii="David" w:hAnsi="David" w:cs="David" w:hint="cs"/>
          <w:rtl/>
        </w:rPr>
        <w:t>בית המשפט.</w:t>
      </w:r>
      <w:r w:rsidR="003B57C7">
        <w:rPr>
          <w:rStyle w:val="af0"/>
          <w:rFonts w:ascii="David" w:hAnsi="David" w:cs="David"/>
          <w:rtl/>
        </w:rPr>
        <w:footnoteReference w:id="4"/>
      </w:r>
      <w:r w:rsidR="00C62790">
        <w:rPr>
          <w:rFonts w:ascii="David" w:hAnsi="David" w:cs="David" w:hint="cs"/>
          <w:rtl/>
        </w:rPr>
        <w:t xml:space="preserve"> </w:t>
      </w:r>
      <w:r w:rsidR="005B7DDE">
        <w:rPr>
          <w:rFonts w:ascii="David" w:hAnsi="David" w:cs="David" w:hint="cs"/>
          <w:rtl/>
        </w:rPr>
        <w:t>(</w:t>
      </w:r>
      <w:r w:rsidR="005B7DDE" w:rsidRPr="00C44F0C">
        <w:rPr>
          <w:rFonts w:ascii="David" w:hAnsi="David" w:cs="David" w:hint="cs"/>
          <w:highlight w:val="yellow"/>
          <w:rtl/>
        </w:rPr>
        <w:t>פס 10 40015)</w:t>
      </w:r>
    </w:p>
    <w:p w14:paraId="3FD8EA7F" w14:textId="2462412B" w:rsidR="00C62790" w:rsidRDefault="00874436" w:rsidP="009149C3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הסוגייה</w:t>
      </w:r>
      <w:r w:rsidR="00C62790">
        <w:rPr>
          <w:rFonts w:ascii="David" w:hAnsi="David" w:cs="David" w:hint="cs"/>
          <w:rtl/>
        </w:rPr>
        <w:t xml:space="preserve"> </w:t>
      </w:r>
      <w:r w:rsidR="00A40D36">
        <w:rPr>
          <w:rFonts w:ascii="David" w:hAnsi="David" w:cs="David" w:hint="cs"/>
          <w:rtl/>
        </w:rPr>
        <w:t>ה</w:t>
      </w:r>
      <w:r w:rsidR="00C4527B">
        <w:rPr>
          <w:rFonts w:ascii="David" w:hAnsi="David" w:cs="David" w:hint="cs"/>
          <w:rtl/>
        </w:rPr>
        <w:t xml:space="preserve">נדונה </w:t>
      </w:r>
      <w:r w:rsidR="00C62790">
        <w:rPr>
          <w:rFonts w:ascii="David" w:hAnsi="David" w:cs="David" w:hint="cs"/>
          <w:rtl/>
        </w:rPr>
        <w:t>נופל</w:t>
      </w:r>
      <w:r>
        <w:rPr>
          <w:rFonts w:ascii="David" w:hAnsi="David" w:cs="David" w:hint="cs"/>
          <w:rtl/>
        </w:rPr>
        <w:t>ת</w:t>
      </w:r>
      <w:r w:rsidR="00C62790">
        <w:rPr>
          <w:rFonts w:ascii="David" w:hAnsi="David" w:cs="David" w:hint="cs"/>
          <w:rtl/>
        </w:rPr>
        <w:t xml:space="preserve"> על התפר </w:t>
      </w:r>
      <w:r w:rsidR="00BD0203">
        <w:rPr>
          <w:rFonts w:ascii="David" w:hAnsi="David" w:cs="David" w:hint="cs"/>
          <w:rtl/>
        </w:rPr>
        <w:t>בין</w:t>
      </w:r>
      <w:r w:rsidR="00C62790">
        <w:rPr>
          <w:rFonts w:ascii="David" w:hAnsi="David" w:cs="David" w:hint="cs"/>
          <w:rtl/>
        </w:rPr>
        <w:t xml:space="preserve"> </w:t>
      </w:r>
      <w:r w:rsidR="00A17CF6">
        <w:rPr>
          <w:rFonts w:ascii="David" w:hAnsi="David" w:cs="David" w:hint="cs"/>
          <w:rtl/>
        </w:rPr>
        <w:t>עבירת הרצח ל</w:t>
      </w:r>
      <w:r w:rsidR="00BD0203">
        <w:rPr>
          <w:rFonts w:ascii="David" w:hAnsi="David" w:cs="David" w:hint="cs"/>
          <w:rtl/>
        </w:rPr>
        <w:t xml:space="preserve">בין </w:t>
      </w:r>
      <w:r w:rsidR="00A17CF6">
        <w:rPr>
          <w:rFonts w:ascii="David" w:hAnsi="David" w:cs="David" w:hint="cs"/>
          <w:rtl/>
        </w:rPr>
        <w:t>עבירת ההריגה</w:t>
      </w:r>
      <w:r w:rsidR="00635A63">
        <w:rPr>
          <w:rFonts w:ascii="David" w:hAnsi="David" w:cs="David" w:hint="cs"/>
          <w:rtl/>
        </w:rPr>
        <w:t xml:space="preserve">. </w:t>
      </w:r>
      <w:r w:rsidR="005B5BA5">
        <w:rPr>
          <w:rFonts w:ascii="David" w:hAnsi="David" w:cs="David" w:hint="cs"/>
          <w:rtl/>
        </w:rPr>
        <w:t xml:space="preserve">שכן, </w:t>
      </w:r>
      <w:r w:rsidR="006A0AA1">
        <w:rPr>
          <w:rFonts w:ascii="David" w:hAnsi="David" w:cs="David" w:hint="cs"/>
          <w:rtl/>
        </w:rPr>
        <w:t xml:space="preserve">מרבית </w:t>
      </w:r>
      <w:r w:rsidR="00EE2DBD">
        <w:rPr>
          <w:rFonts w:ascii="David" w:hAnsi="David" w:cs="David" w:hint="cs"/>
          <w:rtl/>
        </w:rPr>
        <w:t xml:space="preserve">ההבחנה נעשית </w:t>
      </w:r>
      <w:r w:rsidR="00166F5C">
        <w:rPr>
          <w:rFonts w:ascii="David" w:hAnsi="David" w:cs="David" w:hint="cs"/>
          <w:rtl/>
        </w:rPr>
        <w:t>לפי</w:t>
      </w:r>
      <w:r w:rsidR="00160025">
        <w:rPr>
          <w:rFonts w:ascii="David" w:hAnsi="David" w:cs="David" w:hint="cs"/>
          <w:rtl/>
        </w:rPr>
        <w:t xml:space="preserve"> היסוד הנפשי</w:t>
      </w:r>
      <w:r w:rsidR="00166F5C">
        <w:rPr>
          <w:rFonts w:ascii="David" w:hAnsi="David" w:cs="David" w:hint="cs"/>
          <w:rtl/>
        </w:rPr>
        <w:t xml:space="preserve">. עם זאת, </w:t>
      </w:r>
      <w:r w:rsidR="00FF4E79">
        <w:rPr>
          <w:rFonts w:ascii="David" w:hAnsi="David" w:cs="David" w:hint="cs"/>
          <w:rtl/>
        </w:rPr>
        <w:t>יסוד זה</w:t>
      </w:r>
      <w:r w:rsidR="00166F5C">
        <w:rPr>
          <w:rFonts w:ascii="David" w:hAnsi="David" w:cs="David" w:hint="cs"/>
          <w:rtl/>
        </w:rPr>
        <w:t xml:space="preserve"> אינו ניתן להוכחה במישרין</w:t>
      </w:r>
      <w:r w:rsidR="00F65EEC">
        <w:rPr>
          <w:rFonts w:ascii="David" w:hAnsi="David" w:cs="David" w:hint="cs"/>
          <w:rtl/>
        </w:rPr>
        <w:t xml:space="preserve"> ותלוי ב</w:t>
      </w:r>
      <w:r w:rsidR="008B1F6C">
        <w:rPr>
          <w:rFonts w:ascii="David" w:hAnsi="David" w:cs="David" w:hint="cs"/>
          <w:rtl/>
        </w:rPr>
        <w:t xml:space="preserve">אופן </w:t>
      </w:r>
      <w:r w:rsidR="002B3D28">
        <w:rPr>
          <w:rFonts w:ascii="David" w:hAnsi="David" w:cs="David" w:hint="cs"/>
          <w:rtl/>
        </w:rPr>
        <w:t>ניתוח</w:t>
      </w:r>
      <w:r w:rsidR="008B1F6C">
        <w:rPr>
          <w:rFonts w:ascii="David" w:hAnsi="David" w:cs="David" w:hint="cs"/>
          <w:rtl/>
        </w:rPr>
        <w:t>ן</w:t>
      </w:r>
      <w:r w:rsidR="002B3D28">
        <w:rPr>
          <w:rFonts w:ascii="David" w:hAnsi="David" w:cs="David" w:hint="cs"/>
          <w:rtl/>
        </w:rPr>
        <w:t xml:space="preserve"> של</w:t>
      </w:r>
      <w:r w:rsidR="00934261">
        <w:rPr>
          <w:rFonts w:ascii="David" w:hAnsi="David" w:cs="David" w:hint="cs"/>
          <w:rtl/>
        </w:rPr>
        <w:t xml:space="preserve"> נסיבות המקרה על-ידי</w:t>
      </w:r>
      <w:r w:rsidR="00F65EEC">
        <w:rPr>
          <w:rFonts w:ascii="David" w:hAnsi="David" w:cs="David" w:hint="cs"/>
          <w:rtl/>
        </w:rPr>
        <w:t xml:space="preserve"> בית המשפט</w:t>
      </w:r>
      <w:r w:rsidR="00E20BDD">
        <w:rPr>
          <w:rFonts w:ascii="David" w:hAnsi="David" w:cs="David" w:hint="cs"/>
          <w:rtl/>
        </w:rPr>
        <w:t xml:space="preserve">. </w:t>
      </w:r>
      <w:r w:rsidR="00586D5D">
        <w:rPr>
          <w:rFonts w:ascii="David" w:hAnsi="David" w:cs="David" w:hint="cs"/>
          <w:rtl/>
        </w:rPr>
        <w:t xml:space="preserve">במקרה הנוכחי, ישנן ראיות </w:t>
      </w:r>
      <w:r w:rsidR="00AC3202">
        <w:rPr>
          <w:rFonts w:ascii="David" w:hAnsi="David" w:cs="David" w:hint="cs"/>
          <w:rtl/>
        </w:rPr>
        <w:t>ה</w:t>
      </w:r>
      <w:r w:rsidR="00586D5D">
        <w:rPr>
          <w:rFonts w:ascii="David" w:hAnsi="David" w:cs="David" w:hint="cs"/>
          <w:rtl/>
        </w:rPr>
        <w:t>עשויות להשתמע לשתי פנים</w:t>
      </w:r>
      <w:r w:rsidR="00683C1C">
        <w:rPr>
          <w:rFonts w:ascii="David" w:hAnsi="David" w:cs="David" w:hint="cs"/>
          <w:rtl/>
        </w:rPr>
        <w:t xml:space="preserve">. כך לדוגמה, </w:t>
      </w:r>
      <w:r w:rsidR="001C5A5A">
        <w:rPr>
          <w:rFonts w:ascii="David" w:hAnsi="David" w:cs="David" w:hint="cs"/>
          <w:rtl/>
        </w:rPr>
        <w:t xml:space="preserve">המנוח היה עבריין אלים שהטיל אימה </w:t>
      </w:r>
      <w:r w:rsidR="008565CE">
        <w:rPr>
          <w:rFonts w:ascii="David" w:hAnsi="David" w:cs="David" w:hint="cs"/>
          <w:rtl/>
        </w:rPr>
        <w:t>במשך שנים, והנאשם נמנה בין קורבנותיו</w:t>
      </w:r>
      <w:r w:rsidR="000351BC">
        <w:rPr>
          <w:rFonts w:ascii="David" w:hAnsi="David" w:cs="David" w:hint="cs"/>
          <w:rtl/>
        </w:rPr>
        <w:t>. נסיבות אלו</w:t>
      </w:r>
      <w:r w:rsidR="008565CE">
        <w:rPr>
          <w:rFonts w:ascii="David" w:hAnsi="David" w:cs="David" w:hint="cs"/>
          <w:rtl/>
        </w:rPr>
        <w:t xml:space="preserve"> </w:t>
      </w:r>
      <w:r w:rsidR="00FB6577">
        <w:rPr>
          <w:rFonts w:ascii="David" w:hAnsi="David" w:cs="David" w:hint="cs"/>
          <w:rtl/>
        </w:rPr>
        <w:t xml:space="preserve">עשויות להסביר את </w:t>
      </w:r>
      <w:r w:rsidR="00012D6C">
        <w:rPr>
          <w:rFonts w:ascii="David" w:hAnsi="David" w:cs="David" w:hint="cs"/>
          <w:rtl/>
        </w:rPr>
        <w:t>הפחד</w:t>
      </w:r>
      <w:r w:rsidR="00F40CBB">
        <w:rPr>
          <w:rFonts w:ascii="David" w:hAnsi="David" w:cs="David" w:hint="cs"/>
          <w:rtl/>
        </w:rPr>
        <w:t xml:space="preserve"> מהמנוח</w:t>
      </w:r>
      <w:r w:rsidR="00FB6577">
        <w:rPr>
          <w:rFonts w:ascii="David" w:hAnsi="David" w:cs="David" w:hint="cs"/>
          <w:rtl/>
        </w:rPr>
        <w:t xml:space="preserve"> ו</w:t>
      </w:r>
      <w:r w:rsidR="00012D6C">
        <w:rPr>
          <w:rFonts w:ascii="David" w:hAnsi="David" w:cs="David" w:hint="cs"/>
          <w:rtl/>
        </w:rPr>
        <w:t>הצורך ל</w:t>
      </w:r>
      <w:r w:rsidR="00941227">
        <w:rPr>
          <w:rFonts w:ascii="David" w:hAnsi="David" w:cs="David" w:hint="cs"/>
          <w:rtl/>
        </w:rPr>
        <w:t xml:space="preserve">נטילת האקדח </w:t>
      </w:r>
      <w:r w:rsidR="008A52CA">
        <w:rPr>
          <w:rFonts w:ascii="David" w:hAnsi="David" w:cs="David" w:hint="cs"/>
          <w:rtl/>
        </w:rPr>
        <w:t>כאמצעי הגנה</w:t>
      </w:r>
      <w:r w:rsidR="00941227">
        <w:rPr>
          <w:rFonts w:ascii="David" w:hAnsi="David" w:cs="David" w:hint="cs"/>
          <w:rtl/>
        </w:rPr>
        <w:t xml:space="preserve">, אך בד בבד </w:t>
      </w:r>
      <w:r w:rsidR="00F40CBB">
        <w:rPr>
          <w:rFonts w:ascii="David" w:hAnsi="David" w:cs="David" w:hint="cs"/>
          <w:rtl/>
        </w:rPr>
        <w:t>לספק</w:t>
      </w:r>
      <w:r w:rsidR="00941227">
        <w:rPr>
          <w:rFonts w:ascii="David" w:hAnsi="David" w:cs="David" w:hint="cs"/>
          <w:rtl/>
        </w:rPr>
        <w:t xml:space="preserve"> מניע לרצח. </w:t>
      </w:r>
      <w:r w:rsidR="00F40CBB">
        <w:rPr>
          <w:rFonts w:ascii="David" w:hAnsi="David" w:cs="David" w:hint="cs"/>
          <w:rtl/>
        </w:rPr>
        <w:t>באופן דומה</w:t>
      </w:r>
      <w:r w:rsidR="00D57DB0">
        <w:rPr>
          <w:rFonts w:ascii="David" w:hAnsi="David" w:cs="David" w:hint="cs"/>
          <w:rtl/>
        </w:rPr>
        <w:t xml:space="preserve">, נשיאת האקדח מדי ערב </w:t>
      </w:r>
      <w:r w:rsidR="001F02F1">
        <w:rPr>
          <w:rFonts w:ascii="David" w:hAnsi="David" w:cs="David" w:hint="cs"/>
          <w:rtl/>
        </w:rPr>
        <w:t xml:space="preserve">עשויה </w:t>
      </w:r>
      <w:r w:rsidR="008D15EE">
        <w:rPr>
          <w:rFonts w:ascii="David" w:hAnsi="David" w:cs="David" w:hint="cs"/>
          <w:rtl/>
        </w:rPr>
        <w:t>ל</w:t>
      </w:r>
      <w:r w:rsidR="00066624">
        <w:rPr>
          <w:rFonts w:ascii="David" w:hAnsi="David" w:cs="David" w:hint="cs"/>
          <w:rtl/>
        </w:rPr>
        <w:t>התבטא</w:t>
      </w:r>
      <w:r w:rsidR="00EC3848">
        <w:rPr>
          <w:rFonts w:ascii="David" w:hAnsi="David" w:cs="David" w:hint="cs"/>
          <w:rtl/>
        </w:rPr>
        <w:t xml:space="preserve"> כאמצעי התמודדות </w:t>
      </w:r>
      <w:r w:rsidR="0009256E">
        <w:rPr>
          <w:rFonts w:ascii="David" w:hAnsi="David" w:cs="David" w:hint="cs"/>
          <w:rtl/>
        </w:rPr>
        <w:t>עם הפחד מפני המנוח</w:t>
      </w:r>
      <w:r w:rsidR="0080660D">
        <w:rPr>
          <w:rFonts w:ascii="David" w:hAnsi="David" w:cs="David" w:hint="cs"/>
          <w:rtl/>
        </w:rPr>
        <w:t xml:space="preserve">, </w:t>
      </w:r>
      <w:r w:rsidR="00066624">
        <w:rPr>
          <w:rFonts w:ascii="David" w:hAnsi="David" w:cs="David" w:hint="cs"/>
          <w:rtl/>
        </w:rPr>
        <w:t>אך גם</w:t>
      </w:r>
      <w:r w:rsidR="0009256E">
        <w:rPr>
          <w:rFonts w:ascii="David" w:hAnsi="David" w:cs="David" w:hint="cs"/>
          <w:rtl/>
        </w:rPr>
        <w:t xml:space="preserve"> כהיערכות מוקדמת לקראת עימות עמו. </w:t>
      </w:r>
      <w:r w:rsidR="00C35CCF">
        <w:rPr>
          <w:rFonts w:ascii="David" w:hAnsi="David" w:cs="David" w:hint="cs"/>
          <w:rtl/>
        </w:rPr>
        <w:t>זאת, בייחוד כאשר בליל האירוע הנאשם</w:t>
      </w:r>
      <w:r w:rsidR="00185D84">
        <w:rPr>
          <w:rFonts w:ascii="David" w:hAnsi="David" w:cs="David" w:hint="cs"/>
          <w:rtl/>
        </w:rPr>
        <w:t xml:space="preserve"> </w:t>
      </w:r>
      <w:r w:rsidR="00C35CCF">
        <w:rPr>
          <w:rFonts w:ascii="David" w:hAnsi="David" w:cs="David" w:hint="cs"/>
          <w:rtl/>
        </w:rPr>
        <w:t xml:space="preserve">דרך את נשקו והתקרב למנוח. </w:t>
      </w:r>
    </w:p>
    <w:p w14:paraId="17135A00" w14:textId="4FD957DC" w:rsidR="00AB0CB8" w:rsidRDefault="00034F35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לצורך קביעת התשתית העובדתית, </w:t>
      </w:r>
      <w:r w:rsidR="00AB0CB8">
        <w:rPr>
          <w:rFonts w:ascii="David" w:hAnsi="David" w:cs="David" w:hint="cs"/>
          <w:rtl/>
        </w:rPr>
        <w:t xml:space="preserve">בית המשפט המחוזי </w:t>
      </w:r>
      <w:r>
        <w:rPr>
          <w:rFonts w:ascii="David" w:hAnsi="David" w:cs="David" w:hint="cs"/>
          <w:rtl/>
        </w:rPr>
        <w:t>נדרש לה</w:t>
      </w:r>
      <w:r w:rsidR="00581628">
        <w:rPr>
          <w:rFonts w:ascii="David" w:hAnsi="David" w:cs="David" w:hint="cs"/>
          <w:rtl/>
        </w:rPr>
        <w:t>כריע בין מספר גרסאות שמסר הנאשם.</w:t>
      </w:r>
      <w:r w:rsidR="00751D00">
        <w:rPr>
          <w:rFonts w:ascii="David" w:hAnsi="David" w:cs="David" w:hint="cs"/>
          <w:rtl/>
        </w:rPr>
        <w:t xml:space="preserve"> </w:t>
      </w:r>
      <w:r w:rsidR="003E4E84">
        <w:rPr>
          <w:rFonts w:ascii="David" w:hAnsi="David" w:cs="David" w:hint="cs"/>
          <w:rtl/>
        </w:rPr>
        <w:t xml:space="preserve">במסגרת </w:t>
      </w:r>
      <w:r w:rsidR="00682AB3">
        <w:rPr>
          <w:rFonts w:ascii="David" w:hAnsi="David" w:cs="David" w:hint="cs"/>
          <w:rtl/>
        </w:rPr>
        <w:t>זו</w:t>
      </w:r>
      <w:r w:rsidR="00751D00">
        <w:rPr>
          <w:rFonts w:ascii="David" w:hAnsi="David" w:cs="David" w:hint="cs"/>
          <w:rtl/>
        </w:rPr>
        <w:t xml:space="preserve">, </w:t>
      </w:r>
      <w:r w:rsidR="003E4E84">
        <w:rPr>
          <w:rFonts w:ascii="David" w:hAnsi="David" w:cs="David" w:hint="cs"/>
          <w:rtl/>
        </w:rPr>
        <w:t>נבחנו</w:t>
      </w:r>
      <w:r w:rsidR="00751D00">
        <w:rPr>
          <w:rFonts w:ascii="David" w:hAnsi="David" w:cs="David" w:hint="cs"/>
          <w:rtl/>
        </w:rPr>
        <w:t xml:space="preserve"> הגרסאות לפי עיתוי מסירתן, עקביותן</w:t>
      </w:r>
      <w:r w:rsidR="004D2036">
        <w:rPr>
          <w:rFonts w:ascii="David" w:hAnsi="David" w:cs="David" w:hint="cs"/>
          <w:rtl/>
        </w:rPr>
        <w:t xml:space="preserve"> והתאמתן לראיות </w:t>
      </w:r>
      <w:r w:rsidR="009A73A7">
        <w:rPr>
          <w:rFonts w:ascii="David" w:hAnsi="David" w:cs="David" w:hint="cs"/>
          <w:rtl/>
        </w:rPr>
        <w:t>האובייקטיביות</w:t>
      </w:r>
      <w:r w:rsidR="004D2036">
        <w:rPr>
          <w:rFonts w:ascii="David" w:hAnsi="David" w:cs="David" w:hint="cs"/>
          <w:rtl/>
        </w:rPr>
        <w:t xml:space="preserve">. </w:t>
      </w:r>
      <w:r w:rsidR="00A70590">
        <w:rPr>
          <w:rFonts w:ascii="David" w:hAnsi="David" w:cs="David" w:hint="cs"/>
          <w:rtl/>
        </w:rPr>
        <w:t>לאור אמות מידה אלו, בית המשפט קבע כי גרסתו הראשונה של הנאשם</w:t>
      </w:r>
      <w:r w:rsidR="00826815">
        <w:rPr>
          <w:rFonts w:ascii="David" w:hAnsi="David" w:cs="David" w:hint="cs"/>
          <w:rtl/>
        </w:rPr>
        <w:t xml:space="preserve"> היא הקרובה ביותר </w:t>
      </w:r>
      <w:r w:rsidR="00EA735B">
        <w:rPr>
          <w:rFonts w:ascii="David" w:hAnsi="David" w:cs="David" w:hint="cs"/>
          <w:rtl/>
        </w:rPr>
        <w:t xml:space="preserve">לתיאור האירוע. </w:t>
      </w:r>
      <w:r w:rsidR="00E43CFB">
        <w:rPr>
          <w:rFonts w:ascii="David" w:hAnsi="David" w:cs="David" w:hint="cs"/>
          <w:rtl/>
        </w:rPr>
        <w:t xml:space="preserve">שכן, הגרסאות המאוחרות עוררו קושי נוכח </w:t>
      </w:r>
      <w:r w:rsidR="00ED67FC">
        <w:rPr>
          <w:rFonts w:ascii="David" w:hAnsi="David" w:cs="David" w:hint="cs"/>
          <w:rtl/>
        </w:rPr>
        <w:t xml:space="preserve">הסתירות ביניהן וכן בינן לבין הראיות האובייקטיביות. </w:t>
      </w:r>
      <w:r w:rsidR="006F287B">
        <w:rPr>
          <w:rFonts w:ascii="David" w:hAnsi="David" w:cs="David" w:hint="cs"/>
          <w:rtl/>
        </w:rPr>
        <w:t xml:space="preserve">על אף הסתירה, ליבת גרסתו של הנאשם </w:t>
      </w:r>
      <w:r w:rsidR="005D7886">
        <w:rPr>
          <w:rFonts w:ascii="David" w:hAnsi="David" w:cs="David" w:hint="cs"/>
          <w:rtl/>
        </w:rPr>
        <w:t>נותרה</w:t>
      </w:r>
      <w:r w:rsidR="006F287B">
        <w:rPr>
          <w:rFonts w:ascii="David" w:hAnsi="David" w:cs="David" w:hint="cs"/>
          <w:rtl/>
        </w:rPr>
        <w:t xml:space="preserve"> עקבית</w:t>
      </w:r>
      <w:r w:rsidR="00F81531">
        <w:rPr>
          <w:rFonts w:ascii="David" w:hAnsi="David" w:cs="David" w:hint="cs"/>
          <w:rtl/>
        </w:rPr>
        <w:t>,</w:t>
      </w:r>
      <w:r w:rsidR="006F287B">
        <w:rPr>
          <w:rFonts w:ascii="David" w:hAnsi="David" w:cs="David" w:hint="cs"/>
          <w:rtl/>
        </w:rPr>
        <w:t xml:space="preserve"> </w:t>
      </w:r>
      <w:r w:rsidR="0020537A">
        <w:rPr>
          <w:rFonts w:ascii="David" w:hAnsi="David" w:cs="David" w:hint="cs"/>
          <w:rtl/>
        </w:rPr>
        <w:t>לפיה</w:t>
      </w:r>
      <w:r w:rsidR="006F287B">
        <w:rPr>
          <w:rFonts w:ascii="David" w:hAnsi="David" w:cs="David" w:hint="cs"/>
          <w:rtl/>
        </w:rPr>
        <w:t xml:space="preserve"> הנאשם פחד מהמנוח</w:t>
      </w:r>
      <w:r w:rsidR="00A41A4E">
        <w:rPr>
          <w:rFonts w:ascii="David" w:hAnsi="David" w:cs="David" w:hint="cs"/>
          <w:rtl/>
        </w:rPr>
        <w:t>. בהתאם, נדחו טענותיו העובדתיות שאינן עמדו בקנה אח</w:t>
      </w:r>
      <w:r w:rsidR="0002088F">
        <w:rPr>
          <w:rFonts w:ascii="David" w:hAnsi="David" w:cs="David" w:hint="cs"/>
          <w:rtl/>
        </w:rPr>
        <w:t>ד</w:t>
      </w:r>
      <w:r w:rsidR="00A41A4E">
        <w:rPr>
          <w:rFonts w:ascii="David" w:hAnsi="David" w:cs="David" w:hint="cs"/>
          <w:rtl/>
        </w:rPr>
        <w:t xml:space="preserve"> עם הראיות, </w:t>
      </w:r>
      <w:r w:rsidR="00CA223E">
        <w:rPr>
          <w:rFonts w:ascii="David" w:hAnsi="David" w:cs="David" w:hint="cs"/>
          <w:rtl/>
        </w:rPr>
        <w:t xml:space="preserve">ובה בעת </w:t>
      </w:r>
      <w:r w:rsidR="00EE53C6">
        <w:rPr>
          <w:rFonts w:ascii="David" w:hAnsi="David" w:cs="David" w:hint="cs"/>
          <w:rtl/>
        </w:rPr>
        <w:t xml:space="preserve">ניתן </w:t>
      </w:r>
      <w:r w:rsidR="00986190">
        <w:rPr>
          <w:rFonts w:ascii="David" w:hAnsi="David" w:cs="David" w:hint="cs"/>
          <w:rtl/>
        </w:rPr>
        <w:t>משקל ל</w:t>
      </w:r>
      <w:r w:rsidR="00A17CF6">
        <w:rPr>
          <w:rFonts w:ascii="David" w:hAnsi="David" w:cs="David" w:hint="cs"/>
          <w:rtl/>
        </w:rPr>
        <w:t>פחד מפני המנוח</w:t>
      </w:r>
      <w:r w:rsidR="005166D4">
        <w:rPr>
          <w:rFonts w:ascii="David" w:hAnsi="David" w:cs="David" w:hint="cs"/>
          <w:rtl/>
        </w:rPr>
        <w:t>.</w:t>
      </w:r>
      <w:r w:rsidR="0055186F">
        <w:rPr>
          <w:rFonts w:ascii="David" w:hAnsi="David" w:cs="David" w:hint="cs"/>
          <w:rtl/>
        </w:rPr>
        <w:t xml:space="preserve"> </w:t>
      </w:r>
      <w:r w:rsidR="00ED5D42">
        <w:rPr>
          <w:rFonts w:ascii="David" w:hAnsi="David" w:cs="David" w:hint="cs"/>
          <w:rtl/>
        </w:rPr>
        <w:t xml:space="preserve">זהירות דומה ננקטה </w:t>
      </w:r>
      <w:r w:rsidR="00FC51A6">
        <w:rPr>
          <w:rFonts w:ascii="David" w:hAnsi="David" w:cs="David" w:hint="cs"/>
          <w:rtl/>
        </w:rPr>
        <w:t xml:space="preserve">ביחס לריבוי העדים, שכן </w:t>
      </w:r>
      <w:r w:rsidR="00CF72A4">
        <w:rPr>
          <w:rFonts w:ascii="David" w:hAnsi="David" w:cs="David" w:hint="cs"/>
          <w:rtl/>
        </w:rPr>
        <w:t>חלקם</w:t>
      </w:r>
      <w:r w:rsidR="00133C91">
        <w:rPr>
          <w:rFonts w:ascii="David" w:hAnsi="David" w:cs="David" w:hint="cs"/>
          <w:rtl/>
        </w:rPr>
        <w:t xml:space="preserve"> בעלי</w:t>
      </w:r>
      <w:r w:rsidR="00FC51A6">
        <w:rPr>
          <w:rFonts w:ascii="David" w:hAnsi="David" w:cs="David" w:hint="cs"/>
          <w:rtl/>
        </w:rPr>
        <w:t xml:space="preserve"> אינטרס</w:t>
      </w:r>
      <w:r w:rsidR="00133C91">
        <w:rPr>
          <w:rFonts w:ascii="David" w:hAnsi="David" w:cs="David" w:hint="cs"/>
          <w:rtl/>
        </w:rPr>
        <w:t>ים</w:t>
      </w:r>
      <w:r w:rsidR="00FC51A6">
        <w:rPr>
          <w:rFonts w:ascii="David" w:hAnsi="David" w:cs="David" w:hint="cs"/>
          <w:rtl/>
        </w:rPr>
        <w:t xml:space="preserve"> אישי</w:t>
      </w:r>
      <w:r w:rsidR="00133C91">
        <w:rPr>
          <w:rFonts w:ascii="David" w:hAnsi="David" w:cs="David" w:hint="cs"/>
          <w:rtl/>
        </w:rPr>
        <w:t>ים</w:t>
      </w:r>
      <w:r w:rsidR="00FC51A6">
        <w:rPr>
          <w:rFonts w:ascii="David" w:hAnsi="David" w:cs="David" w:hint="cs"/>
          <w:rtl/>
        </w:rPr>
        <w:t>. בהתאם, עדותה של תמר נשקלה על רקע קרבתה לשני הצדדים</w:t>
      </w:r>
      <w:r w:rsidR="0097736E">
        <w:rPr>
          <w:rFonts w:ascii="David" w:hAnsi="David" w:cs="David" w:hint="cs"/>
          <w:rtl/>
        </w:rPr>
        <w:t xml:space="preserve">, ואילו עדויות השוטרים ונפגעי המנוח שימשו כבסיס </w:t>
      </w:r>
      <w:r w:rsidR="00BA4807">
        <w:rPr>
          <w:rFonts w:ascii="David" w:hAnsi="David" w:cs="David" w:hint="cs"/>
          <w:rtl/>
        </w:rPr>
        <w:t>ל</w:t>
      </w:r>
      <w:r w:rsidR="0097736E">
        <w:rPr>
          <w:rFonts w:ascii="David" w:hAnsi="David" w:cs="David" w:hint="cs"/>
          <w:rtl/>
        </w:rPr>
        <w:t xml:space="preserve">אופיו האלים של המנוח. </w:t>
      </w:r>
    </w:p>
    <w:p w14:paraId="6B4C0876" w14:textId="448B8C9C" w:rsidR="004F5274" w:rsidRDefault="00B47B1B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משנקבעה התשתית העובדתית, מוקד הדיון</w:t>
      </w:r>
      <w:r w:rsidR="007046E4">
        <w:rPr>
          <w:rFonts w:ascii="David" w:hAnsi="David" w:cs="David" w:hint="cs"/>
          <w:rtl/>
        </w:rPr>
        <w:t xml:space="preserve"> נסוב</w:t>
      </w:r>
      <w:r w:rsidR="00811AF6">
        <w:rPr>
          <w:rFonts w:ascii="David" w:hAnsi="David" w:cs="David" w:hint="cs"/>
          <w:rtl/>
        </w:rPr>
        <w:t xml:space="preserve"> </w:t>
      </w:r>
      <w:r w:rsidR="008F103E">
        <w:rPr>
          <w:rFonts w:ascii="David" w:hAnsi="David" w:cs="David" w:hint="cs"/>
          <w:rtl/>
        </w:rPr>
        <w:t xml:space="preserve">ליסודותיה של </w:t>
      </w:r>
      <w:r w:rsidR="00FD77D1">
        <w:rPr>
          <w:rFonts w:ascii="David" w:hAnsi="David" w:cs="David" w:hint="cs"/>
          <w:rtl/>
        </w:rPr>
        <w:t>כוונה</w:t>
      </w:r>
      <w:r w:rsidR="008F103E">
        <w:rPr>
          <w:rFonts w:ascii="David" w:hAnsi="David" w:cs="David" w:hint="cs"/>
          <w:rtl/>
        </w:rPr>
        <w:t xml:space="preserve"> תחילה</w:t>
      </w:r>
      <w:r>
        <w:rPr>
          <w:rFonts w:ascii="David" w:hAnsi="David" w:cs="David" w:hint="cs"/>
          <w:rtl/>
        </w:rPr>
        <w:t xml:space="preserve">. </w:t>
      </w:r>
      <w:r w:rsidR="007D349C">
        <w:rPr>
          <w:rFonts w:ascii="David" w:hAnsi="David" w:cs="David" w:hint="cs"/>
          <w:rtl/>
        </w:rPr>
        <w:t xml:space="preserve">בבחינת הכוונה נעזרת הפסיקה בחזקה לפיה אדם מתכוון לתוצאותיו הטבעיות של מעשיו. </w:t>
      </w:r>
      <w:r w:rsidR="00FA338E">
        <w:rPr>
          <w:rFonts w:ascii="David" w:hAnsi="David" w:cs="David" w:hint="cs"/>
          <w:rtl/>
        </w:rPr>
        <w:t>חזקה זו ניתנת לסתירה</w:t>
      </w:r>
      <w:r w:rsidR="00B67670">
        <w:rPr>
          <w:rFonts w:ascii="David" w:hAnsi="David" w:cs="David" w:hint="cs"/>
          <w:rtl/>
        </w:rPr>
        <w:t>, ודי בהסבר המקנה ספק סביר</w:t>
      </w:r>
      <w:r w:rsidR="00CF50F4">
        <w:rPr>
          <w:rFonts w:ascii="David" w:hAnsi="David" w:cs="David" w:hint="cs"/>
          <w:rtl/>
        </w:rPr>
        <w:t xml:space="preserve"> בכדי למנוע את החלתה</w:t>
      </w:r>
      <w:r w:rsidR="00B67670">
        <w:rPr>
          <w:rFonts w:ascii="David" w:hAnsi="David" w:cs="David" w:hint="cs"/>
          <w:rtl/>
        </w:rPr>
        <w:t xml:space="preserve">. לצידה, פותחו מבחני עזר, </w:t>
      </w:r>
      <w:r w:rsidR="00180799">
        <w:rPr>
          <w:rFonts w:ascii="David" w:hAnsi="David" w:cs="David" w:hint="cs"/>
          <w:rtl/>
        </w:rPr>
        <w:t>כגון: סוג הנשק, מספר הפגיעות ומיקומן.</w:t>
      </w:r>
      <w:r w:rsidR="009F4418">
        <w:rPr>
          <w:rStyle w:val="af0"/>
          <w:rFonts w:ascii="David" w:hAnsi="David" w:cs="David"/>
          <w:rtl/>
        </w:rPr>
        <w:footnoteReference w:id="5"/>
      </w:r>
      <w:r w:rsidR="00180799">
        <w:rPr>
          <w:rFonts w:ascii="David" w:hAnsi="David" w:cs="David" w:hint="cs"/>
          <w:rtl/>
        </w:rPr>
        <w:t xml:space="preserve"> </w:t>
      </w:r>
    </w:p>
    <w:p w14:paraId="6CF7DE2F" w14:textId="24544235" w:rsidR="00FA6FB5" w:rsidRDefault="00490465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התנאי הראשון הוא ההחלטה להמית</w:t>
      </w:r>
      <w:r w:rsidR="00370586">
        <w:rPr>
          <w:rFonts w:ascii="David" w:hAnsi="David" w:cs="David" w:hint="cs"/>
          <w:rtl/>
        </w:rPr>
        <w:t>.</w:t>
      </w:r>
      <w:r w:rsidR="004258E4">
        <w:rPr>
          <w:rStyle w:val="af0"/>
          <w:rFonts w:ascii="David" w:hAnsi="David" w:cs="David"/>
          <w:rtl/>
        </w:rPr>
        <w:footnoteReference w:id="6"/>
      </w:r>
      <w:r w:rsidR="00F80A5E">
        <w:rPr>
          <w:rFonts w:ascii="David" w:hAnsi="David" w:cs="David" w:hint="cs"/>
          <w:rtl/>
        </w:rPr>
        <w:t xml:space="preserve"> </w:t>
      </w:r>
      <w:r w:rsidR="00AD0DA5">
        <w:rPr>
          <w:rFonts w:ascii="David" w:hAnsi="David" w:cs="David" w:hint="cs"/>
          <w:rtl/>
        </w:rPr>
        <w:t xml:space="preserve">לפי </w:t>
      </w:r>
      <w:r w:rsidR="00EC4833">
        <w:rPr>
          <w:rFonts w:ascii="David" w:hAnsi="David" w:cs="David" w:hint="cs"/>
          <w:rtl/>
        </w:rPr>
        <w:t>עדותה של תמר</w:t>
      </w:r>
      <w:r w:rsidR="00AD0DA5">
        <w:rPr>
          <w:rFonts w:ascii="David" w:hAnsi="David" w:cs="David" w:hint="cs"/>
          <w:rtl/>
        </w:rPr>
        <w:t>,</w:t>
      </w:r>
      <w:r w:rsidR="00EC4833">
        <w:rPr>
          <w:rFonts w:ascii="David" w:hAnsi="David" w:cs="David" w:hint="cs"/>
          <w:rtl/>
        </w:rPr>
        <w:t xml:space="preserve"> </w:t>
      </w:r>
      <w:r w:rsidR="0094368C">
        <w:rPr>
          <w:rFonts w:ascii="David" w:hAnsi="David" w:cs="David" w:hint="cs"/>
          <w:rtl/>
        </w:rPr>
        <w:t>בעת שהותו של המנוח במאסר</w:t>
      </w:r>
      <w:r w:rsidR="00E20CFC">
        <w:rPr>
          <w:rFonts w:ascii="David" w:hAnsi="David" w:cs="David" w:hint="cs"/>
          <w:rtl/>
        </w:rPr>
        <w:t xml:space="preserve"> וטרם שחרורו</w:t>
      </w:r>
      <w:r w:rsidR="0094368C">
        <w:rPr>
          <w:rFonts w:ascii="David" w:hAnsi="David" w:cs="David" w:hint="cs"/>
          <w:rtl/>
        </w:rPr>
        <w:t>, הנאשם</w:t>
      </w:r>
      <w:r w:rsidR="00C43A5D">
        <w:rPr>
          <w:rFonts w:ascii="David" w:hAnsi="David" w:cs="David" w:hint="cs"/>
          <w:rtl/>
        </w:rPr>
        <w:t xml:space="preserve"> ציין בפניה כי הוא</w:t>
      </w:r>
      <w:r w:rsidR="0094368C">
        <w:rPr>
          <w:rFonts w:ascii="David" w:hAnsi="David" w:cs="David" w:hint="cs"/>
          <w:rtl/>
        </w:rPr>
        <w:t xml:space="preserve"> </w:t>
      </w:r>
      <w:r w:rsidR="004521AD">
        <w:rPr>
          <w:rFonts w:ascii="David" w:hAnsi="David" w:cs="David" w:hint="cs"/>
          <w:rtl/>
        </w:rPr>
        <w:t>מ</w:t>
      </w:r>
      <w:r w:rsidR="00036A5A">
        <w:rPr>
          <w:rFonts w:ascii="David" w:hAnsi="David" w:cs="David" w:hint="cs"/>
          <w:rtl/>
        </w:rPr>
        <w:t xml:space="preserve">ייחל להרוג את המנוח. </w:t>
      </w:r>
      <w:r w:rsidR="00C43A5D">
        <w:rPr>
          <w:rFonts w:ascii="David" w:hAnsi="David" w:cs="David" w:hint="cs"/>
          <w:rtl/>
        </w:rPr>
        <w:t xml:space="preserve">אמירה זו עשויה לשקף עוינות </w:t>
      </w:r>
      <w:r w:rsidR="00356FA2">
        <w:rPr>
          <w:rFonts w:ascii="David" w:hAnsi="David" w:cs="David" w:hint="cs"/>
          <w:rtl/>
        </w:rPr>
        <w:t xml:space="preserve">כלפי המנוח, אולם </w:t>
      </w:r>
      <w:r w:rsidR="00DE0F0F">
        <w:rPr>
          <w:rFonts w:ascii="David" w:hAnsi="David" w:cs="David" w:hint="cs"/>
          <w:rtl/>
        </w:rPr>
        <w:t>אין בה כשלעצמה</w:t>
      </w:r>
      <w:r w:rsidR="00356FA2">
        <w:rPr>
          <w:rFonts w:ascii="David" w:hAnsi="David" w:cs="David" w:hint="cs"/>
          <w:rtl/>
        </w:rPr>
        <w:t xml:space="preserve"> כדי להוכיח מעל </w:t>
      </w:r>
      <w:r w:rsidR="00DE0F0F">
        <w:rPr>
          <w:rFonts w:ascii="David" w:hAnsi="David" w:cs="David" w:hint="cs"/>
          <w:rtl/>
        </w:rPr>
        <w:t>ל</w:t>
      </w:r>
      <w:r w:rsidR="00356FA2">
        <w:rPr>
          <w:rFonts w:ascii="David" w:hAnsi="David" w:cs="David" w:hint="cs"/>
          <w:rtl/>
        </w:rPr>
        <w:t xml:space="preserve">ספק סביר כי </w:t>
      </w:r>
      <w:r w:rsidR="000910BD">
        <w:rPr>
          <w:rFonts w:ascii="David" w:hAnsi="David" w:cs="David" w:hint="cs"/>
          <w:rtl/>
        </w:rPr>
        <w:t xml:space="preserve">היא </w:t>
      </w:r>
      <w:r w:rsidR="00D324A2">
        <w:rPr>
          <w:rFonts w:ascii="David" w:hAnsi="David" w:cs="David" w:hint="cs"/>
          <w:rtl/>
        </w:rPr>
        <w:t>ש</w:t>
      </w:r>
      <w:r w:rsidR="0090181E">
        <w:rPr>
          <w:rFonts w:ascii="David" w:hAnsi="David" w:cs="David" w:hint="cs"/>
          <w:rtl/>
        </w:rPr>
        <w:t xml:space="preserve">הובילה לגיבוש ההחלטה. לכן, יש לבחון אמירה זו לצד </w:t>
      </w:r>
      <w:r w:rsidR="0090181E">
        <w:rPr>
          <w:rFonts w:ascii="David" w:hAnsi="David" w:cs="David" w:hint="cs"/>
          <w:rtl/>
        </w:rPr>
        <w:lastRenderedPageBreak/>
        <w:t>יתר הנסיבות</w:t>
      </w:r>
      <w:r w:rsidR="002903BC">
        <w:rPr>
          <w:rFonts w:ascii="David" w:hAnsi="David" w:cs="David" w:hint="cs"/>
          <w:rtl/>
        </w:rPr>
        <w:t xml:space="preserve">, דהיינו, </w:t>
      </w:r>
      <w:r w:rsidR="00DE1B70">
        <w:rPr>
          <w:rFonts w:ascii="David" w:hAnsi="David" w:cs="David" w:hint="cs"/>
          <w:rtl/>
        </w:rPr>
        <w:t>רצף הפעולות שקדמו לירי</w:t>
      </w:r>
      <w:r w:rsidR="006351A2">
        <w:rPr>
          <w:rFonts w:ascii="David" w:hAnsi="David" w:cs="David" w:hint="cs"/>
          <w:rtl/>
        </w:rPr>
        <w:t xml:space="preserve"> ובמהלכו</w:t>
      </w:r>
      <w:r w:rsidR="00DE1B70">
        <w:rPr>
          <w:rFonts w:ascii="David" w:hAnsi="David" w:cs="David" w:hint="cs"/>
          <w:rtl/>
        </w:rPr>
        <w:t>.</w:t>
      </w:r>
      <w:r w:rsidR="00DE1B70">
        <w:rPr>
          <w:rStyle w:val="af0"/>
          <w:rFonts w:ascii="David" w:hAnsi="David" w:cs="David"/>
          <w:rtl/>
        </w:rPr>
        <w:footnoteReference w:id="7"/>
      </w:r>
      <w:r w:rsidR="00DE1B70">
        <w:rPr>
          <w:rFonts w:ascii="David" w:hAnsi="David" w:cs="David" w:hint="cs"/>
          <w:rtl/>
        </w:rPr>
        <w:t xml:space="preserve"> ב</w:t>
      </w:r>
      <w:r w:rsidR="00D024F5">
        <w:rPr>
          <w:rFonts w:ascii="David" w:hAnsi="David" w:cs="David" w:hint="cs"/>
          <w:rtl/>
        </w:rPr>
        <w:t xml:space="preserve">מקרה הנוכחי, </w:t>
      </w:r>
      <w:r w:rsidR="00740897">
        <w:rPr>
          <w:rFonts w:ascii="David" w:hAnsi="David" w:cs="David" w:hint="cs"/>
          <w:rtl/>
        </w:rPr>
        <w:t xml:space="preserve">הנאשם </w:t>
      </w:r>
      <w:r w:rsidR="000A5181">
        <w:rPr>
          <w:rFonts w:ascii="David" w:hAnsi="David" w:cs="David" w:hint="cs"/>
          <w:rtl/>
        </w:rPr>
        <w:t xml:space="preserve">אמנם </w:t>
      </w:r>
      <w:r w:rsidR="00740897">
        <w:rPr>
          <w:rFonts w:ascii="David" w:hAnsi="David" w:cs="David" w:hint="cs"/>
          <w:rtl/>
        </w:rPr>
        <w:t>הצטייד בנשק מתוך פחד</w:t>
      </w:r>
      <w:r w:rsidR="008475D8">
        <w:rPr>
          <w:rFonts w:ascii="David" w:hAnsi="David" w:cs="David" w:hint="cs"/>
          <w:rtl/>
        </w:rPr>
        <w:t xml:space="preserve">, אך </w:t>
      </w:r>
      <w:r w:rsidR="000A5181">
        <w:rPr>
          <w:rFonts w:ascii="David" w:hAnsi="David" w:cs="David" w:hint="cs"/>
          <w:rtl/>
        </w:rPr>
        <w:t xml:space="preserve">בליל האירוע </w:t>
      </w:r>
      <w:r w:rsidR="008475D8">
        <w:rPr>
          <w:rFonts w:ascii="David" w:hAnsi="David" w:cs="David" w:hint="cs"/>
          <w:rtl/>
        </w:rPr>
        <w:t>דר</w:t>
      </w:r>
      <w:r w:rsidR="000A5181">
        <w:rPr>
          <w:rFonts w:ascii="David" w:hAnsi="David" w:cs="David" w:hint="cs"/>
          <w:rtl/>
        </w:rPr>
        <w:t xml:space="preserve">ך את </w:t>
      </w:r>
      <w:r w:rsidR="008475D8">
        <w:rPr>
          <w:rFonts w:ascii="David" w:hAnsi="David" w:cs="David" w:hint="cs"/>
          <w:rtl/>
        </w:rPr>
        <w:t xml:space="preserve">הנשק </w:t>
      </w:r>
      <w:r w:rsidR="000A5181">
        <w:rPr>
          <w:rFonts w:ascii="David" w:hAnsi="David" w:cs="David" w:hint="cs"/>
          <w:rtl/>
        </w:rPr>
        <w:t>והתקרב</w:t>
      </w:r>
      <w:r w:rsidR="008475D8">
        <w:rPr>
          <w:rFonts w:ascii="David" w:hAnsi="David" w:cs="David" w:hint="cs"/>
          <w:rtl/>
        </w:rPr>
        <w:t xml:space="preserve"> למנוח</w:t>
      </w:r>
      <w:r w:rsidR="009B367D">
        <w:rPr>
          <w:rFonts w:ascii="David" w:hAnsi="David" w:cs="David" w:hint="cs"/>
          <w:rtl/>
        </w:rPr>
        <w:t xml:space="preserve"> מאחורי גבו</w:t>
      </w:r>
      <w:r w:rsidR="00780F97">
        <w:rPr>
          <w:rFonts w:ascii="David" w:hAnsi="David" w:cs="David" w:hint="cs"/>
          <w:rtl/>
        </w:rPr>
        <w:t>.</w:t>
      </w:r>
      <w:r w:rsidR="009B367D">
        <w:rPr>
          <w:rFonts w:ascii="David" w:hAnsi="David" w:cs="David" w:hint="cs"/>
          <w:rtl/>
        </w:rPr>
        <w:t xml:space="preserve"> </w:t>
      </w:r>
      <w:r w:rsidR="000A5181">
        <w:rPr>
          <w:rFonts w:ascii="David" w:hAnsi="David" w:cs="David" w:hint="cs"/>
          <w:rtl/>
        </w:rPr>
        <w:t xml:space="preserve">נסיבות אלו עשויות לשקף </w:t>
      </w:r>
      <w:r w:rsidR="009804AF">
        <w:rPr>
          <w:rFonts w:ascii="David" w:hAnsi="David" w:cs="David" w:hint="cs"/>
          <w:rtl/>
        </w:rPr>
        <w:t>מצב דברים בו ה</w:t>
      </w:r>
      <w:r w:rsidR="009801EF">
        <w:rPr>
          <w:rFonts w:ascii="David" w:hAnsi="David" w:cs="David" w:hint="cs"/>
          <w:rtl/>
        </w:rPr>
        <w:t xml:space="preserve">פחד </w:t>
      </w:r>
      <w:r w:rsidR="009804AF">
        <w:rPr>
          <w:rFonts w:ascii="David" w:hAnsi="David" w:cs="David" w:hint="cs"/>
          <w:rtl/>
        </w:rPr>
        <w:t>ה</w:t>
      </w:r>
      <w:r w:rsidR="009801EF">
        <w:rPr>
          <w:rFonts w:ascii="David" w:hAnsi="David" w:cs="David" w:hint="cs"/>
          <w:rtl/>
        </w:rPr>
        <w:t xml:space="preserve">מתמשך מהמנוח הוסב להחלטה קונקרטית </w:t>
      </w:r>
      <w:r w:rsidR="00B62F84">
        <w:rPr>
          <w:rFonts w:ascii="David" w:hAnsi="David" w:cs="David" w:hint="cs"/>
          <w:rtl/>
        </w:rPr>
        <w:t>להמיתו. עם זאת, עצם נשיאת ה</w:t>
      </w:r>
      <w:r w:rsidR="004401B6">
        <w:rPr>
          <w:rFonts w:ascii="David" w:hAnsi="David" w:cs="David" w:hint="cs"/>
          <w:rtl/>
        </w:rPr>
        <w:t>אקדח בהזדמנויות קודמות, על רקע</w:t>
      </w:r>
      <w:r w:rsidR="00304435">
        <w:rPr>
          <w:rFonts w:ascii="David" w:hAnsi="David" w:cs="David" w:hint="cs"/>
          <w:rtl/>
        </w:rPr>
        <w:t xml:space="preserve"> חששו מן המנוח</w:t>
      </w:r>
      <w:r w:rsidR="004401B6">
        <w:rPr>
          <w:rFonts w:ascii="David" w:hAnsi="David" w:cs="David" w:hint="cs"/>
          <w:rtl/>
        </w:rPr>
        <w:t>, מחייבת</w:t>
      </w:r>
      <w:r w:rsidR="00202784">
        <w:rPr>
          <w:rFonts w:ascii="David" w:hAnsi="David" w:cs="David" w:hint="cs"/>
          <w:rtl/>
        </w:rPr>
        <w:t xml:space="preserve"> מידת זהירות מהסקת המסקנה כי</w:t>
      </w:r>
      <w:r w:rsidR="004401B6">
        <w:rPr>
          <w:rFonts w:ascii="David" w:hAnsi="David" w:cs="David" w:hint="cs"/>
          <w:rtl/>
        </w:rPr>
        <w:t xml:space="preserve"> עצם נשיאת הנשק מעידה כשלעצמה </w:t>
      </w:r>
      <w:r w:rsidR="001A2982">
        <w:rPr>
          <w:rFonts w:ascii="David" w:hAnsi="David" w:cs="David" w:hint="cs"/>
          <w:rtl/>
        </w:rPr>
        <w:t>על</w:t>
      </w:r>
      <w:r w:rsidR="004327D1">
        <w:rPr>
          <w:rFonts w:ascii="David" w:hAnsi="David" w:cs="David" w:hint="cs"/>
          <w:rtl/>
        </w:rPr>
        <w:t xml:space="preserve"> </w:t>
      </w:r>
      <w:r w:rsidR="005F5FB9">
        <w:rPr>
          <w:rFonts w:ascii="David" w:hAnsi="David" w:cs="David" w:hint="cs"/>
          <w:rtl/>
        </w:rPr>
        <w:t>ה</w:t>
      </w:r>
      <w:r w:rsidR="001A2982">
        <w:rPr>
          <w:rFonts w:ascii="David" w:hAnsi="David" w:cs="David" w:hint="cs"/>
          <w:rtl/>
        </w:rPr>
        <w:t>ה</w:t>
      </w:r>
      <w:r w:rsidR="005F5FB9">
        <w:rPr>
          <w:rFonts w:ascii="David" w:hAnsi="David" w:cs="David" w:hint="cs"/>
          <w:rtl/>
        </w:rPr>
        <w:t>חלטה להמית.</w:t>
      </w:r>
      <w:r w:rsidR="00780F97">
        <w:rPr>
          <w:rFonts w:ascii="David" w:hAnsi="David" w:cs="David" w:hint="cs"/>
          <w:rtl/>
        </w:rPr>
        <w:t xml:space="preserve"> </w:t>
      </w:r>
      <w:r w:rsidR="006351A2">
        <w:rPr>
          <w:rFonts w:ascii="David" w:hAnsi="David" w:cs="David" w:hint="cs"/>
          <w:rtl/>
        </w:rPr>
        <w:t xml:space="preserve">כמו כן, </w:t>
      </w:r>
      <w:r w:rsidR="005F5FB9">
        <w:rPr>
          <w:rFonts w:ascii="David" w:hAnsi="David" w:cs="David" w:hint="cs"/>
          <w:rtl/>
        </w:rPr>
        <w:t>בח</w:t>
      </w:r>
      <w:r w:rsidR="00802E30">
        <w:rPr>
          <w:rFonts w:ascii="David" w:hAnsi="David" w:cs="David" w:hint="cs"/>
          <w:rtl/>
        </w:rPr>
        <w:t xml:space="preserve">ינת </w:t>
      </w:r>
      <w:r w:rsidR="005F5FB9">
        <w:rPr>
          <w:rFonts w:ascii="David" w:hAnsi="David" w:cs="David" w:hint="cs"/>
          <w:rtl/>
        </w:rPr>
        <w:t>מספר היריות ומיקומן</w:t>
      </w:r>
      <w:r w:rsidR="007651A4">
        <w:rPr>
          <w:rFonts w:ascii="David" w:hAnsi="David" w:cs="David" w:hint="cs"/>
          <w:rtl/>
        </w:rPr>
        <w:t xml:space="preserve"> עשוי</w:t>
      </w:r>
      <w:r w:rsidR="00802E30">
        <w:rPr>
          <w:rFonts w:ascii="David" w:hAnsi="David" w:cs="David" w:hint="cs"/>
          <w:rtl/>
        </w:rPr>
        <w:t>ה</w:t>
      </w:r>
      <w:r w:rsidR="007651A4">
        <w:rPr>
          <w:rFonts w:ascii="David" w:hAnsi="David" w:cs="David" w:hint="cs"/>
          <w:rtl/>
        </w:rPr>
        <w:t xml:space="preserve"> להמחיש את אופן הפעלת הנשק וכוונת </w:t>
      </w:r>
      <w:r w:rsidR="00E8280D">
        <w:rPr>
          <w:rFonts w:ascii="David" w:hAnsi="David" w:cs="David" w:hint="cs"/>
          <w:rtl/>
        </w:rPr>
        <w:t>הנאשם</w:t>
      </w:r>
      <w:r w:rsidR="007651A4">
        <w:rPr>
          <w:rFonts w:ascii="David" w:hAnsi="David" w:cs="David" w:hint="cs"/>
          <w:rtl/>
        </w:rPr>
        <w:t>.</w:t>
      </w:r>
      <w:r w:rsidR="00B26AE2">
        <w:rPr>
          <w:rStyle w:val="af0"/>
          <w:rFonts w:ascii="David" w:hAnsi="David" w:cs="David"/>
          <w:rtl/>
        </w:rPr>
        <w:footnoteReference w:id="8"/>
      </w:r>
      <w:r w:rsidR="007651A4">
        <w:rPr>
          <w:rFonts w:ascii="David" w:hAnsi="David" w:cs="David" w:hint="cs"/>
          <w:rtl/>
        </w:rPr>
        <w:t xml:space="preserve"> </w:t>
      </w:r>
      <w:r w:rsidR="00C534EA">
        <w:rPr>
          <w:rFonts w:ascii="David" w:hAnsi="David" w:cs="David" w:hint="cs"/>
          <w:rtl/>
        </w:rPr>
        <w:t xml:space="preserve">בזירה נמצאו ארבעה תרמילים </w:t>
      </w:r>
      <w:r w:rsidR="004F7426">
        <w:rPr>
          <w:rFonts w:ascii="David" w:hAnsi="David" w:cs="David" w:hint="cs"/>
          <w:rtl/>
        </w:rPr>
        <w:t>ו</w:t>
      </w:r>
      <w:r w:rsidR="00C534EA">
        <w:rPr>
          <w:rFonts w:ascii="David" w:hAnsi="David" w:cs="David" w:hint="cs"/>
          <w:rtl/>
        </w:rPr>
        <w:t xml:space="preserve">בגופת המנוח נמצאו חמישה פצעי כניסה. </w:t>
      </w:r>
      <w:r w:rsidR="00FA6FB5">
        <w:rPr>
          <w:rFonts w:ascii="David" w:hAnsi="David" w:cs="David" w:hint="cs"/>
          <w:rtl/>
        </w:rPr>
        <w:t xml:space="preserve">לפי עדות מומחה, באקדח </w:t>
      </w:r>
      <w:r w:rsidR="00566A35">
        <w:rPr>
          <w:rFonts w:ascii="David" w:hAnsi="David" w:cs="David" w:hint="cs"/>
          <w:rtl/>
        </w:rPr>
        <w:t>חצי-אוטומטי כל ירייה מחייבת לחיצה נפרדת על ההדק.</w:t>
      </w:r>
      <w:r w:rsidR="0079028A">
        <w:rPr>
          <w:rFonts w:ascii="David" w:hAnsi="David" w:cs="David" w:hint="cs"/>
          <w:rtl/>
        </w:rPr>
        <w:t xml:space="preserve"> </w:t>
      </w:r>
      <w:r w:rsidR="00FA6FB5">
        <w:rPr>
          <w:rFonts w:ascii="David" w:hAnsi="David" w:cs="David" w:hint="cs"/>
          <w:rtl/>
        </w:rPr>
        <w:t xml:space="preserve">כפועל יוצא, נשללת </w:t>
      </w:r>
      <w:r w:rsidR="00A90443">
        <w:rPr>
          <w:rFonts w:ascii="David" w:hAnsi="David" w:cs="David" w:hint="cs"/>
          <w:rtl/>
        </w:rPr>
        <w:t>האפשרות כי כ</w:t>
      </w:r>
      <w:r w:rsidR="00802E30">
        <w:rPr>
          <w:rFonts w:ascii="David" w:hAnsi="David" w:cs="David" w:hint="cs"/>
          <w:rtl/>
        </w:rPr>
        <w:t>ל</w:t>
      </w:r>
      <w:r w:rsidR="00A90443">
        <w:rPr>
          <w:rFonts w:ascii="David" w:hAnsi="David" w:cs="David" w:hint="cs"/>
          <w:rtl/>
        </w:rPr>
        <w:t xml:space="preserve"> הפגיעות נגרמו מפליטת כדור מקרית</w:t>
      </w:r>
      <w:r w:rsidR="00D0770F">
        <w:rPr>
          <w:rFonts w:ascii="David" w:hAnsi="David" w:cs="David" w:hint="cs"/>
          <w:rtl/>
        </w:rPr>
        <w:t>.</w:t>
      </w:r>
      <w:r w:rsidR="00A90443">
        <w:rPr>
          <w:rFonts w:ascii="David" w:hAnsi="David" w:cs="David" w:hint="cs"/>
          <w:rtl/>
        </w:rPr>
        <w:t xml:space="preserve"> שכן, הפעלת הנשק הייתה כרוכה ברצף פעולות רצוניות.</w:t>
      </w:r>
      <w:r w:rsidR="006557D1">
        <w:rPr>
          <w:rFonts w:ascii="David" w:hAnsi="David" w:cs="David" w:hint="cs"/>
          <w:rtl/>
        </w:rPr>
        <w:t xml:space="preserve"> עם זאת</w:t>
      </w:r>
      <w:r w:rsidR="00E255E8">
        <w:rPr>
          <w:rFonts w:ascii="David" w:hAnsi="David" w:cs="David" w:hint="cs"/>
          <w:rtl/>
        </w:rPr>
        <w:t xml:space="preserve">, </w:t>
      </w:r>
      <w:r w:rsidR="00D02420">
        <w:rPr>
          <w:rFonts w:ascii="David" w:hAnsi="David" w:cs="David" w:hint="cs"/>
          <w:rtl/>
        </w:rPr>
        <w:t xml:space="preserve">מספר הלחיצות על ההדק מחזק את המסקנה בדבר מודעות ושליטה בפעולת הירי, אך שאלת תכליתה </w:t>
      </w:r>
      <w:r w:rsidR="00002BBA">
        <w:rPr>
          <w:rFonts w:ascii="David" w:hAnsi="David" w:cs="David" w:hint="cs"/>
          <w:rtl/>
        </w:rPr>
        <w:t>נותרת פתוחה</w:t>
      </w:r>
      <w:r w:rsidR="007D6228">
        <w:rPr>
          <w:rFonts w:ascii="David" w:hAnsi="David" w:cs="David" w:hint="cs"/>
          <w:rtl/>
        </w:rPr>
        <w:t xml:space="preserve">. </w:t>
      </w:r>
      <w:r w:rsidR="00392AFD">
        <w:rPr>
          <w:rFonts w:ascii="David" w:hAnsi="David" w:cs="David" w:hint="cs"/>
          <w:rtl/>
        </w:rPr>
        <w:t xml:space="preserve">לכן, יש לבחון את מיקום פגיעות </w:t>
      </w:r>
      <w:r w:rsidR="003C1054">
        <w:rPr>
          <w:rFonts w:ascii="David" w:hAnsi="David" w:cs="David" w:hint="cs"/>
          <w:rtl/>
        </w:rPr>
        <w:t>הירי.</w:t>
      </w:r>
      <w:r w:rsidR="00B26AE2">
        <w:rPr>
          <w:rStyle w:val="af0"/>
          <w:rFonts w:ascii="David" w:hAnsi="David" w:cs="David"/>
          <w:rtl/>
        </w:rPr>
        <w:footnoteReference w:id="9"/>
      </w:r>
      <w:r w:rsidR="003C1054">
        <w:rPr>
          <w:rFonts w:ascii="David" w:hAnsi="David" w:cs="David" w:hint="cs"/>
          <w:rtl/>
        </w:rPr>
        <w:t xml:space="preserve"> שני קליעים פגעו בגבו של המנוח, ואילו שלושה פגעו בגפיו התחתונות. </w:t>
      </w:r>
      <w:r w:rsidR="003D5453">
        <w:rPr>
          <w:rFonts w:ascii="David" w:hAnsi="David" w:cs="David" w:hint="cs"/>
          <w:rtl/>
        </w:rPr>
        <w:t xml:space="preserve">הפגיעות בגפיים מתיישבות עם גרסתו של הנאשם, </w:t>
      </w:r>
      <w:r w:rsidR="00D14BD3">
        <w:rPr>
          <w:rFonts w:ascii="David" w:hAnsi="David" w:cs="David" w:hint="cs"/>
          <w:rtl/>
        </w:rPr>
        <w:t xml:space="preserve">לפיה כיוון את הנשק לרגליו. </w:t>
      </w:r>
      <w:r w:rsidR="008807CD">
        <w:rPr>
          <w:rFonts w:ascii="David" w:hAnsi="David" w:cs="David" w:hint="cs"/>
          <w:rtl/>
        </w:rPr>
        <w:t xml:space="preserve">פגיעות אלו </w:t>
      </w:r>
      <w:r w:rsidR="00180E5C">
        <w:rPr>
          <w:rFonts w:ascii="David" w:hAnsi="David" w:cs="David" w:hint="cs"/>
          <w:rtl/>
        </w:rPr>
        <w:t xml:space="preserve">עשויות להחליש את המסקנה כי </w:t>
      </w:r>
      <w:r w:rsidR="00E21F13">
        <w:rPr>
          <w:rFonts w:ascii="David" w:hAnsi="David" w:cs="David" w:hint="cs"/>
          <w:rtl/>
        </w:rPr>
        <w:t>הירי נועד להמית את המנוח.</w:t>
      </w:r>
      <w:r w:rsidR="008807CD">
        <w:rPr>
          <w:rFonts w:ascii="David" w:hAnsi="David" w:cs="David" w:hint="cs"/>
          <w:rtl/>
        </w:rPr>
        <w:t xml:space="preserve"> </w:t>
      </w:r>
      <w:r w:rsidR="00003B15">
        <w:rPr>
          <w:rFonts w:ascii="David" w:hAnsi="David" w:cs="David" w:hint="cs"/>
          <w:rtl/>
        </w:rPr>
        <w:t xml:space="preserve">מנגד, הפגיעות בגב עשויות לתמוך במסקנה כי </w:t>
      </w:r>
      <w:r w:rsidR="00FC6E8B">
        <w:rPr>
          <w:rFonts w:ascii="David" w:hAnsi="David" w:cs="David" w:hint="cs"/>
          <w:rtl/>
        </w:rPr>
        <w:t xml:space="preserve">הירי נעשה </w:t>
      </w:r>
      <w:r w:rsidR="009F1B38">
        <w:rPr>
          <w:rFonts w:ascii="David" w:hAnsi="David" w:cs="David" w:hint="cs"/>
          <w:rtl/>
        </w:rPr>
        <w:t>במטרה להרוג</w:t>
      </w:r>
      <w:r w:rsidR="00FC6E8B">
        <w:rPr>
          <w:rFonts w:ascii="David" w:hAnsi="David" w:cs="David" w:hint="cs"/>
          <w:rtl/>
        </w:rPr>
        <w:t xml:space="preserve">, ובפרט כאשר הירי בוצע </w:t>
      </w:r>
      <w:r w:rsidR="003450FF">
        <w:rPr>
          <w:rFonts w:ascii="David" w:hAnsi="David" w:cs="David" w:hint="cs"/>
          <w:rtl/>
        </w:rPr>
        <w:t xml:space="preserve">מטווח קצר של כמטר עד מטר וחצי. משמעותם של ממצאים </w:t>
      </w:r>
      <w:r w:rsidR="00CE3E4B">
        <w:rPr>
          <w:rFonts w:ascii="David" w:hAnsi="David" w:cs="David" w:hint="cs"/>
          <w:rtl/>
        </w:rPr>
        <w:t>אלו</w:t>
      </w:r>
      <w:r w:rsidR="003450FF">
        <w:rPr>
          <w:rFonts w:ascii="David" w:hAnsi="David" w:cs="David" w:hint="cs"/>
          <w:rtl/>
        </w:rPr>
        <w:t xml:space="preserve"> אינה חד</w:t>
      </w:r>
      <w:r w:rsidR="00CE3E4B">
        <w:rPr>
          <w:rFonts w:ascii="David" w:hAnsi="David" w:cs="David" w:hint="cs"/>
          <w:rtl/>
        </w:rPr>
        <w:t>-</w:t>
      </w:r>
      <w:r w:rsidR="003450FF">
        <w:rPr>
          <w:rFonts w:ascii="David" w:hAnsi="David" w:cs="David" w:hint="cs"/>
          <w:rtl/>
        </w:rPr>
        <w:t xml:space="preserve">משמעית, </w:t>
      </w:r>
      <w:r w:rsidR="00E82F4C">
        <w:rPr>
          <w:rFonts w:ascii="David" w:hAnsi="David" w:cs="David" w:hint="cs"/>
          <w:rtl/>
        </w:rPr>
        <w:t>משום שלא ניתן היה לקבוע את סדר הפגיעות</w:t>
      </w:r>
      <w:r w:rsidR="00A94768">
        <w:rPr>
          <w:rFonts w:ascii="David" w:hAnsi="David" w:cs="David" w:hint="cs"/>
          <w:rtl/>
        </w:rPr>
        <w:t xml:space="preserve">. לכן, מיקום הפגיעות לבדו </w:t>
      </w:r>
      <w:r w:rsidR="00BA29EC">
        <w:rPr>
          <w:rFonts w:ascii="David" w:hAnsi="David" w:cs="David" w:hint="cs"/>
          <w:rtl/>
        </w:rPr>
        <w:t xml:space="preserve">מעורר קושי בטענה לכוונה אחידה. </w:t>
      </w:r>
      <w:r w:rsidR="00C03BD3">
        <w:rPr>
          <w:rFonts w:ascii="David" w:hAnsi="David" w:cs="David" w:hint="cs"/>
          <w:rtl/>
        </w:rPr>
        <w:t xml:space="preserve">נוכח האמור, נותרה במחלוקת טענת ההגנה לפיה כיוון הנאשם לרגלי </w:t>
      </w:r>
      <w:r w:rsidR="007C325B">
        <w:rPr>
          <w:rFonts w:ascii="David" w:hAnsi="David" w:cs="David" w:hint="cs"/>
          <w:rtl/>
        </w:rPr>
        <w:t xml:space="preserve">המנוח. לצורך בחינת </w:t>
      </w:r>
      <w:r w:rsidR="000916E0">
        <w:rPr>
          <w:rFonts w:ascii="David" w:hAnsi="David" w:cs="David" w:hint="cs"/>
          <w:rtl/>
        </w:rPr>
        <w:t>הטענה</w:t>
      </w:r>
      <w:r w:rsidR="007C325B">
        <w:rPr>
          <w:rFonts w:ascii="David" w:hAnsi="David" w:cs="David" w:hint="cs"/>
          <w:rtl/>
        </w:rPr>
        <w:t>, בית המשפט ערך ביקור בזירה</w:t>
      </w:r>
      <w:r w:rsidR="00B71C7B">
        <w:rPr>
          <w:rFonts w:ascii="David" w:hAnsi="David" w:cs="David" w:hint="cs"/>
          <w:rtl/>
        </w:rPr>
        <w:t xml:space="preserve"> וקבע</w:t>
      </w:r>
      <w:r w:rsidR="007C325B">
        <w:rPr>
          <w:rFonts w:ascii="David" w:hAnsi="David" w:cs="David" w:hint="cs"/>
          <w:rtl/>
        </w:rPr>
        <w:t xml:space="preserve"> כי הקרקע אינה משופעת</w:t>
      </w:r>
      <w:r w:rsidR="00E3450F">
        <w:rPr>
          <w:rFonts w:ascii="David" w:hAnsi="David" w:cs="David" w:hint="cs"/>
          <w:rtl/>
        </w:rPr>
        <w:t xml:space="preserve"> ולכן </w:t>
      </w:r>
      <w:r w:rsidR="005D48D2">
        <w:rPr>
          <w:rFonts w:ascii="David" w:hAnsi="David" w:cs="David" w:hint="cs"/>
          <w:rtl/>
        </w:rPr>
        <w:t>טענה זו אינה מתקבלת</w:t>
      </w:r>
      <w:r w:rsidR="00053A65">
        <w:rPr>
          <w:rFonts w:ascii="David" w:hAnsi="David" w:cs="David" w:hint="cs"/>
          <w:rtl/>
        </w:rPr>
        <w:t>. לגישתי, הביקור בזירה היה נחוץ, שכן בלעדיו ההכרעה הייתה נסמכת על תיאורים בלבד</w:t>
      </w:r>
      <w:r w:rsidR="000C019D">
        <w:rPr>
          <w:rFonts w:ascii="David" w:hAnsi="David" w:cs="David" w:hint="cs"/>
          <w:rtl/>
        </w:rPr>
        <w:t xml:space="preserve">. </w:t>
      </w:r>
      <w:r w:rsidR="00EC25A8">
        <w:rPr>
          <w:rFonts w:ascii="David" w:hAnsi="David" w:cs="David" w:hint="cs"/>
          <w:rtl/>
        </w:rPr>
        <w:t xml:space="preserve">עם זאת, ישנן מספר דילמות העולות מנוכחותו של שופט בזירת האירוע. </w:t>
      </w:r>
      <w:r w:rsidR="007D1A8D">
        <w:rPr>
          <w:rFonts w:ascii="David" w:hAnsi="David" w:cs="David" w:hint="cs"/>
          <w:rtl/>
        </w:rPr>
        <w:t>שכן</w:t>
      </w:r>
      <w:r w:rsidR="00EC25A8">
        <w:rPr>
          <w:rFonts w:ascii="David" w:hAnsi="David" w:cs="David" w:hint="cs"/>
          <w:rtl/>
        </w:rPr>
        <w:t xml:space="preserve">, </w:t>
      </w:r>
      <w:commentRangeStart w:id="0"/>
      <w:commentRangeStart w:id="1"/>
      <w:r w:rsidR="007D1A8D">
        <w:rPr>
          <w:rFonts w:ascii="David" w:hAnsi="David" w:cs="David" w:hint="cs"/>
          <w:rtl/>
        </w:rPr>
        <w:t>השופט הופך להיות כמעין עד לאירוע, הזירה משתנה עם הזמן</w:t>
      </w:r>
      <w:r w:rsidR="00713454">
        <w:rPr>
          <w:rFonts w:ascii="David" w:hAnsi="David" w:cs="David" w:hint="cs"/>
          <w:rtl/>
        </w:rPr>
        <w:t xml:space="preserve"> וכן ישנו גבול דק בין בחינת ראיה לבין יצירתה בדיעבד. </w:t>
      </w:r>
      <w:commentRangeEnd w:id="0"/>
      <w:r w:rsidR="00E03921">
        <w:rPr>
          <w:rStyle w:val="af2"/>
          <w:rFonts w:ascii="David" w:hAnsi="David" w:cs="David" w:hint="cs"/>
          <w:sz w:val="24"/>
          <w:szCs w:val="24"/>
          <w:rtl/>
        </w:rPr>
        <w:commentReference w:id="0"/>
      </w:r>
      <w:commentRangeEnd w:id="1"/>
      <w:r w:rsidR="00E03921">
        <w:rPr>
          <w:rStyle w:val="af2"/>
          <w:rFonts w:ascii="David" w:hAnsi="David" w:cs="David" w:hint="cs"/>
          <w:sz w:val="24"/>
          <w:szCs w:val="24"/>
          <w:rtl/>
        </w:rPr>
        <w:commentReference w:id="1"/>
      </w:r>
      <w:r w:rsidR="00934261">
        <w:rPr>
          <w:rFonts w:ascii="David" w:hAnsi="David" w:cs="David" w:hint="cs"/>
          <w:rtl/>
        </w:rPr>
        <w:t>למרות זאת,</w:t>
      </w:r>
      <w:r w:rsidR="00713454">
        <w:rPr>
          <w:rFonts w:ascii="David" w:hAnsi="David" w:cs="David" w:hint="cs"/>
          <w:rtl/>
        </w:rPr>
        <w:t xml:space="preserve"> במקרה הנוכחי, </w:t>
      </w:r>
      <w:r w:rsidR="00652C39">
        <w:rPr>
          <w:rFonts w:ascii="David" w:hAnsi="David" w:cs="David" w:hint="cs"/>
          <w:rtl/>
        </w:rPr>
        <w:t>לשיטתי</w:t>
      </w:r>
      <w:r w:rsidR="00713454">
        <w:rPr>
          <w:rFonts w:ascii="David" w:hAnsi="David" w:cs="David" w:hint="cs"/>
          <w:rtl/>
        </w:rPr>
        <w:t>, נשמר הגבול הראוי</w:t>
      </w:r>
      <w:r w:rsidR="009B4913">
        <w:rPr>
          <w:rFonts w:ascii="David" w:hAnsi="David" w:cs="David" w:hint="cs"/>
          <w:rtl/>
        </w:rPr>
        <w:t>, שכן הממצא שימש לבחינת טענת ההגנה</w:t>
      </w:r>
      <w:r w:rsidR="00012ECD">
        <w:rPr>
          <w:rFonts w:ascii="David" w:hAnsi="David" w:cs="David" w:hint="cs"/>
          <w:rtl/>
        </w:rPr>
        <w:t xml:space="preserve"> באופן עובדתי בלבד</w:t>
      </w:r>
      <w:r w:rsidR="009B4913">
        <w:rPr>
          <w:rFonts w:ascii="David" w:hAnsi="David" w:cs="David" w:hint="cs"/>
          <w:rtl/>
        </w:rPr>
        <w:t xml:space="preserve">. </w:t>
      </w:r>
    </w:p>
    <w:p w14:paraId="75C055E1" w14:textId="5A0FA315" w:rsidR="00DF61EF" w:rsidRDefault="00DF61EF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התנאי השני</w:t>
      </w:r>
      <w:r w:rsidR="004F5274">
        <w:rPr>
          <w:rFonts w:ascii="David" w:hAnsi="David" w:cs="David" w:hint="cs"/>
          <w:rtl/>
        </w:rPr>
        <w:t xml:space="preserve"> הוא ההכנה. </w:t>
      </w:r>
      <w:r w:rsidR="00381F71">
        <w:rPr>
          <w:rFonts w:ascii="David" w:hAnsi="David" w:cs="David" w:hint="cs"/>
          <w:rtl/>
        </w:rPr>
        <w:t xml:space="preserve">לפי הפסיקה, תנאי זה </w:t>
      </w:r>
      <w:r w:rsidR="00C72882">
        <w:rPr>
          <w:rFonts w:ascii="David" w:hAnsi="David" w:cs="David" w:hint="cs"/>
          <w:rtl/>
        </w:rPr>
        <w:t>הוא יסוד</w:t>
      </w:r>
      <w:r w:rsidR="00381F71">
        <w:rPr>
          <w:rFonts w:ascii="David" w:hAnsi="David" w:cs="David" w:hint="cs"/>
          <w:rtl/>
        </w:rPr>
        <w:t xml:space="preserve"> פיזי </w:t>
      </w:r>
      <w:r w:rsidR="00C72882">
        <w:rPr>
          <w:rFonts w:ascii="David" w:hAnsi="David" w:cs="David" w:hint="cs"/>
          <w:rtl/>
        </w:rPr>
        <w:t>מובהק</w:t>
      </w:r>
      <w:r w:rsidR="009F796D">
        <w:rPr>
          <w:rFonts w:ascii="David" w:hAnsi="David" w:cs="David" w:hint="cs"/>
          <w:rtl/>
        </w:rPr>
        <w:t xml:space="preserve">. </w:t>
      </w:r>
      <w:r w:rsidR="001424C1">
        <w:rPr>
          <w:rFonts w:ascii="David" w:hAnsi="David" w:cs="David" w:hint="cs"/>
          <w:rtl/>
        </w:rPr>
        <w:t xml:space="preserve">ההכנה אינה נדרשת להתרחש </w:t>
      </w:r>
      <w:r w:rsidR="00B635A5">
        <w:rPr>
          <w:rFonts w:ascii="David" w:hAnsi="David" w:cs="David" w:hint="cs"/>
          <w:rtl/>
        </w:rPr>
        <w:t xml:space="preserve">זמן רב </w:t>
      </w:r>
      <w:r w:rsidR="001424C1">
        <w:rPr>
          <w:rFonts w:ascii="David" w:hAnsi="David" w:cs="David" w:hint="cs"/>
          <w:rtl/>
        </w:rPr>
        <w:t>טרם ההמתה ואף עשויה להתקיים בסמיכות למעשה או במהלכו.</w:t>
      </w:r>
      <w:r w:rsidR="00890E95">
        <w:rPr>
          <w:rStyle w:val="af0"/>
          <w:rFonts w:ascii="David" w:hAnsi="David" w:cs="David"/>
          <w:rtl/>
        </w:rPr>
        <w:footnoteReference w:id="10"/>
      </w:r>
      <w:r w:rsidR="001424C1">
        <w:rPr>
          <w:rFonts w:ascii="David" w:hAnsi="David" w:cs="David" w:hint="cs"/>
          <w:rtl/>
        </w:rPr>
        <w:t xml:space="preserve"> </w:t>
      </w:r>
      <w:r w:rsidR="00285D14">
        <w:rPr>
          <w:rFonts w:ascii="David" w:hAnsi="David" w:cs="David" w:hint="cs"/>
          <w:rtl/>
        </w:rPr>
        <w:t xml:space="preserve">כך, </w:t>
      </w:r>
      <w:r w:rsidR="00EE1621">
        <w:rPr>
          <w:rFonts w:ascii="David" w:hAnsi="David" w:cs="David" w:hint="cs"/>
          <w:rtl/>
        </w:rPr>
        <w:t xml:space="preserve">בעניין אוחיון נקבע כי שליפת הסכין והנפתה עומדות בתנאי ההכנה. </w:t>
      </w:r>
      <w:r w:rsidR="00A41465">
        <w:rPr>
          <w:rFonts w:ascii="David" w:hAnsi="David" w:cs="David" w:hint="cs"/>
          <w:rtl/>
        </w:rPr>
        <w:t>זאת, על אף שנשיאת הסכין טרם המעשה אינה הכריעה את הכף.</w:t>
      </w:r>
      <w:r w:rsidR="00890E95">
        <w:rPr>
          <w:rStyle w:val="af0"/>
          <w:rFonts w:ascii="David" w:hAnsi="David" w:cs="David"/>
          <w:rtl/>
        </w:rPr>
        <w:footnoteReference w:id="11"/>
      </w:r>
      <w:r w:rsidR="00A41465">
        <w:rPr>
          <w:rFonts w:ascii="David" w:hAnsi="David" w:cs="David" w:hint="cs"/>
          <w:rtl/>
        </w:rPr>
        <w:t xml:space="preserve"> </w:t>
      </w:r>
      <w:r w:rsidR="00FB62F4">
        <w:rPr>
          <w:rFonts w:ascii="David" w:hAnsi="David" w:cs="David" w:hint="cs"/>
          <w:rtl/>
        </w:rPr>
        <w:t xml:space="preserve">בנסיבות המקרה, יש להבחין </w:t>
      </w:r>
      <w:r w:rsidR="00FC5002">
        <w:rPr>
          <w:rFonts w:ascii="David" w:hAnsi="David" w:cs="David" w:hint="cs"/>
          <w:rtl/>
        </w:rPr>
        <w:t>בין</w:t>
      </w:r>
      <w:r w:rsidR="00FB62F4">
        <w:rPr>
          <w:rFonts w:ascii="David" w:hAnsi="David" w:cs="David" w:hint="cs"/>
          <w:rtl/>
        </w:rPr>
        <w:t xml:space="preserve"> נשיאת האקדח לבין הפעולות שנעשו בסמוך לירי. </w:t>
      </w:r>
      <w:r w:rsidR="001B7452">
        <w:rPr>
          <w:rFonts w:ascii="David" w:hAnsi="David" w:cs="David" w:hint="cs"/>
          <w:rtl/>
        </w:rPr>
        <w:t xml:space="preserve">נשיאת האקדח לאחר שחרור המנוח, אינה כשלעצמה, עומדת בתנאי ההכנה. </w:t>
      </w:r>
      <w:r w:rsidR="00BD4066">
        <w:rPr>
          <w:rFonts w:ascii="David" w:hAnsi="David" w:cs="David" w:hint="cs"/>
          <w:rtl/>
        </w:rPr>
        <w:t>עם זאת</w:t>
      </w:r>
      <w:r w:rsidR="00181040">
        <w:rPr>
          <w:rFonts w:ascii="David" w:hAnsi="David" w:cs="David" w:hint="cs"/>
          <w:rtl/>
        </w:rPr>
        <w:t>, התקרבותו של הנאשם ודריכת נשקו אל עבר המנוח,</w:t>
      </w:r>
      <w:r w:rsidR="00C05B4C">
        <w:rPr>
          <w:rFonts w:ascii="David" w:hAnsi="David" w:cs="David" w:hint="cs"/>
          <w:rtl/>
        </w:rPr>
        <w:t xml:space="preserve"> </w:t>
      </w:r>
      <w:r w:rsidR="00026BDF">
        <w:rPr>
          <w:rFonts w:ascii="David" w:hAnsi="David" w:cs="David" w:hint="cs"/>
          <w:rtl/>
        </w:rPr>
        <w:t>עשויות לגבש</w:t>
      </w:r>
      <w:r w:rsidR="003D7853">
        <w:rPr>
          <w:rFonts w:ascii="David" w:hAnsi="David" w:cs="David" w:hint="cs"/>
          <w:rtl/>
        </w:rPr>
        <w:t xml:space="preserve"> תנאי זה. </w:t>
      </w:r>
      <w:r w:rsidR="00381530">
        <w:rPr>
          <w:rFonts w:ascii="David" w:hAnsi="David" w:cs="David" w:hint="cs"/>
          <w:rtl/>
        </w:rPr>
        <w:t xml:space="preserve">שכן, </w:t>
      </w:r>
      <w:r w:rsidR="003D7853">
        <w:rPr>
          <w:rFonts w:ascii="David" w:hAnsi="David" w:cs="David" w:hint="cs"/>
          <w:rtl/>
        </w:rPr>
        <w:t>פעולות אלו מהוות רצף פיזי המקדם את ביצוע הירי</w:t>
      </w:r>
      <w:r w:rsidR="00E907DA">
        <w:rPr>
          <w:rFonts w:ascii="David" w:hAnsi="David" w:cs="David" w:hint="cs"/>
          <w:rtl/>
        </w:rPr>
        <w:t>.</w:t>
      </w:r>
    </w:p>
    <w:p w14:paraId="03509C30" w14:textId="5B3CB43C" w:rsidR="00DC3507" w:rsidRDefault="008018B7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התנאי השלישי הוא היעדר קנטור </w:t>
      </w:r>
      <w:r w:rsidR="00381530">
        <w:rPr>
          <w:rFonts w:ascii="David" w:hAnsi="David" w:cs="David" w:hint="cs"/>
          <w:rtl/>
        </w:rPr>
        <w:t>בתכוף למעשה</w:t>
      </w:r>
      <w:r>
        <w:rPr>
          <w:rFonts w:ascii="David" w:hAnsi="David" w:cs="David" w:hint="cs"/>
          <w:rtl/>
        </w:rPr>
        <w:t>.</w:t>
      </w:r>
      <w:r w:rsidR="00381530">
        <w:rPr>
          <w:rFonts w:ascii="David" w:hAnsi="David" w:cs="David" w:hint="cs"/>
          <w:rtl/>
        </w:rPr>
        <w:t xml:space="preserve"> תנאי זה נבחן בשני מישורים מצטברים</w:t>
      </w:r>
      <w:r w:rsidR="00381530">
        <w:rPr>
          <w:rFonts w:ascii="David" w:hAnsi="David" w:cs="David"/>
        </w:rPr>
        <w:t>;</w:t>
      </w:r>
      <w:r w:rsidR="00381530">
        <w:rPr>
          <w:rFonts w:ascii="David" w:hAnsi="David" w:cs="David" w:hint="cs"/>
          <w:rtl/>
        </w:rPr>
        <w:t xml:space="preserve"> המישור הסובייקטיבי והמישור האובייקטיבי.</w:t>
      </w:r>
      <w:r w:rsidR="00F33B45">
        <w:rPr>
          <w:rStyle w:val="af0"/>
          <w:rFonts w:ascii="David" w:hAnsi="David" w:cs="David"/>
          <w:rtl/>
        </w:rPr>
        <w:footnoteReference w:id="12"/>
      </w:r>
      <w:r w:rsidR="005A6BD3">
        <w:rPr>
          <w:rFonts w:ascii="David" w:hAnsi="David" w:cs="David" w:hint="cs"/>
          <w:rtl/>
        </w:rPr>
        <w:t xml:space="preserve"> במישור הסובייקטיבי ייבחן האם </w:t>
      </w:r>
      <w:r w:rsidR="00AE7C26">
        <w:rPr>
          <w:rFonts w:ascii="David" w:hAnsi="David" w:cs="David" w:hint="cs"/>
          <w:rtl/>
        </w:rPr>
        <w:t>פעולת ה</w:t>
      </w:r>
      <w:r w:rsidR="005A6BD3">
        <w:rPr>
          <w:rFonts w:ascii="David" w:hAnsi="David" w:cs="David" w:hint="cs"/>
          <w:rtl/>
        </w:rPr>
        <w:t xml:space="preserve">קנטור </w:t>
      </w:r>
      <w:r w:rsidR="005005A1">
        <w:rPr>
          <w:rFonts w:ascii="David" w:hAnsi="David" w:cs="David" w:hint="cs"/>
          <w:rtl/>
        </w:rPr>
        <w:t>הובילה את הנאשם לפעול ללא יישוב דעת. במקרה הנוכחי, הנאשם התקרב ל</w:t>
      </w:r>
      <w:r w:rsidR="001E5AB9">
        <w:rPr>
          <w:rFonts w:ascii="David" w:hAnsi="David" w:cs="David" w:hint="cs"/>
          <w:rtl/>
        </w:rPr>
        <w:t xml:space="preserve">מנוח וקרא לעברו, לכן, ישנו קושי לקבוע כי איבד שליטה. </w:t>
      </w:r>
      <w:r w:rsidR="009F5107">
        <w:rPr>
          <w:rFonts w:ascii="David" w:hAnsi="David" w:cs="David" w:hint="cs"/>
          <w:rtl/>
        </w:rPr>
        <w:t xml:space="preserve">במישור האובייקטיבי, נבחנת תגובתו של אדם מן היישוב לפעולת הקנטור. </w:t>
      </w:r>
      <w:r w:rsidR="00CD229E">
        <w:rPr>
          <w:rFonts w:ascii="David" w:hAnsi="David" w:cs="David" w:hint="cs"/>
          <w:rtl/>
        </w:rPr>
        <w:t xml:space="preserve">במקרה הנוכחי, </w:t>
      </w:r>
      <w:r w:rsidR="00214C97">
        <w:rPr>
          <w:rFonts w:ascii="David" w:hAnsi="David" w:cs="David" w:hint="cs"/>
          <w:rtl/>
        </w:rPr>
        <w:t xml:space="preserve">המנוח, לאחר שחרורו ממאסר, שב לאיים ולדרוש מהנאשם חלק מהכנסות עסקו. </w:t>
      </w:r>
      <w:r w:rsidR="00FE756C">
        <w:rPr>
          <w:rFonts w:ascii="David" w:hAnsi="David" w:cs="David" w:hint="cs"/>
          <w:rtl/>
        </w:rPr>
        <w:t xml:space="preserve">עם זאת, </w:t>
      </w:r>
      <w:r w:rsidR="0099556E">
        <w:rPr>
          <w:rFonts w:ascii="David" w:hAnsi="David" w:cs="David" w:hint="cs"/>
          <w:rtl/>
        </w:rPr>
        <w:t xml:space="preserve">איומיו </w:t>
      </w:r>
      <w:r w:rsidR="00DC3507">
        <w:rPr>
          <w:rFonts w:ascii="David" w:hAnsi="David" w:cs="David" w:hint="cs"/>
          <w:rtl/>
        </w:rPr>
        <w:t xml:space="preserve">לא התרחשו בסמוך למעשה. </w:t>
      </w:r>
      <w:r w:rsidR="00FE756C">
        <w:rPr>
          <w:rFonts w:ascii="David" w:hAnsi="David" w:cs="David" w:hint="cs"/>
          <w:rtl/>
        </w:rPr>
        <w:t>לצד זאת</w:t>
      </w:r>
      <w:r w:rsidR="00DC3507">
        <w:rPr>
          <w:rFonts w:ascii="David" w:hAnsi="David" w:cs="David" w:hint="cs"/>
          <w:rtl/>
        </w:rPr>
        <w:t xml:space="preserve">, לטענת הנאשם, המנוח ביצע תנועה חשודה בידו אשר הובילה את הנאשם </w:t>
      </w:r>
      <w:r w:rsidR="00DC3507">
        <w:rPr>
          <w:rFonts w:ascii="David" w:hAnsi="David" w:cs="David" w:hint="cs"/>
          <w:rtl/>
        </w:rPr>
        <w:lastRenderedPageBreak/>
        <w:t>לירות בנשקו. טענה זו אינה ניתנת לביסוס, ולכן מעוררת קושי ראייתי</w:t>
      </w:r>
      <w:r w:rsidR="001A55BE">
        <w:rPr>
          <w:rFonts w:ascii="David" w:hAnsi="David" w:cs="David" w:hint="cs"/>
          <w:rtl/>
        </w:rPr>
        <w:t xml:space="preserve"> בקביעת </w:t>
      </w:r>
      <w:r w:rsidR="00A408A2">
        <w:rPr>
          <w:rFonts w:ascii="David" w:hAnsi="David" w:cs="David" w:hint="cs"/>
          <w:rtl/>
        </w:rPr>
        <w:t xml:space="preserve">היעדר הקנטור. </w:t>
      </w:r>
      <w:r w:rsidR="00E05253">
        <w:rPr>
          <w:rFonts w:ascii="David" w:hAnsi="David" w:cs="David" w:hint="cs"/>
          <w:rtl/>
        </w:rPr>
        <w:t>אציין כי</w:t>
      </w:r>
      <w:r w:rsidR="002464F7">
        <w:rPr>
          <w:rFonts w:ascii="David" w:hAnsi="David" w:cs="David" w:hint="cs"/>
          <w:rtl/>
        </w:rPr>
        <w:t xml:space="preserve"> על אף </w:t>
      </w:r>
      <w:r w:rsidR="00170E1D">
        <w:rPr>
          <w:rFonts w:ascii="David" w:hAnsi="David" w:cs="David" w:hint="cs"/>
          <w:rtl/>
        </w:rPr>
        <w:t xml:space="preserve">התנהלות המנוח לאורך השנים, אין בכך כדי לגבש </w:t>
      </w:r>
      <w:r w:rsidR="00AF31C0">
        <w:rPr>
          <w:rFonts w:ascii="David" w:hAnsi="David" w:cs="David" w:hint="cs"/>
          <w:rtl/>
        </w:rPr>
        <w:t>קנטור בתכוף למעשה.</w:t>
      </w:r>
      <w:r w:rsidR="00F33B45">
        <w:rPr>
          <w:rStyle w:val="af0"/>
          <w:rFonts w:ascii="David" w:hAnsi="David" w:cs="David"/>
          <w:rtl/>
        </w:rPr>
        <w:footnoteReference w:id="13"/>
      </w:r>
      <w:r w:rsidR="00AF31C0">
        <w:rPr>
          <w:rFonts w:ascii="David" w:hAnsi="David" w:cs="David" w:hint="cs"/>
          <w:rtl/>
        </w:rPr>
        <w:t xml:space="preserve">   </w:t>
      </w:r>
    </w:p>
    <w:p w14:paraId="33E9C64E" w14:textId="01E1E61A" w:rsidR="00B41241" w:rsidRDefault="00DC4614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כמו כן, </w:t>
      </w:r>
      <w:r w:rsidR="004334CB">
        <w:rPr>
          <w:rFonts w:ascii="David" w:hAnsi="David" w:cs="David" w:hint="cs"/>
          <w:rtl/>
        </w:rPr>
        <w:t xml:space="preserve">לאחר הירי הנאשם נמלט מן המקום, החביא את נשקו ופעל לצורך העלמת ראיות. התנהלות זו </w:t>
      </w:r>
      <w:r w:rsidR="00201D11">
        <w:rPr>
          <w:rFonts w:ascii="David" w:hAnsi="David" w:cs="David" w:hint="cs"/>
          <w:rtl/>
        </w:rPr>
        <w:t>אמנם משקפת</w:t>
      </w:r>
      <w:r w:rsidR="00616984">
        <w:rPr>
          <w:rFonts w:ascii="David" w:hAnsi="David" w:cs="David" w:hint="cs"/>
          <w:rtl/>
        </w:rPr>
        <w:t xml:space="preserve"> </w:t>
      </w:r>
      <w:r w:rsidR="004334CB">
        <w:rPr>
          <w:rFonts w:ascii="David" w:hAnsi="David" w:cs="David" w:hint="cs"/>
          <w:rtl/>
        </w:rPr>
        <w:t>מודעות למשמעות הפלילית</w:t>
      </w:r>
      <w:r w:rsidR="00FE0F25">
        <w:rPr>
          <w:rFonts w:ascii="David" w:hAnsi="David" w:cs="David" w:hint="cs"/>
          <w:rtl/>
        </w:rPr>
        <w:t xml:space="preserve"> </w:t>
      </w:r>
      <w:r w:rsidR="004334CB">
        <w:rPr>
          <w:rFonts w:ascii="David" w:hAnsi="David" w:cs="David" w:hint="cs"/>
          <w:rtl/>
        </w:rPr>
        <w:t>מעשי</w:t>
      </w:r>
      <w:r w:rsidR="0049212A">
        <w:rPr>
          <w:rFonts w:ascii="David" w:hAnsi="David" w:cs="David" w:hint="cs"/>
          <w:rtl/>
        </w:rPr>
        <w:t xml:space="preserve">ו, אך </w:t>
      </w:r>
      <w:r w:rsidR="00850903">
        <w:rPr>
          <w:rFonts w:ascii="David" w:hAnsi="David" w:cs="David" w:hint="cs"/>
          <w:rtl/>
        </w:rPr>
        <w:t>אינה מלמדת כשלעצמה על כוונת הנאשם להמית</w:t>
      </w:r>
      <w:r w:rsidR="00261480">
        <w:rPr>
          <w:rFonts w:ascii="David" w:hAnsi="David" w:cs="David" w:hint="cs"/>
          <w:rtl/>
        </w:rPr>
        <w:t>.</w:t>
      </w:r>
      <w:r w:rsidR="00B40B9A">
        <w:rPr>
          <w:rStyle w:val="af0"/>
          <w:rFonts w:ascii="David" w:hAnsi="David" w:cs="David"/>
          <w:rtl/>
        </w:rPr>
        <w:footnoteReference w:id="14"/>
      </w:r>
      <w:r w:rsidR="00261480">
        <w:rPr>
          <w:rFonts w:ascii="David" w:hAnsi="David" w:cs="David" w:hint="cs"/>
          <w:rtl/>
        </w:rPr>
        <w:t xml:space="preserve"> </w:t>
      </w:r>
    </w:p>
    <w:p w14:paraId="01411727" w14:textId="25DDE8A9" w:rsidR="00AA1178" w:rsidRDefault="00947FFC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יתרה מכך</w:t>
      </w:r>
      <w:r w:rsidR="00017B14">
        <w:rPr>
          <w:rFonts w:ascii="David" w:hAnsi="David" w:cs="David" w:hint="cs"/>
          <w:rtl/>
        </w:rPr>
        <w:t>, יש לבחון</w:t>
      </w:r>
      <w:r w:rsidR="00E46C43">
        <w:rPr>
          <w:rFonts w:ascii="David" w:hAnsi="David" w:cs="David" w:hint="cs"/>
          <w:rtl/>
        </w:rPr>
        <w:t xml:space="preserve"> אילו אפשרויות</w:t>
      </w:r>
      <w:r w:rsidR="004D0309">
        <w:rPr>
          <w:rFonts w:ascii="David" w:hAnsi="David" w:cs="David" w:hint="cs"/>
          <w:rtl/>
        </w:rPr>
        <w:t xml:space="preserve"> חלופיות</w:t>
      </w:r>
      <w:r w:rsidR="00E46C43">
        <w:rPr>
          <w:rFonts w:ascii="David" w:hAnsi="David" w:cs="David" w:hint="cs"/>
          <w:rtl/>
        </w:rPr>
        <w:t xml:space="preserve"> עמדו בפני הנאשם.</w:t>
      </w:r>
      <w:r w:rsidR="006D1EA8">
        <w:rPr>
          <w:rStyle w:val="af0"/>
          <w:rFonts w:ascii="David" w:hAnsi="David" w:cs="David"/>
          <w:rtl/>
        </w:rPr>
        <w:footnoteReference w:id="15"/>
      </w:r>
      <w:r w:rsidR="00E46C43">
        <w:rPr>
          <w:rFonts w:ascii="David" w:hAnsi="David" w:cs="David" w:hint="cs"/>
          <w:rtl/>
        </w:rPr>
        <w:t xml:space="preserve"> לטענת הנאשם, נשיאת האקדח נועדה </w:t>
      </w:r>
      <w:r w:rsidR="00AA1178">
        <w:rPr>
          <w:rFonts w:ascii="David" w:hAnsi="David" w:cs="David" w:hint="cs"/>
          <w:rtl/>
        </w:rPr>
        <w:t xml:space="preserve">לצרכי הגנה, ואולם אינו חשף בפני המנוח את האקדח </w:t>
      </w:r>
      <w:r w:rsidR="004D0309">
        <w:rPr>
          <w:rFonts w:ascii="David" w:hAnsi="David" w:cs="David" w:hint="cs"/>
          <w:rtl/>
        </w:rPr>
        <w:t xml:space="preserve">ולא </w:t>
      </w:r>
      <w:r w:rsidR="00AA1178">
        <w:rPr>
          <w:rFonts w:ascii="David" w:hAnsi="David" w:cs="David" w:hint="cs"/>
          <w:rtl/>
        </w:rPr>
        <w:t>ציין בפניו כי ביכולתו להתגונן.</w:t>
      </w:r>
      <w:r w:rsidR="00E609F1">
        <w:rPr>
          <w:rFonts w:ascii="David" w:hAnsi="David" w:cs="David" w:hint="cs"/>
          <w:rtl/>
        </w:rPr>
        <w:t xml:space="preserve"> כמו כן, הנאשם </w:t>
      </w:r>
      <w:r w:rsidR="00DC1C01">
        <w:rPr>
          <w:rFonts w:ascii="David" w:hAnsi="David" w:cs="David" w:hint="cs"/>
          <w:rtl/>
        </w:rPr>
        <w:t>לא</w:t>
      </w:r>
      <w:r w:rsidR="00E609F1">
        <w:rPr>
          <w:rFonts w:ascii="David" w:hAnsi="David" w:cs="David" w:hint="cs"/>
          <w:rtl/>
        </w:rPr>
        <w:t xml:space="preserve"> פנה לרשויות, על אף שזו הדרך שהפסיקה מתווה לקורבנות אלימות. </w:t>
      </w:r>
      <w:r w:rsidR="00F76571">
        <w:rPr>
          <w:rFonts w:ascii="David" w:hAnsi="David" w:cs="David" w:hint="cs"/>
          <w:rtl/>
        </w:rPr>
        <w:t xml:space="preserve">זאת </w:t>
      </w:r>
      <w:r w:rsidR="00165ED4">
        <w:rPr>
          <w:rFonts w:ascii="David" w:hAnsi="David" w:cs="David" w:hint="cs"/>
          <w:rtl/>
        </w:rPr>
        <w:t>ועוד</w:t>
      </w:r>
      <w:r>
        <w:rPr>
          <w:rFonts w:ascii="David" w:hAnsi="David" w:cs="David" w:hint="cs"/>
          <w:rtl/>
        </w:rPr>
        <w:t>,</w:t>
      </w:r>
      <w:r w:rsidR="00500A14">
        <w:rPr>
          <w:rFonts w:ascii="David" w:hAnsi="David" w:cs="David" w:hint="cs"/>
          <w:rtl/>
        </w:rPr>
        <w:t xml:space="preserve"> בליל האירוע, הנאשם בחר להתקרב למנוח</w:t>
      </w:r>
      <w:r w:rsidR="00CB3378">
        <w:rPr>
          <w:rFonts w:ascii="David" w:hAnsi="David" w:cs="David" w:hint="cs"/>
          <w:rtl/>
        </w:rPr>
        <w:t xml:space="preserve">. מבין האפשרויות </w:t>
      </w:r>
      <w:r w:rsidR="00626BFC">
        <w:rPr>
          <w:rFonts w:ascii="David" w:hAnsi="David" w:cs="David" w:hint="cs"/>
          <w:rtl/>
        </w:rPr>
        <w:t xml:space="preserve">אשר </w:t>
      </w:r>
      <w:r w:rsidR="00CB3378">
        <w:rPr>
          <w:rFonts w:ascii="David" w:hAnsi="David" w:cs="David" w:hint="cs"/>
          <w:rtl/>
        </w:rPr>
        <w:t xml:space="preserve">עמדו </w:t>
      </w:r>
      <w:r w:rsidR="00626BFC">
        <w:rPr>
          <w:rFonts w:ascii="David" w:hAnsi="David" w:cs="David" w:hint="cs"/>
          <w:rtl/>
        </w:rPr>
        <w:t>לרשותו</w:t>
      </w:r>
      <w:r w:rsidR="00165ED4">
        <w:rPr>
          <w:rFonts w:ascii="David" w:hAnsi="David" w:cs="David" w:hint="cs"/>
          <w:rtl/>
        </w:rPr>
        <w:t>, התנהלותו</w:t>
      </w:r>
      <w:r w:rsidR="00CB3378">
        <w:rPr>
          <w:rFonts w:ascii="David" w:hAnsi="David" w:cs="David" w:hint="cs"/>
          <w:rtl/>
        </w:rPr>
        <w:t xml:space="preserve"> </w:t>
      </w:r>
      <w:r w:rsidR="008862EA">
        <w:rPr>
          <w:rFonts w:ascii="David" w:hAnsi="David" w:cs="David" w:hint="cs"/>
          <w:rtl/>
        </w:rPr>
        <w:t>עשויה לתמוך</w:t>
      </w:r>
      <w:r w:rsidR="00CB3378">
        <w:rPr>
          <w:rFonts w:ascii="David" w:hAnsi="David" w:cs="David" w:hint="cs"/>
          <w:rtl/>
        </w:rPr>
        <w:t xml:space="preserve"> במסקנה כי </w:t>
      </w:r>
      <w:r w:rsidR="00C83A69">
        <w:rPr>
          <w:rFonts w:ascii="David" w:hAnsi="David" w:cs="David" w:hint="cs"/>
          <w:rtl/>
        </w:rPr>
        <w:t xml:space="preserve">פעולה זו נבעה מתוך </w:t>
      </w:r>
      <w:r w:rsidR="0098110F">
        <w:rPr>
          <w:rFonts w:ascii="David" w:hAnsi="David" w:cs="David" w:hint="cs"/>
          <w:rtl/>
        </w:rPr>
        <w:t>כוונה</w:t>
      </w:r>
      <w:r w:rsidR="00C83A69">
        <w:rPr>
          <w:rFonts w:ascii="David" w:hAnsi="David" w:cs="David" w:hint="cs"/>
          <w:rtl/>
        </w:rPr>
        <w:t>.</w:t>
      </w:r>
    </w:p>
    <w:p w14:paraId="58DEC5CA" w14:textId="682DBB5B" w:rsidR="00AA26C7" w:rsidRDefault="00320170" w:rsidP="002D7CD9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לאור האמור, ניתן </w:t>
      </w:r>
      <w:r w:rsidR="00337E26">
        <w:rPr>
          <w:rFonts w:ascii="David" w:hAnsi="David" w:cs="David" w:hint="cs"/>
          <w:rtl/>
        </w:rPr>
        <w:t xml:space="preserve">להצדיק את </w:t>
      </w:r>
      <w:r w:rsidR="00333FD4">
        <w:rPr>
          <w:rFonts w:ascii="David" w:hAnsi="David" w:cs="David" w:hint="cs"/>
          <w:rtl/>
        </w:rPr>
        <w:t>הרשעת המחוזי</w:t>
      </w:r>
      <w:r w:rsidR="00337E26">
        <w:rPr>
          <w:rFonts w:ascii="David" w:hAnsi="David" w:cs="David" w:hint="cs"/>
          <w:rtl/>
        </w:rPr>
        <w:t xml:space="preserve"> </w:t>
      </w:r>
      <w:r w:rsidR="00333FD4">
        <w:rPr>
          <w:rFonts w:ascii="David" w:hAnsi="David" w:cs="David" w:hint="cs"/>
          <w:rtl/>
        </w:rPr>
        <w:t xml:space="preserve">בעבירת </w:t>
      </w:r>
      <w:r w:rsidR="00337E26">
        <w:rPr>
          <w:rFonts w:ascii="David" w:hAnsi="David" w:cs="David" w:hint="cs"/>
          <w:rtl/>
        </w:rPr>
        <w:t xml:space="preserve">רצח בכוונה תחילה. </w:t>
      </w:r>
      <w:r w:rsidR="002D54DA">
        <w:rPr>
          <w:rFonts w:ascii="David" w:hAnsi="David" w:cs="David" w:hint="cs"/>
          <w:rtl/>
        </w:rPr>
        <w:t xml:space="preserve">שכן, ההחלטה להמית </w:t>
      </w:r>
      <w:r w:rsidR="00326179">
        <w:rPr>
          <w:rFonts w:ascii="David" w:hAnsi="David" w:cs="David" w:hint="cs"/>
          <w:rtl/>
        </w:rPr>
        <w:t xml:space="preserve">מבוססת על אמירתו של הנאשם ורצף פעולותיו. ההכנה </w:t>
      </w:r>
      <w:r w:rsidR="00E3712D">
        <w:rPr>
          <w:rFonts w:ascii="David" w:hAnsi="David" w:cs="David" w:hint="cs"/>
          <w:rtl/>
        </w:rPr>
        <w:t xml:space="preserve">מתעצבת לאור </w:t>
      </w:r>
      <w:r w:rsidR="00326179">
        <w:rPr>
          <w:rFonts w:ascii="David" w:hAnsi="David" w:cs="David" w:hint="cs"/>
          <w:rtl/>
        </w:rPr>
        <w:t xml:space="preserve">דריכת הנשק </w:t>
      </w:r>
      <w:r w:rsidR="00056333">
        <w:rPr>
          <w:rFonts w:ascii="David" w:hAnsi="David" w:cs="David" w:hint="cs"/>
          <w:rtl/>
        </w:rPr>
        <w:t>והתקרבותו של הנאשם למנוח. היעדר הקנטור</w:t>
      </w:r>
      <w:r w:rsidR="00E3712D">
        <w:rPr>
          <w:rFonts w:ascii="David" w:hAnsi="David" w:cs="David" w:hint="cs"/>
          <w:rtl/>
        </w:rPr>
        <w:t xml:space="preserve"> נלמד מ</w:t>
      </w:r>
      <w:r w:rsidR="00397E80">
        <w:rPr>
          <w:rFonts w:ascii="David" w:hAnsi="David" w:cs="David" w:hint="cs"/>
          <w:rtl/>
        </w:rPr>
        <w:t xml:space="preserve">המרחק בין האיומים לבין הירי. </w:t>
      </w:r>
      <w:r w:rsidR="00AF61B4">
        <w:rPr>
          <w:rFonts w:ascii="David" w:hAnsi="David" w:cs="David" w:hint="cs"/>
          <w:rtl/>
        </w:rPr>
        <w:t xml:space="preserve">על אף </w:t>
      </w:r>
      <w:r w:rsidR="00153C0D">
        <w:rPr>
          <w:rFonts w:ascii="David" w:hAnsi="David" w:cs="David" w:hint="cs"/>
          <w:rtl/>
        </w:rPr>
        <w:t>פחדו המתמשך של הנאשם, אין בכך כדי להמעיט מעבירת הרצח ומהפגיעה באינטרס המוגן של המנוח.</w:t>
      </w:r>
      <w:r w:rsidR="006D37DD">
        <w:rPr>
          <w:rStyle w:val="af0"/>
          <w:rFonts w:ascii="David" w:hAnsi="David" w:cs="David"/>
          <w:rtl/>
        </w:rPr>
        <w:footnoteReference w:id="16"/>
      </w:r>
      <w:r w:rsidR="00153C0D">
        <w:rPr>
          <w:rFonts w:ascii="David" w:hAnsi="David" w:cs="David" w:hint="cs"/>
          <w:rtl/>
        </w:rPr>
        <w:t xml:space="preserve"> </w:t>
      </w:r>
      <w:r w:rsidR="00333FD4">
        <w:rPr>
          <w:rFonts w:ascii="David" w:hAnsi="David" w:cs="David" w:hint="cs"/>
          <w:rtl/>
        </w:rPr>
        <w:t>מנגד, ניתן להצדיק את הרשעת העליון בעבירת הריגה.</w:t>
      </w:r>
      <w:r w:rsidR="00DF562F">
        <w:rPr>
          <w:rFonts w:ascii="David" w:hAnsi="David" w:cs="David" w:hint="cs"/>
          <w:rtl/>
        </w:rPr>
        <w:t xml:space="preserve"> </w:t>
      </w:r>
      <w:r w:rsidR="006F287C">
        <w:rPr>
          <w:rFonts w:ascii="David" w:hAnsi="David" w:cs="David" w:hint="cs"/>
          <w:rtl/>
        </w:rPr>
        <w:t xml:space="preserve">כפי שפורט לעיל, מרבית הראיות משתמעות לשתי פנים. </w:t>
      </w:r>
      <w:r w:rsidR="00844DD8">
        <w:rPr>
          <w:rFonts w:ascii="David" w:hAnsi="David" w:cs="David" w:hint="cs"/>
          <w:rtl/>
        </w:rPr>
        <w:t xml:space="preserve">בעניין אוחיון, השופטת ברק-ארז נטלה היסקים שאינם עמדו ברף ההוכחה ובחנה </w:t>
      </w:r>
      <w:r w:rsidR="00F5734D">
        <w:rPr>
          <w:rFonts w:ascii="David" w:hAnsi="David" w:cs="David" w:hint="cs"/>
          <w:rtl/>
        </w:rPr>
        <w:t>האם</w:t>
      </w:r>
      <w:r w:rsidR="00844DD8">
        <w:rPr>
          <w:rFonts w:ascii="David" w:hAnsi="David" w:cs="David" w:hint="cs"/>
          <w:rtl/>
        </w:rPr>
        <w:t xml:space="preserve"> ההרשעה הייתה עומדת בלעדיהם.</w:t>
      </w:r>
      <w:r w:rsidR="006D1EA8">
        <w:rPr>
          <w:rStyle w:val="af0"/>
          <w:rFonts w:ascii="David" w:hAnsi="David" w:cs="David"/>
          <w:rtl/>
        </w:rPr>
        <w:footnoteReference w:id="17"/>
      </w:r>
      <w:r w:rsidR="00844DD8">
        <w:rPr>
          <w:rFonts w:ascii="David" w:hAnsi="David" w:cs="David" w:hint="cs"/>
          <w:rtl/>
        </w:rPr>
        <w:t xml:space="preserve"> </w:t>
      </w:r>
      <w:r w:rsidR="009B063A">
        <w:rPr>
          <w:rFonts w:ascii="David" w:hAnsi="David" w:cs="David" w:hint="cs"/>
          <w:rtl/>
        </w:rPr>
        <w:t xml:space="preserve">לכן, על אף שההרשעה ברצח אפשרית, היא </w:t>
      </w:r>
      <w:r w:rsidR="00386C0B">
        <w:rPr>
          <w:rFonts w:ascii="David" w:hAnsi="David" w:cs="David" w:hint="cs"/>
          <w:rtl/>
        </w:rPr>
        <w:t xml:space="preserve">נסמכת על היסקים רבים שאינם </w:t>
      </w:r>
      <w:r w:rsidR="00BD57E8">
        <w:rPr>
          <w:rFonts w:ascii="David" w:hAnsi="David" w:cs="David" w:hint="cs"/>
          <w:rtl/>
        </w:rPr>
        <w:t xml:space="preserve">בהכרח </w:t>
      </w:r>
      <w:r w:rsidR="00386C0B">
        <w:rPr>
          <w:rFonts w:ascii="David" w:hAnsi="David" w:cs="David" w:hint="cs"/>
          <w:rtl/>
        </w:rPr>
        <w:t>מעל הספק הסביר. משנדרש</w:t>
      </w:r>
      <w:r w:rsidR="00C70708">
        <w:rPr>
          <w:rFonts w:ascii="David" w:hAnsi="David" w:cs="David" w:hint="cs"/>
          <w:rtl/>
        </w:rPr>
        <w:t>ת</w:t>
      </w:r>
      <w:r w:rsidR="00386C0B">
        <w:rPr>
          <w:rFonts w:ascii="David" w:hAnsi="David" w:cs="David" w:hint="cs"/>
          <w:rtl/>
        </w:rPr>
        <w:t xml:space="preserve"> הוכחת שלושה תנאים מצטברים, די בספק באחד מהם כדי שהכוונ</w:t>
      </w:r>
      <w:r w:rsidR="00B635A5">
        <w:rPr>
          <w:rFonts w:ascii="David" w:hAnsi="David" w:cs="David" w:hint="cs"/>
          <w:rtl/>
        </w:rPr>
        <w:t>ה</w:t>
      </w:r>
      <w:r w:rsidR="00386C0B">
        <w:rPr>
          <w:rFonts w:ascii="David" w:hAnsi="David" w:cs="David" w:hint="cs"/>
          <w:rtl/>
        </w:rPr>
        <w:t xml:space="preserve"> תחילה אינה תתגבש. </w:t>
      </w:r>
      <w:r w:rsidR="000B5C9E">
        <w:rPr>
          <w:rFonts w:ascii="David" w:hAnsi="David" w:cs="David" w:hint="cs"/>
          <w:rtl/>
        </w:rPr>
        <w:t xml:space="preserve">יתרה מכך, יש ליתן משקל לכך שהרשעה ברצח מחייבת מאסר עולם, ללא שיקול דעת. במקרה הנוכחי, </w:t>
      </w:r>
      <w:r w:rsidR="00C8198C">
        <w:rPr>
          <w:rFonts w:ascii="David" w:hAnsi="David" w:cs="David" w:hint="cs"/>
          <w:rtl/>
        </w:rPr>
        <w:t>כדי לבטא במסגרת הענישה את הפחד וההתעללות המתמשכים</w:t>
      </w:r>
      <w:r w:rsidR="00924791">
        <w:rPr>
          <w:rFonts w:ascii="David" w:hAnsi="David" w:cs="David" w:hint="cs"/>
          <w:rtl/>
        </w:rPr>
        <w:t xml:space="preserve"> ולאור הפער בבחינת הראיות, </w:t>
      </w:r>
      <w:r w:rsidR="00B17A15">
        <w:rPr>
          <w:rFonts w:ascii="David" w:hAnsi="David" w:cs="David" w:hint="cs"/>
          <w:rtl/>
        </w:rPr>
        <w:t xml:space="preserve">בית המשפט העליון ראה לנכון להוריד את האישום להריגה. </w:t>
      </w:r>
      <w:r w:rsidR="00305467">
        <w:rPr>
          <w:rFonts w:ascii="David" w:hAnsi="David" w:cs="David" w:hint="cs"/>
          <w:rtl/>
        </w:rPr>
        <w:t>עם זאת</w:t>
      </w:r>
      <w:r w:rsidR="00C42DAB">
        <w:rPr>
          <w:rFonts w:ascii="David" w:hAnsi="David" w:cs="David" w:hint="cs"/>
          <w:rtl/>
        </w:rPr>
        <w:t>, הסכמתו אינה מבטאת ויתור על חומרת המעשה</w:t>
      </w:r>
      <w:r w:rsidR="00FC7EEC">
        <w:rPr>
          <w:rFonts w:ascii="David" w:hAnsi="David" w:cs="David" w:hint="cs"/>
          <w:rtl/>
        </w:rPr>
        <w:t xml:space="preserve">, שכן הנאשם הורשע בעונשה המירבי של עבירת ההריגה. </w:t>
      </w:r>
      <w:r w:rsidR="003A6572">
        <w:rPr>
          <w:rFonts w:ascii="David" w:hAnsi="David" w:cs="David" w:hint="cs"/>
          <w:rtl/>
        </w:rPr>
        <w:t>לכן</w:t>
      </w:r>
      <w:r w:rsidR="00FC7EEC">
        <w:rPr>
          <w:rFonts w:ascii="David" w:hAnsi="David" w:cs="David" w:hint="cs"/>
          <w:rtl/>
        </w:rPr>
        <w:t>,</w:t>
      </w:r>
      <w:r w:rsidR="00C42DAB">
        <w:rPr>
          <w:rFonts w:ascii="David" w:hAnsi="David" w:cs="David" w:hint="cs"/>
          <w:rtl/>
        </w:rPr>
        <w:t xml:space="preserve"> </w:t>
      </w:r>
      <w:r w:rsidR="00FC7EEC">
        <w:rPr>
          <w:rFonts w:ascii="David" w:hAnsi="David" w:cs="David" w:hint="cs"/>
          <w:rtl/>
        </w:rPr>
        <w:t xml:space="preserve">הסכמה זו </w:t>
      </w:r>
      <w:r w:rsidR="00C42DAB">
        <w:rPr>
          <w:rFonts w:ascii="David" w:hAnsi="David" w:cs="David" w:hint="cs"/>
          <w:rtl/>
        </w:rPr>
        <w:t xml:space="preserve">מהווה איזון </w:t>
      </w:r>
      <w:r w:rsidR="000C6836">
        <w:rPr>
          <w:rFonts w:ascii="David" w:hAnsi="David" w:cs="David" w:hint="cs"/>
          <w:rtl/>
        </w:rPr>
        <w:t xml:space="preserve">ראוי בין כלל הנסיבות לבין הפגיעה בחייו של המנוח. </w:t>
      </w:r>
      <w:r w:rsidR="0077254F">
        <w:rPr>
          <w:rFonts w:ascii="David" w:hAnsi="David" w:cs="David" w:hint="cs"/>
          <w:rtl/>
        </w:rPr>
        <w:t xml:space="preserve">כמו כן, </w:t>
      </w:r>
      <w:r w:rsidR="002F367D">
        <w:rPr>
          <w:rFonts w:ascii="David" w:hAnsi="David" w:cs="David" w:hint="cs"/>
          <w:rtl/>
        </w:rPr>
        <w:t xml:space="preserve">יש ליתן משקל לאשם המוסרי של הנאשם. </w:t>
      </w:r>
      <w:commentRangeStart w:id="2"/>
      <w:r w:rsidR="002F367D">
        <w:rPr>
          <w:rFonts w:ascii="David" w:hAnsi="David" w:cs="David" w:hint="cs"/>
          <w:rtl/>
        </w:rPr>
        <w:t>שכן</w:t>
      </w:r>
      <w:commentRangeEnd w:id="2"/>
      <w:r w:rsidR="009C3F97">
        <w:rPr>
          <w:rStyle w:val="af2"/>
          <w:rFonts w:ascii="David" w:hAnsi="David" w:cs="David" w:hint="cs"/>
          <w:sz w:val="24"/>
          <w:szCs w:val="24"/>
          <w:rtl/>
        </w:rPr>
        <w:commentReference w:id="2"/>
      </w:r>
      <w:r w:rsidR="002F367D">
        <w:rPr>
          <w:rFonts w:ascii="David" w:hAnsi="David" w:cs="David" w:hint="cs"/>
          <w:rtl/>
        </w:rPr>
        <w:t>, הנאשם עמד מול איום מתמשך מצד המנוח</w:t>
      </w:r>
      <w:r w:rsidR="0011630B">
        <w:rPr>
          <w:rFonts w:ascii="David" w:hAnsi="David" w:cs="David" w:hint="cs"/>
          <w:rtl/>
        </w:rPr>
        <w:t xml:space="preserve">. על אף שאינו חוסה תחת סייג ההגנה העצמית ואין </w:t>
      </w:r>
      <w:r w:rsidR="00DC2413">
        <w:rPr>
          <w:rFonts w:ascii="David" w:hAnsi="David" w:cs="David" w:hint="cs"/>
          <w:rtl/>
        </w:rPr>
        <w:t>בקרבה לסייג כדי להתיר נטילת חיים</w:t>
      </w:r>
      <w:r w:rsidR="0011630B">
        <w:rPr>
          <w:rFonts w:ascii="David" w:hAnsi="David" w:cs="David" w:hint="cs"/>
          <w:rtl/>
        </w:rPr>
        <w:t>,</w:t>
      </w:r>
      <w:r w:rsidR="00DC2413">
        <w:rPr>
          <w:rFonts w:ascii="David" w:hAnsi="David" w:cs="David" w:hint="cs"/>
          <w:rtl/>
        </w:rPr>
        <w:t xml:space="preserve"> יש בה כדי להפחית מהאשם המוסרי ולהתאים </w:t>
      </w:r>
      <w:r w:rsidR="000B2409">
        <w:rPr>
          <w:rFonts w:ascii="David" w:hAnsi="David" w:cs="David" w:hint="cs"/>
          <w:rtl/>
        </w:rPr>
        <w:t>את עבירת ההמתה</w:t>
      </w:r>
      <w:r w:rsidR="007A0F1D">
        <w:rPr>
          <w:rFonts w:ascii="David" w:hAnsi="David" w:cs="David" w:hint="cs"/>
          <w:rtl/>
        </w:rPr>
        <w:t xml:space="preserve"> למקרה</w:t>
      </w:r>
      <w:r w:rsidR="000B2409">
        <w:rPr>
          <w:rFonts w:ascii="David" w:hAnsi="David" w:cs="David" w:hint="cs"/>
          <w:rtl/>
        </w:rPr>
        <w:t>.</w:t>
      </w:r>
      <w:r w:rsidR="00305467">
        <w:rPr>
          <w:rStyle w:val="af0"/>
          <w:rFonts w:ascii="David" w:hAnsi="David" w:cs="David"/>
          <w:rtl/>
        </w:rPr>
        <w:footnoteReference w:id="18"/>
      </w:r>
      <w:r w:rsidR="000B2409">
        <w:rPr>
          <w:rFonts w:ascii="David" w:hAnsi="David" w:cs="David" w:hint="cs"/>
          <w:rtl/>
        </w:rPr>
        <w:t xml:space="preserve"> </w:t>
      </w:r>
      <w:r w:rsidR="0011630B">
        <w:rPr>
          <w:rFonts w:ascii="David" w:hAnsi="David" w:cs="David" w:hint="cs"/>
          <w:rtl/>
        </w:rPr>
        <w:t xml:space="preserve"> </w:t>
      </w:r>
    </w:p>
    <w:p w14:paraId="13CBE2A0" w14:textId="77777777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1910253D" w14:textId="77777777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67100373" w14:textId="77777777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6A29D657" w14:textId="77777777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440DB0E2" w14:textId="77777777" w:rsidR="00A348FE" w:rsidRDefault="00A348FE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4812F26A" w14:textId="77777777" w:rsidR="005A4C38" w:rsidRDefault="005A4C38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</w:p>
    <w:p w14:paraId="2DDDF458" w14:textId="6B156EF2" w:rsidR="00C00EBA" w:rsidRDefault="00C00EBA" w:rsidP="002D7CD9">
      <w:pPr>
        <w:spacing w:line="360" w:lineRule="auto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lastRenderedPageBreak/>
        <w:t>שאלה שנייה</w:t>
      </w:r>
    </w:p>
    <w:p w14:paraId="660B0155" w14:textId="56780AD0" w:rsidR="00CD5E19" w:rsidRDefault="00B775A6" w:rsidP="00DF49F0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עבירת האינוס דורשת</w:t>
      </w:r>
      <w:r w:rsidR="007E6ED3">
        <w:rPr>
          <w:rFonts w:ascii="David" w:hAnsi="David" w:cs="David" w:hint="cs"/>
          <w:rtl/>
        </w:rPr>
        <w:t xml:space="preserve"> הוכחת חוסר הסכמה חופשית מצד הנפגע.</w:t>
      </w:r>
      <w:r w:rsidR="00691570">
        <w:rPr>
          <w:rStyle w:val="af0"/>
          <w:rFonts w:ascii="David" w:hAnsi="David" w:cs="David"/>
          <w:rtl/>
        </w:rPr>
        <w:footnoteReference w:id="19"/>
      </w:r>
      <w:r w:rsidR="007E6ED3">
        <w:rPr>
          <w:rFonts w:ascii="David" w:hAnsi="David" w:cs="David" w:hint="cs"/>
          <w:rtl/>
        </w:rPr>
        <w:t xml:space="preserve"> במסגרת הקורס, </w:t>
      </w:r>
      <w:r w:rsidR="004C5AAF">
        <w:rPr>
          <w:rFonts w:ascii="David" w:hAnsi="David" w:cs="David" w:hint="cs"/>
          <w:rtl/>
        </w:rPr>
        <w:t>הועלתה הצעה לשנות נוסח זה ולהחלי</w:t>
      </w:r>
      <w:r w:rsidR="000B265C">
        <w:rPr>
          <w:rFonts w:ascii="David" w:hAnsi="David" w:cs="David" w:hint="cs"/>
          <w:rtl/>
        </w:rPr>
        <w:t>פו</w:t>
      </w:r>
      <w:r w:rsidR="004C5AAF">
        <w:rPr>
          <w:rFonts w:ascii="David" w:hAnsi="David" w:cs="David" w:hint="cs"/>
          <w:rtl/>
        </w:rPr>
        <w:t xml:space="preserve"> </w:t>
      </w:r>
      <w:r w:rsidR="001902F3">
        <w:rPr>
          <w:rFonts w:ascii="David" w:hAnsi="David" w:cs="David" w:hint="cs"/>
          <w:rtl/>
        </w:rPr>
        <w:t>ב</w:t>
      </w:r>
      <w:r w:rsidR="003461B9">
        <w:rPr>
          <w:rFonts w:ascii="David" w:hAnsi="David" w:cs="David" w:hint="cs"/>
          <w:rtl/>
        </w:rPr>
        <w:t xml:space="preserve">הוכחת חוסר רצון. </w:t>
      </w:r>
      <w:r w:rsidR="001902F3">
        <w:rPr>
          <w:rFonts w:ascii="David" w:hAnsi="David" w:cs="David" w:hint="cs"/>
          <w:rtl/>
        </w:rPr>
        <w:t xml:space="preserve">לגישתי, שינוי זה ראוי ואף מחייב. </w:t>
      </w:r>
      <w:r w:rsidR="005B3D8C">
        <w:rPr>
          <w:rFonts w:ascii="David" w:hAnsi="David" w:cs="David" w:hint="cs"/>
          <w:rtl/>
        </w:rPr>
        <w:t>המונח "הסכמה</w:t>
      </w:r>
      <w:r w:rsidR="00885A12">
        <w:rPr>
          <w:rFonts w:ascii="David" w:hAnsi="David" w:cs="David" w:hint="cs"/>
          <w:rtl/>
        </w:rPr>
        <w:t>" מתאר אירוע חיצוני</w:t>
      </w:r>
      <w:r w:rsidR="00F24B0B">
        <w:rPr>
          <w:rFonts w:ascii="David" w:hAnsi="David" w:cs="David" w:hint="cs"/>
          <w:rtl/>
        </w:rPr>
        <w:t xml:space="preserve"> ועלול להסב את בחינת </w:t>
      </w:r>
      <w:r w:rsidR="008E17FE">
        <w:rPr>
          <w:rFonts w:ascii="David" w:hAnsi="David" w:cs="David" w:hint="cs"/>
          <w:rtl/>
        </w:rPr>
        <w:t>ההסכמה להתנגדותו של הנפגע</w:t>
      </w:r>
      <w:r w:rsidR="00885A12">
        <w:rPr>
          <w:rFonts w:ascii="David" w:hAnsi="David" w:cs="David" w:hint="cs"/>
          <w:rtl/>
        </w:rPr>
        <w:t xml:space="preserve">. </w:t>
      </w:r>
      <w:r w:rsidR="00752C4E">
        <w:rPr>
          <w:rFonts w:ascii="David" w:hAnsi="David" w:cs="David" w:hint="cs"/>
          <w:rtl/>
        </w:rPr>
        <w:t xml:space="preserve">על אף </w:t>
      </w:r>
      <w:r w:rsidR="00AD181D">
        <w:rPr>
          <w:rFonts w:ascii="David" w:hAnsi="David" w:cs="David" w:hint="cs"/>
          <w:rtl/>
        </w:rPr>
        <w:t xml:space="preserve">שהפסיקה קבעה כי אין דפוס התנהגות מחייב מצד הנפגע וכי </w:t>
      </w:r>
      <w:r w:rsidR="000F260A">
        <w:rPr>
          <w:rFonts w:ascii="David" w:hAnsi="David" w:cs="David" w:hint="cs"/>
          <w:rtl/>
        </w:rPr>
        <w:t>שיתוק או קיפאון אינם מהווים הסכמה, ישנו קושי ראייתי מהותי בהוכחה זו.</w:t>
      </w:r>
      <w:r w:rsidR="00691570">
        <w:rPr>
          <w:rStyle w:val="af0"/>
          <w:rFonts w:ascii="David" w:hAnsi="David" w:cs="David"/>
          <w:rtl/>
        </w:rPr>
        <w:footnoteReference w:id="20"/>
      </w:r>
      <w:r w:rsidR="000F260A">
        <w:rPr>
          <w:rFonts w:ascii="David" w:hAnsi="David" w:cs="David" w:hint="cs"/>
          <w:rtl/>
        </w:rPr>
        <w:t xml:space="preserve"> מנגד, </w:t>
      </w:r>
      <w:r w:rsidR="005C3EAC">
        <w:rPr>
          <w:rFonts w:ascii="David" w:hAnsi="David" w:cs="David" w:hint="cs"/>
          <w:rtl/>
        </w:rPr>
        <w:t xml:space="preserve">המונח "רצון" </w:t>
      </w:r>
      <w:r w:rsidR="00985AA2">
        <w:rPr>
          <w:rFonts w:ascii="David" w:hAnsi="David" w:cs="David" w:hint="cs"/>
          <w:rtl/>
        </w:rPr>
        <w:t>מתמקד</w:t>
      </w:r>
      <w:r w:rsidR="005C3EAC">
        <w:rPr>
          <w:rFonts w:ascii="David" w:hAnsi="David" w:cs="David" w:hint="cs"/>
          <w:rtl/>
        </w:rPr>
        <w:t xml:space="preserve"> </w:t>
      </w:r>
      <w:r w:rsidR="00985AA2">
        <w:rPr>
          <w:rFonts w:ascii="David" w:hAnsi="David" w:cs="David" w:hint="cs"/>
          <w:rtl/>
        </w:rPr>
        <w:t>ב</w:t>
      </w:r>
      <w:r w:rsidR="00A804CD">
        <w:rPr>
          <w:rFonts w:ascii="David" w:hAnsi="David" w:cs="David" w:hint="cs"/>
          <w:rtl/>
        </w:rPr>
        <w:t xml:space="preserve">אוטונומיה המינית </w:t>
      </w:r>
      <w:r w:rsidR="00985AA2">
        <w:rPr>
          <w:rFonts w:ascii="David" w:hAnsi="David" w:cs="David" w:hint="cs"/>
          <w:rtl/>
        </w:rPr>
        <w:t>ובוחן האם האדם חפץ ב</w:t>
      </w:r>
      <w:r w:rsidR="009E3AA5">
        <w:rPr>
          <w:rFonts w:ascii="David" w:hAnsi="David" w:cs="David" w:hint="cs"/>
          <w:rtl/>
        </w:rPr>
        <w:t>ביצוע ה</w:t>
      </w:r>
      <w:r w:rsidR="00985AA2">
        <w:rPr>
          <w:rFonts w:ascii="David" w:hAnsi="David" w:cs="David" w:hint="cs"/>
          <w:rtl/>
        </w:rPr>
        <w:t xml:space="preserve">מעשה. </w:t>
      </w:r>
      <w:r w:rsidR="006D32BD">
        <w:rPr>
          <w:rFonts w:ascii="David" w:hAnsi="David" w:cs="David" w:hint="cs"/>
          <w:rtl/>
        </w:rPr>
        <w:t>יחסי מין אינם פעולה טכנית דיה, אלא מעשה מתוך רצון</w:t>
      </w:r>
      <w:r w:rsidR="002B458C">
        <w:rPr>
          <w:rFonts w:ascii="David" w:hAnsi="David" w:cs="David" w:hint="cs"/>
          <w:rtl/>
        </w:rPr>
        <w:t xml:space="preserve">. לכן, </w:t>
      </w:r>
      <w:r w:rsidR="00924686">
        <w:rPr>
          <w:rFonts w:ascii="David" w:hAnsi="David" w:cs="David" w:hint="cs"/>
          <w:rtl/>
        </w:rPr>
        <w:t>באחריותו של כל אדם לוודא</w:t>
      </w:r>
      <w:r w:rsidR="00E31FBC">
        <w:rPr>
          <w:rFonts w:ascii="David" w:hAnsi="David" w:cs="David" w:hint="cs"/>
          <w:rtl/>
        </w:rPr>
        <w:t xml:space="preserve"> כי הצד השני מעוניין בביצוע המעשה. כמו כן, שינוי הנוסח </w:t>
      </w:r>
      <w:r w:rsidR="00CD5E19">
        <w:rPr>
          <w:rFonts w:ascii="David" w:hAnsi="David" w:cs="David" w:hint="cs"/>
          <w:rtl/>
        </w:rPr>
        <w:t>מקדם מסר נורמטיבי, לפיו, החוק פועל להגנת הרצון המיני של הנפגע</w:t>
      </w:r>
      <w:r w:rsidR="00DF49F0">
        <w:rPr>
          <w:rFonts w:ascii="David" w:hAnsi="David" w:cs="David" w:hint="cs"/>
          <w:rtl/>
        </w:rPr>
        <w:t xml:space="preserve"> ואינו תלוי בפרשנות שיפוטית</w:t>
      </w:r>
      <w:r w:rsidR="00CD5E19">
        <w:rPr>
          <w:rFonts w:ascii="David" w:hAnsi="David" w:cs="David" w:hint="cs"/>
          <w:rtl/>
        </w:rPr>
        <w:t>.</w:t>
      </w:r>
      <w:r w:rsidR="00DF49F0">
        <w:rPr>
          <w:rFonts w:ascii="David" w:hAnsi="David" w:cs="David" w:hint="cs"/>
          <w:rtl/>
        </w:rPr>
        <w:t xml:space="preserve"> </w:t>
      </w:r>
      <w:r w:rsidR="00E7358B">
        <w:rPr>
          <w:rFonts w:ascii="David" w:hAnsi="David" w:cs="David" w:hint="cs"/>
          <w:rtl/>
        </w:rPr>
        <w:t>עם זאת</w:t>
      </w:r>
      <w:r w:rsidR="00CD5E19">
        <w:rPr>
          <w:rFonts w:ascii="David" w:hAnsi="David" w:cs="David" w:hint="cs"/>
          <w:rtl/>
        </w:rPr>
        <w:t xml:space="preserve">, </w:t>
      </w:r>
      <w:r w:rsidR="00A86A8E">
        <w:rPr>
          <w:rFonts w:ascii="David" w:hAnsi="David" w:cs="David" w:hint="cs"/>
          <w:rtl/>
        </w:rPr>
        <w:t xml:space="preserve">יש לשמור על האיזון </w:t>
      </w:r>
      <w:r w:rsidR="00E7358B">
        <w:rPr>
          <w:rFonts w:ascii="David" w:hAnsi="David" w:cs="David" w:hint="cs"/>
          <w:rtl/>
        </w:rPr>
        <w:t xml:space="preserve">הראוי </w:t>
      </w:r>
      <w:r w:rsidR="00A86A8E">
        <w:rPr>
          <w:rFonts w:ascii="David" w:hAnsi="David" w:cs="David" w:hint="cs"/>
          <w:rtl/>
        </w:rPr>
        <w:t xml:space="preserve">בין סובייקטיביות הנפגע לדרישת המודעות מצד הפוגע. </w:t>
      </w:r>
      <w:r w:rsidR="00D24AAC">
        <w:rPr>
          <w:rFonts w:ascii="David" w:hAnsi="David" w:cs="David" w:hint="cs"/>
          <w:rtl/>
        </w:rPr>
        <w:t xml:space="preserve">לצורך כך, בחינת הראיות תיבחן לפי </w:t>
      </w:r>
      <w:r w:rsidR="001733E7">
        <w:rPr>
          <w:rFonts w:ascii="David" w:hAnsi="David" w:cs="David" w:hint="cs"/>
          <w:rtl/>
        </w:rPr>
        <w:t xml:space="preserve">הנסיבות הגלויות לנאשם. </w:t>
      </w:r>
      <w:r w:rsidR="00D24AAC">
        <w:rPr>
          <w:rFonts w:ascii="David" w:hAnsi="David" w:cs="David" w:hint="cs"/>
          <w:rtl/>
        </w:rPr>
        <w:t xml:space="preserve"> </w:t>
      </w:r>
    </w:p>
    <w:p w14:paraId="0B3B2674" w14:textId="733431B2" w:rsidR="001E5CBB" w:rsidRPr="007E2310" w:rsidRDefault="001E5CBB" w:rsidP="002D7CD9">
      <w:pPr>
        <w:spacing w:line="360" w:lineRule="auto"/>
        <w:jc w:val="both"/>
        <w:rPr>
          <w:rFonts w:ascii="David" w:hAnsi="David" w:cs="David"/>
          <w:rtl/>
        </w:rPr>
      </w:pPr>
    </w:p>
    <w:sectPr w:rsidR="001E5CBB" w:rsidRPr="007E2310" w:rsidSect="00B678EC">
      <w:pgSz w:w="11906" w:h="16838"/>
      <w:pgMar w:top="1418" w:right="1418" w:bottom="1418" w:left="1418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nen Ben Meir" w:date="2026-09-11T11:42:00Z" w:initials="RB">
    <w:p w14:paraId="78E8D376" w14:textId="77777777" w:rsidR="00E03921" w:rsidRDefault="00E03921" w:rsidP="00E03921">
      <w:pPr>
        <w:pStyle w:val="af3"/>
        <w:jc w:val="right"/>
      </w:pPr>
      <w:r>
        <w:rPr>
          <w:rStyle w:val="af2"/>
        </w:rPr>
        <w:annotationRef/>
      </w:r>
      <w:r>
        <w:rPr>
          <w:rFonts w:hint="cs"/>
          <w:rtl/>
        </w:rPr>
        <w:t>חסר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להסביר</w:t>
      </w:r>
      <w:r>
        <w:rPr>
          <w:rtl/>
        </w:rPr>
        <w:t xml:space="preserve"> </w:t>
      </w:r>
      <w:r>
        <w:rPr>
          <w:rFonts w:hint="cs"/>
          <w:rtl/>
        </w:rPr>
        <w:t>למה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בעיה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לאירוע</w:t>
      </w:r>
      <w:r>
        <w:rPr>
          <w:rtl/>
        </w:rPr>
        <w:t xml:space="preserve">,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אובייקטיבי</w:t>
      </w:r>
      <w:r>
        <w:rPr>
          <w:rtl/>
        </w:rPr>
        <w:t xml:space="preserve">?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להסביר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שאם</w:t>
      </w:r>
      <w:r>
        <w:rPr>
          <w:rtl/>
        </w:rPr>
        <w:t xml:space="preserve"> </w:t>
      </w:r>
      <w:r>
        <w:rPr>
          <w:rFonts w:hint="cs"/>
          <w:rtl/>
        </w:rPr>
        <w:t>הזירה</w:t>
      </w:r>
      <w:r>
        <w:rPr>
          <w:rtl/>
        </w:rPr>
        <w:t xml:space="preserve"> </w:t>
      </w:r>
      <w:r>
        <w:rPr>
          <w:rFonts w:hint="cs"/>
          <w:rtl/>
        </w:rPr>
        <w:t>משתנה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שאי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לסמוך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ההתרשמות</w:t>
      </w:r>
      <w:r>
        <w:rPr>
          <w:rtl/>
        </w:rPr>
        <w:t xml:space="preserve"> </w:t>
      </w:r>
      <w:r>
        <w:rPr>
          <w:rFonts w:hint="cs"/>
          <w:rtl/>
        </w:rPr>
        <w:t>ממנה</w:t>
      </w:r>
      <w:r>
        <w:rPr>
          <w:rtl/>
        </w:rPr>
        <w:t xml:space="preserve">.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מקור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בטוח</w:t>
      </w:r>
      <w:r>
        <w:rPr>
          <w:rtl/>
        </w:rPr>
        <w:t xml:space="preserve"> </w:t>
      </w:r>
      <w:r>
        <w:rPr>
          <w:rFonts w:hint="cs"/>
          <w:rtl/>
        </w:rPr>
        <w:t>דיברו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שזו</w:t>
      </w:r>
      <w:r>
        <w:rPr>
          <w:rtl/>
        </w:rPr>
        <w:t xml:space="preserve"> </w:t>
      </w:r>
      <w:r>
        <w:rPr>
          <w:rFonts w:hint="cs"/>
          <w:rtl/>
        </w:rPr>
        <w:t>בעיה</w:t>
      </w:r>
      <w:r>
        <w:rPr>
          <w:rtl/>
        </w:rPr>
        <w:t xml:space="preserve"> </w:t>
      </w:r>
      <w:r>
        <w:rPr>
          <w:rFonts w:hint="cs"/>
          <w:rtl/>
        </w:rPr>
        <w:t>לראות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הזירה</w:t>
      </w:r>
      <w:r>
        <w:t>.</w:t>
      </w:r>
    </w:p>
  </w:comment>
  <w:comment w:id="1" w:author="Ronen Ben Meir" w:date="2026-09-11T11:43:00Z" w:initials="RB">
    <w:p w14:paraId="6ED6FDAE" w14:textId="77777777" w:rsidR="00E03921" w:rsidRDefault="00E03921" w:rsidP="00E03921">
      <w:pPr>
        <w:pStyle w:val="af3"/>
        <w:jc w:val="right"/>
      </w:pPr>
      <w:r>
        <w:rPr>
          <w:rStyle w:val="af2"/>
        </w:rPr>
        <w:annotationRef/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קישוריות</w:t>
      </w:r>
      <w:r>
        <w:rPr>
          <w:rtl/>
        </w:rPr>
        <w:t xml:space="preserve"> </w:t>
      </w:r>
      <w:r>
        <w:rPr>
          <w:rFonts w:hint="cs"/>
          <w:rtl/>
        </w:rPr>
        <w:t>בפסקה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כתוב</w:t>
      </w:r>
      <w:r>
        <w:rPr>
          <w:rtl/>
        </w:rPr>
        <w:t xml:space="preserve"> </w:t>
      </w:r>
      <w:r>
        <w:rPr>
          <w:rFonts w:hint="cs"/>
          <w:rtl/>
        </w:rPr>
        <w:t>הזירה</w:t>
      </w:r>
      <w:r>
        <w:rPr>
          <w:rtl/>
        </w:rPr>
        <w:t xml:space="preserve"> </w:t>
      </w:r>
      <w:r>
        <w:rPr>
          <w:rFonts w:hint="cs"/>
          <w:rtl/>
        </w:rPr>
        <w:t>משתנה</w:t>
      </w:r>
      <w:r>
        <w:rPr>
          <w:rtl/>
        </w:rPr>
        <w:t xml:space="preserve">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ישנו</w:t>
      </w:r>
      <w:r>
        <w:rPr>
          <w:rtl/>
        </w:rPr>
        <w:t xml:space="preserve"> </w:t>
      </w:r>
      <w:r>
        <w:rPr>
          <w:rFonts w:hint="cs"/>
          <w:rtl/>
        </w:rPr>
        <w:t>גבול</w:t>
      </w:r>
      <w:r>
        <w:rPr>
          <w:rtl/>
        </w:rPr>
        <w:t xml:space="preserve"> </w:t>
      </w:r>
      <w:r>
        <w:rPr>
          <w:rFonts w:hint="cs"/>
          <w:rtl/>
        </w:rPr>
        <w:t>דק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הסבר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קישוריות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שכתבתי</w:t>
      </w:r>
      <w:r>
        <w:rPr>
          <w:rtl/>
        </w:rPr>
        <w:t xml:space="preserve"> </w:t>
      </w:r>
      <w:r>
        <w:rPr>
          <w:rFonts w:hint="cs"/>
          <w:rtl/>
        </w:rPr>
        <w:t>לעיל</w:t>
      </w:r>
      <w:r>
        <w:rPr>
          <w:rtl/>
        </w:rPr>
        <w:t xml:space="preserve"> </w:t>
      </w:r>
      <w:r>
        <w:rPr>
          <w:rFonts w:hint="cs"/>
          <w:rtl/>
        </w:rPr>
        <w:t>לדעתי</w:t>
      </w:r>
    </w:p>
  </w:comment>
  <w:comment w:id="2" w:author="Ronen Ben Meir" w:date="2026-09-11T11:47:00Z" w:initials="RB">
    <w:p w14:paraId="4264B1AB" w14:textId="77777777" w:rsidR="009C3F97" w:rsidRDefault="009C3F97" w:rsidP="009C3F97">
      <w:pPr>
        <w:pStyle w:val="af3"/>
        <w:jc w:val="right"/>
      </w:pPr>
      <w:r>
        <w:rPr>
          <w:rStyle w:val="af2"/>
        </w:rPr>
        <w:annotationRef/>
      </w:r>
      <w:r>
        <w:rPr>
          <w:rFonts w:hint="cs"/>
          <w:rtl/>
        </w:rPr>
        <w:t>הערה</w:t>
      </w:r>
      <w:r>
        <w:rPr>
          <w:rtl/>
        </w:rPr>
        <w:t xml:space="preserve"> </w:t>
      </w:r>
      <w:r>
        <w:rPr>
          <w:rFonts w:hint="cs"/>
          <w:rtl/>
        </w:rPr>
        <w:t>גורפת</w:t>
      </w:r>
      <w:r>
        <w:rPr>
          <w:rtl/>
        </w:rPr>
        <w:t xml:space="preserve">: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המון</w:t>
      </w:r>
      <w:r>
        <w:rPr>
          <w:rtl/>
        </w:rPr>
        <w:t xml:space="preserve"> "</w:t>
      </w:r>
      <w:r>
        <w:rPr>
          <w:rFonts w:hint="cs"/>
          <w:rtl/>
        </w:rPr>
        <w:t>שכן</w:t>
      </w:r>
      <w:r>
        <w:rPr>
          <w:rtl/>
        </w:rPr>
        <w:t xml:space="preserve">" </w:t>
      </w:r>
      <w:r>
        <w:rPr>
          <w:rFonts w:hint="cs"/>
          <w:rtl/>
        </w:rPr>
        <w:t>בעבודה</w:t>
      </w:r>
      <w:r>
        <w:rPr>
          <w:rtl/>
        </w:rPr>
        <w:t xml:space="preserve">,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לחסוך</w:t>
      </w:r>
      <w:r>
        <w:rPr>
          <w:rtl/>
        </w:rPr>
        <w:t xml:space="preserve"> </w:t>
      </w:r>
      <w:r>
        <w:rPr>
          <w:rFonts w:hint="cs"/>
          <w:rtl/>
        </w:rPr>
        <w:t>במילים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לפחות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חזרתי</w:t>
      </w:r>
      <w:r>
        <w:rPr>
          <w:rtl/>
        </w:rPr>
        <w:t xml:space="preserve"> </w:t>
      </w:r>
      <w:r>
        <w:rPr>
          <w:rFonts w:hint="cs"/>
          <w:rtl/>
        </w:rPr>
        <w:t>מדי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t xml:space="preserve"> CTRL F </w:t>
      </w:r>
      <w:r>
        <w:rPr>
          <w:rFonts w:hint="cs"/>
          <w:rtl/>
        </w:rPr>
        <w:t>ולבדוק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המילה</w:t>
      </w:r>
      <w:r>
        <w:rPr>
          <w:rtl/>
        </w:rPr>
        <w:t xml:space="preserve"> "</w:t>
      </w:r>
      <w:r>
        <w:rPr>
          <w:rFonts w:hint="cs"/>
          <w:rtl/>
        </w:rPr>
        <w:t>שכן</w:t>
      </w:r>
      <w:r>
        <w:rPr>
          <w:rtl/>
        </w:rPr>
        <w:t xml:space="preserve">" </w:t>
      </w:r>
      <w:r>
        <w:rPr>
          <w:rFonts w:hint="cs"/>
          <w:rtl/>
        </w:rPr>
        <w:t>ולשנות</w:t>
      </w:r>
      <w:r>
        <w:rPr>
          <w:rtl/>
        </w:rPr>
        <w:t xml:space="preserve"> </w:t>
      </w:r>
      <w:r>
        <w:rPr>
          <w:rFonts w:hint="cs"/>
          <w:rtl/>
        </w:rPr>
        <w:t>לפעמים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E8D376" w15:done="0"/>
  <w15:commentEx w15:paraId="6ED6FDAE" w15:paraIdParent="78E8D376" w15:done="0"/>
  <w15:commentEx w15:paraId="4264B1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9AFFDB" w16cex:dateUtc="2026-09-11T09:42:00Z"/>
  <w16cex:commentExtensible w16cex:durableId="4B93512C" w16cex:dateUtc="2026-09-11T09:43:00Z"/>
  <w16cex:commentExtensible w16cex:durableId="4F2327BD" w16cex:dateUtc="2026-09-11T09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E8D376" w16cid:durableId="249AFFDB"/>
  <w16cid:commentId w16cid:paraId="6ED6FDAE" w16cid:durableId="4B93512C"/>
  <w16cid:commentId w16cid:paraId="4264B1AB" w16cid:durableId="4F2327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78907" w14:textId="77777777" w:rsidR="00D820F4" w:rsidRDefault="00D820F4" w:rsidP="00F7346A">
      <w:pPr>
        <w:spacing w:after="0" w:line="240" w:lineRule="auto"/>
      </w:pPr>
      <w:r>
        <w:separator/>
      </w:r>
    </w:p>
  </w:endnote>
  <w:endnote w:type="continuationSeparator" w:id="0">
    <w:p w14:paraId="1612D0E7" w14:textId="77777777" w:rsidR="00D820F4" w:rsidRDefault="00D820F4" w:rsidP="00F73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F5EBE" w14:textId="77777777" w:rsidR="00D820F4" w:rsidRDefault="00D820F4" w:rsidP="00F7346A">
      <w:pPr>
        <w:spacing w:after="0" w:line="240" w:lineRule="auto"/>
      </w:pPr>
      <w:r>
        <w:separator/>
      </w:r>
    </w:p>
  </w:footnote>
  <w:footnote w:type="continuationSeparator" w:id="0">
    <w:p w14:paraId="70F484F7" w14:textId="77777777" w:rsidR="00D820F4" w:rsidRDefault="00D820F4" w:rsidP="00F7346A">
      <w:pPr>
        <w:spacing w:after="0" w:line="240" w:lineRule="auto"/>
      </w:pPr>
      <w:r>
        <w:continuationSeparator/>
      </w:r>
    </w:p>
  </w:footnote>
  <w:footnote w:id="1">
    <w:p w14:paraId="02139F99" w14:textId="64A75B57" w:rsidR="009954DC" w:rsidRPr="003B7088" w:rsidRDefault="009954DC">
      <w:pPr>
        <w:pStyle w:val="ae"/>
      </w:pPr>
      <w:r>
        <w:rPr>
          <w:rStyle w:val="af0"/>
        </w:rPr>
        <w:footnoteRef/>
      </w:r>
      <w:r w:rsidR="005F4189">
        <w:t xml:space="preserve"> </w:t>
      </w:r>
      <w:r w:rsidR="002027B3" w:rsidRPr="005F4189">
        <w:rPr>
          <w:rFonts w:ascii="David" w:hAnsi="David" w:cs="David"/>
          <w:rtl/>
        </w:rPr>
        <w:t xml:space="preserve">מרדכי </w:t>
      </w:r>
      <w:r w:rsidR="00E76DA8" w:rsidRPr="005F4189">
        <w:rPr>
          <w:rFonts w:ascii="David" w:hAnsi="David" w:cs="David"/>
          <w:rtl/>
        </w:rPr>
        <w:t xml:space="preserve">קרמניצר וחאלד גאנים </w:t>
      </w:r>
      <w:r w:rsidR="007E08C4" w:rsidRPr="005F4189">
        <w:rPr>
          <w:rFonts w:ascii="David" w:hAnsi="David" w:cs="David"/>
          <w:b/>
          <w:bCs/>
          <w:rtl/>
        </w:rPr>
        <w:t xml:space="preserve">הרפורמה בעבירות ההמתה (2019) לאור עקרונות היסוד של המשפט ומחקר היסטורי והשוואתי </w:t>
      </w:r>
      <w:r w:rsidR="003B7088" w:rsidRPr="005F4189">
        <w:rPr>
          <w:rFonts w:ascii="David" w:hAnsi="David" w:cs="David"/>
          <w:rtl/>
        </w:rPr>
        <w:t>פרק רביעי</w:t>
      </w:r>
      <w:r w:rsidR="005F4189" w:rsidRPr="005F4189">
        <w:rPr>
          <w:rFonts w:ascii="David" w:hAnsi="David" w:cs="David"/>
          <w:rtl/>
        </w:rPr>
        <w:t xml:space="preserve"> </w:t>
      </w:r>
      <w:r w:rsidR="00FD4997">
        <w:rPr>
          <w:rFonts w:ascii="David" w:hAnsi="David" w:cs="David" w:hint="cs"/>
          <w:rtl/>
        </w:rPr>
        <w:t xml:space="preserve">205 </w:t>
      </w:r>
      <w:r w:rsidR="005F4189" w:rsidRPr="005F4189">
        <w:rPr>
          <w:rFonts w:ascii="David" w:hAnsi="David" w:cs="David"/>
          <w:rtl/>
        </w:rPr>
        <w:t>(2020).</w:t>
      </w:r>
      <w:r w:rsidR="003B7088">
        <w:rPr>
          <w:rFonts w:hint="cs"/>
          <w:rtl/>
        </w:rPr>
        <w:t xml:space="preserve"> </w:t>
      </w:r>
    </w:p>
  </w:footnote>
  <w:footnote w:id="2">
    <w:p w14:paraId="7F223B28" w14:textId="64F84671" w:rsidR="00F7346A" w:rsidRPr="00FB4D72" w:rsidRDefault="00F7346A">
      <w:pPr>
        <w:pStyle w:val="ae"/>
        <w:rPr>
          <w:rFonts w:ascii="David" w:hAnsi="David" w:cs="David"/>
          <w:highlight w:val="yellow"/>
        </w:rPr>
      </w:pPr>
      <w:r w:rsidRPr="00FB4D72">
        <w:rPr>
          <w:rStyle w:val="af0"/>
          <w:rFonts w:ascii="David" w:hAnsi="David" w:cs="David"/>
          <w:highlight w:val="yellow"/>
        </w:rPr>
        <w:footnoteRef/>
      </w:r>
      <w:r w:rsidRPr="00FB4D72">
        <w:rPr>
          <w:rFonts w:ascii="David" w:hAnsi="David" w:cs="David"/>
          <w:highlight w:val="yellow"/>
          <w:rtl/>
        </w:rPr>
        <w:t xml:space="preserve"> סעיף 301 לפני תיקון 137</w:t>
      </w:r>
      <w:r w:rsidR="00AF00A0" w:rsidRPr="00FB4D72">
        <w:rPr>
          <w:rFonts w:ascii="David" w:hAnsi="David" w:cs="David"/>
          <w:highlight w:val="yellow"/>
          <w:rtl/>
        </w:rPr>
        <w:t xml:space="preserve"> – לכתוב לפי הכללים</w:t>
      </w:r>
    </w:p>
  </w:footnote>
  <w:footnote w:id="3">
    <w:p w14:paraId="268CF54A" w14:textId="3772BA9E" w:rsidR="003B57C7" w:rsidRPr="00FB4D72" w:rsidRDefault="003B57C7" w:rsidP="003B57C7">
      <w:pPr>
        <w:pStyle w:val="ae"/>
        <w:rPr>
          <w:rFonts w:ascii="David" w:hAnsi="David" w:cs="David"/>
          <w:highlight w:val="yellow"/>
          <w:rtl/>
        </w:rPr>
      </w:pPr>
      <w:r w:rsidRPr="00FB4D72">
        <w:rPr>
          <w:rStyle w:val="af0"/>
          <w:rFonts w:ascii="David" w:hAnsi="David" w:cs="David"/>
          <w:highlight w:val="yellow"/>
        </w:rPr>
        <w:footnoteRef/>
      </w:r>
      <w:r w:rsidRPr="00FB4D72">
        <w:rPr>
          <w:rFonts w:ascii="David" w:hAnsi="David" w:cs="David"/>
          <w:highlight w:val="yellow"/>
          <w:rtl/>
        </w:rPr>
        <w:t xml:space="preserve"> סעיף 300 לפני תיקון 137</w:t>
      </w:r>
      <w:r w:rsidR="00AF00A0" w:rsidRPr="00FB4D72">
        <w:rPr>
          <w:rFonts w:ascii="David" w:hAnsi="David" w:cs="David"/>
          <w:highlight w:val="yellow"/>
          <w:rtl/>
        </w:rPr>
        <w:t>– לכתוב לפי הכללים</w:t>
      </w:r>
    </w:p>
  </w:footnote>
  <w:footnote w:id="4">
    <w:p w14:paraId="33393F73" w14:textId="476E1185" w:rsidR="003B57C7" w:rsidRPr="005A4C38" w:rsidRDefault="003B57C7">
      <w:pPr>
        <w:pStyle w:val="ae"/>
        <w:rPr>
          <w:rFonts w:ascii="David" w:hAnsi="David" w:cs="David"/>
          <w:rtl/>
        </w:rPr>
      </w:pPr>
      <w:r w:rsidRPr="00FB4D72">
        <w:rPr>
          <w:rStyle w:val="af0"/>
          <w:rFonts w:ascii="David" w:hAnsi="David" w:cs="David"/>
          <w:highlight w:val="yellow"/>
        </w:rPr>
        <w:footnoteRef/>
      </w:r>
      <w:r w:rsidRPr="00FB4D72">
        <w:rPr>
          <w:rFonts w:ascii="David" w:hAnsi="David" w:cs="David"/>
          <w:highlight w:val="yellow"/>
          <w:rtl/>
        </w:rPr>
        <w:t xml:space="preserve"> סעיף 298 לפני תיקון 137</w:t>
      </w:r>
      <w:r w:rsidR="00AF00A0" w:rsidRPr="00FB4D72">
        <w:rPr>
          <w:rFonts w:ascii="David" w:hAnsi="David" w:cs="David"/>
          <w:highlight w:val="yellow"/>
          <w:rtl/>
        </w:rPr>
        <w:t>– לכתוב לפי הכללים</w:t>
      </w:r>
    </w:p>
  </w:footnote>
  <w:footnote w:id="5">
    <w:p w14:paraId="2F9C31CB" w14:textId="55B45BE3" w:rsidR="009F4418" w:rsidRPr="00CC5EF5" w:rsidRDefault="009F4418">
      <w:pPr>
        <w:pStyle w:val="ae"/>
        <w:rPr>
          <w:rFonts w:ascii="David" w:hAnsi="David" w:cs="David"/>
          <w:b/>
          <w:bCs/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492176">
        <w:rPr>
          <w:rFonts w:ascii="David" w:hAnsi="David" w:cs="David" w:hint="cs"/>
          <w:rtl/>
        </w:rPr>
        <w:t xml:space="preserve">תפ"ח (באר שבע) 1172-07 </w:t>
      </w:r>
      <w:r w:rsidR="00492176">
        <w:rPr>
          <w:rFonts w:ascii="David" w:hAnsi="David" w:cs="David" w:hint="cs"/>
          <w:b/>
          <w:bCs/>
          <w:rtl/>
        </w:rPr>
        <w:t xml:space="preserve">מדינת ישראל נ' </w:t>
      </w:r>
      <w:r w:rsidR="00492176" w:rsidRPr="00821D77">
        <w:rPr>
          <w:rFonts w:ascii="David" w:hAnsi="David" w:cs="David" w:hint="cs"/>
          <w:b/>
          <w:bCs/>
          <w:rtl/>
        </w:rPr>
        <w:t>איטל</w:t>
      </w:r>
      <w:r w:rsidR="00492176">
        <w:rPr>
          <w:rFonts w:ascii="David" w:hAnsi="David" w:cs="David" w:hint="cs"/>
          <w:rtl/>
        </w:rPr>
        <w:t xml:space="preserve">, </w:t>
      </w:r>
      <w:r w:rsidR="00492176" w:rsidRPr="00821D77">
        <w:rPr>
          <w:rFonts w:ascii="David" w:hAnsi="David" w:cs="David" w:hint="cs"/>
          <w:rtl/>
        </w:rPr>
        <w:t>פס</w:t>
      </w:r>
      <w:r w:rsidR="00492176">
        <w:rPr>
          <w:rFonts w:ascii="David" w:hAnsi="David" w:cs="David" w:hint="cs"/>
          <w:rtl/>
        </w:rPr>
        <w:t>' 100 לפסק דינה של השופטת יפה-כץ (נבו 23.5.2011)</w:t>
      </w:r>
      <w:r w:rsidR="00492176">
        <w:rPr>
          <w:rFonts w:ascii="David" w:hAnsi="David" w:cs="David"/>
        </w:rPr>
        <w:t>;</w:t>
      </w:r>
      <w:r w:rsidR="00492176">
        <w:rPr>
          <w:rFonts w:ascii="David" w:hAnsi="David" w:cs="David" w:hint="cs"/>
          <w:rtl/>
        </w:rPr>
        <w:t xml:space="preserve"> </w:t>
      </w:r>
      <w:r w:rsidR="00CC5EF5">
        <w:rPr>
          <w:rFonts w:ascii="David" w:hAnsi="David" w:cs="David" w:hint="cs"/>
          <w:rtl/>
        </w:rPr>
        <w:t xml:space="preserve">ע"פ </w:t>
      </w:r>
      <w:r w:rsidR="002B48F9">
        <w:rPr>
          <w:rFonts w:ascii="David" w:hAnsi="David" w:cs="David" w:hint="cs"/>
          <w:rtl/>
        </w:rPr>
        <w:t>2760</w:t>
      </w:r>
      <w:r w:rsidR="00CC5EF5">
        <w:rPr>
          <w:rFonts w:ascii="David" w:hAnsi="David" w:cs="David" w:hint="cs"/>
          <w:rtl/>
        </w:rPr>
        <w:t>/14</w:t>
      </w:r>
      <w:r w:rsidR="002B48F9">
        <w:rPr>
          <w:rFonts w:ascii="David" w:hAnsi="David" w:cs="David" w:hint="cs"/>
          <w:rtl/>
        </w:rPr>
        <w:t xml:space="preserve"> </w:t>
      </w:r>
      <w:r w:rsidR="002B48F9">
        <w:rPr>
          <w:rFonts w:ascii="David" w:hAnsi="David" w:cs="David" w:hint="cs"/>
          <w:b/>
          <w:bCs/>
          <w:rtl/>
        </w:rPr>
        <w:t>אוחיון נ' מדינת ישראל</w:t>
      </w:r>
      <w:r w:rsidR="006A09C3">
        <w:rPr>
          <w:rFonts w:ascii="David" w:hAnsi="David" w:cs="David" w:hint="cs"/>
          <w:rtl/>
        </w:rPr>
        <w:t>,</w:t>
      </w:r>
      <w:r w:rsidR="002B48F9">
        <w:rPr>
          <w:rFonts w:ascii="David" w:hAnsi="David" w:cs="David" w:hint="cs"/>
          <w:rtl/>
        </w:rPr>
        <w:t xml:space="preserve"> </w:t>
      </w:r>
      <w:r w:rsidR="004501C5">
        <w:rPr>
          <w:rFonts w:ascii="David" w:hAnsi="David" w:cs="David" w:hint="cs"/>
          <w:rtl/>
        </w:rPr>
        <w:t xml:space="preserve">פס' </w:t>
      </w:r>
      <w:r w:rsidR="00292FE1">
        <w:rPr>
          <w:rFonts w:ascii="David" w:hAnsi="David" w:cs="David" w:hint="cs"/>
          <w:rtl/>
        </w:rPr>
        <w:t>61</w:t>
      </w:r>
      <w:r w:rsidR="003E6AA5">
        <w:rPr>
          <w:rFonts w:ascii="David" w:hAnsi="David" w:cs="David"/>
          <w:rtl/>
        </w:rPr>
        <w:t>–</w:t>
      </w:r>
      <w:r w:rsidR="00292FE1">
        <w:rPr>
          <w:rFonts w:ascii="David" w:hAnsi="David" w:cs="David" w:hint="cs"/>
          <w:rtl/>
        </w:rPr>
        <w:t>62</w:t>
      </w:r>
      <w:r w:rsidR="004501C5">
        <w:rPr>
          <w:rFonts w:ascii="David" w:hAnsi="David" w:cs="David" w:hint="cs"/>
          <w:rtl/>
        </w:rPr>
        <w:t xml:space="preserve"> לפסק דינה של השופטת </w:t>
      </w:r>
      <w:r w:rsidR="003E6AA5">
        <w:rPr>
          <w:rFonts w:ascii="David" w:hAnsi="David" w:cs="David" w:hint="cs"/>
          <w:rtl/>
        </w:rPr>
        <w:t>ברק-ארז</w:t>
      </w:r>
      <w:r w:rsidR="004501C5">
        <w:rPr>
          <w:rFonts w:ascii="David" w:hAnsi="David" w:cs="David" w:hint="cs"/>
          <w:rtl/>
        </w:rPr>
        <w:t xml:space="preserve"> </w:t>
      </w:r>
      <w:r w:rsidR="003B540D">
        <w:rPr>
          <w:rFonts w:ascii="David" w:hAnsi="David" w:cs="David" w:hint="cs"/>
          <w:rtl/>
        </w:rPr>
        <w:t>(נבו 7.10.2015)</w:t>
      </w:r>
      <w:r w:rsidR="00836B7C">
        <w:rPr>
          <w:rFonts w:ascii="David" w:hAnsi="David" w:cs="David" w:hint="cs"/>
          <w:rtl/>
        </w:rPr>
        <w:t>.</w:t>
      </w:r>
      <w:r w:rsidR="00CC5EF5">
        <w:rPr>
          <w:rFonts w:ascii="David" w:hAnsi="David" w:cs="David" w:hint="cs"/>
          <w:rtl/>
        </w:rPr>
        <w:t xml:space="preserve"> </w:t>
      </w:r>
    </w:p>
  </w:footnote>
  <w:footnote w:id="6">
    <w:p w14:paraId="53E57365" w14:textId="5DCD7517" w:rsidR="004258E4" w:rsidRDefault="004258E4">
      <w:pPr>
        <w:pStyle w:val="ae"/>
        <w:rPr>
          <w:rtl/>
        </w:rPr>
      </w:pPr>
      <w:r>
        <w:rPr>
          <w:rStyle w:val="af0"/>
        </w:rPr>
        <w:footnoteRef/>
      </w:r>
      <w:r>
        <w:rPr>
          <w:rtl/>
        </w:rPr>
        <w:t xml:space="preserve"> </w:t>
      </w:r>
      <w:r w:rsidRPr="004258E4">
        <w:rPr>
          <w:rFonts w:ascii="David" w:hAnsi="David" w:cs="David"/>
          <w:rtl/>
        </w:rPr>
        <w:t xml:space="preserve">שם, </w:t>
      </w:r>
      <w:r>
        <w:rPr>
          <w:rFonts w:ascii="David" w:hAnsi="David" w:cs="David" w:hint="cs"/>
          <w:rtl/>
        </w:rPr>
        <w:t>ב</w:t>
      </w:r>
      <w:r w:rsidRPr="004258E4">
        <w:rPr>
          <w:rFonts w:ascii="David" w:hAnsi="David" w:cs="David"/>
          <w:rtl/>
        </w:rPr>
        <w:t>פס' 60 לפסק דינה של השופטת ברק-ארז</w:t>
      </w:r>
      <w:r w:rsidR="00B10333">
        <w:rPr>
          <w:rFonts w:ascii="David" w:hAnsi="David" w:cs="David"/>
        </w:rPr>
        <w:t>;</w:t>
      </w:r>
      <w:r w:rsidR="00B10333">
        <w:rPr>
          <w:rFonts w:ascii="David" w:hAnsi="David" w:cs="David" w:hint="cs"/>
          <w:rtl/>
        </w:rPr>
        <w:t xml:space="preserve"> ע"פ </w:t>
      </w:r>
      <w:r w:rsidR="001E464C">
        <w:rPr>
          <w:rFonts w:ascii="David" w:hAnsi="David" w:cs="David" w:hint="cs"/>
          <w:rtl/>
        </w:rPr>
        <w:t xml:space="preserve">8328/17 </w:t>
      </w:r>
      <w:r w:rsidR="001E464C">
        <w:rPr>
          <w:rFonts w:ascii="David" w:hAnsi="David" w:cs="David" w:hint="cs"/>
          <w:b/>
          <w:bCs/>
          <w:rtl/>
        </w:rPr>
        <w:t>ג'בר נ' מדינת ישראל</w:t>
      </w:r>
      <w:r w:rsidR="006A09C3">
        <w:rPr>
          <w:rFonts w:ascii="David" w:hAnsi="David" w:cs="David" w:hint="cs"/>
          <w:rtl/>
        </w:rPr>
        <w:t>,</w:t>
      </w:r>
      <w:r w:rsidR="001E464C">
        <w:rPr>
          <w:rFonts w:ascii="David" w:hAnsi="David" w:cs="David" w:hint="cs"/>
          <w:rtl/>
        </w:rPr>
        <w:t xml:space="preserve"> פס' 11 לפסק דינו של השופט הנדל (נבו 28.7.2019)</w:t>
      </w:r>
      <w:r w:rsidRPr="004258E4">
        <w:rPr>
          <w:rFonts w:ascii="David" w:hAnsi="David" w:cs="David"/>
          <w:rtl/>
        </w:rPr>
        <w:t>.</w:t>
      </w:r>
    </w:p>
  </w:footnote>
  <w:footnote w:id="7">
    <w:p w14:paraId="2B6B7E0E" w14:textId="1831B82F" w:rsidR="00DE1B70" w:rsidRDefault="00DE1B70">
      <w:pPr>
        <w:pStyle w:val="ae"/>
        <w:rPr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A4451F">
        <w:rPr>
          <w:rFonts w:ascii="David" w:hAnsi="David" w:cs="David" w:hint="cs"/>
          <w:rtl/>
        </w:rPr>
        <w:t>תפ"ח (באר שבע) 40015-</w:t>
      </w:r>
      <w:r w:rsidR="00510A59">
        <w:rPr>
          <w:rFonts w:ascii="David" w:hAnsi="David" w:cs="David" w:hint="cs"/>
          <w:rtl/>
        </w:rPr>
        <w:t xml:space="preserve">09-10 </w:t>
      </w:r>
      <w:r w:rsidR="00510A59">
        <w:rPr>
          <w:rFonts w:ascii="David" w:hAnsi="David" w:cs="David" w:hint="cs"/>
          <w:b/>
          <w:bCs/>
          <w:rtl/>
        </w:rPr>
        <w:t>מדינת ישראל נ' פלונית</w:t>
      </w:r>
      <w:r w:rsidR="006A09C3">
        <w:rPr>
          <w:rFonts w:ascii="David" w:hAnsi="David" w:cs="David" w:hint="cs"/>
          <w:rtl/>
        </w:rPr>
        <w:t>,</w:t>
      </w:r>
      <w:r w:rsidR="00510A59">
        <w:rPr>
          <w:rFonts w:ascii="David" w:hAnsi="David" w:cs="David" w:hint="cs"/>
          <w:rtl/>
        </w:rPr>
        <w:t xml:space="preserve"> פס'</w:t>
      </w:r>
      <w:r w:rsidR="00CF5C74">
        <w:rPr>
          <w:rFonts w:ascii="David" w:hAnsi="David" w:cs="David" w:hint="cs"/>
          <w:rtl/>
        </w:rPr>
        <w:t xml:space="preserve"> </w:t>
      </w:r>
      <w:r w:rsidR="00BD2819">
        <w:rPr>
          <w:rFonts w:ascii="David" w:hAnsi="David" w:cs="David" w:hint="cs"/>
          <w:rtl/>
        </w:rPr>
        <w:t>12, 7 לפסק דינה של השופט</w:t>
      </w:r>
      <w:r w:rsidR="00115A09">
        <w:rPr>
          <w:rFonts w:ascii="David" w:hAnsi="David" w:cs="David" w:hint="cs"/>
          <w:rtl/>
        </w:rPr>
        <w:t>ת יפה-כץ (נבו 30.1.2012)</w:t>
      </w:r>
      <w:r w:rsidR="00836B7C">
        <w:rPr>
          <w:rFonts w:hint="cs"/>
          <w:rtl/>
        </w:rPr>
        <w:t>.</w:t>
      </w:r>
    </w:p>
  </w:footnote>
  <w:footnote w:id="8">
    <w:p w14:paraId="65DF0A42" w14:textId="11C4D8A1" w:rsidR="00B26AE2" w:rsidRPr="00F5710A" w:rsidRDefault="00B26AE2">
      <w:pPr>
        <w:pStyle w:val="ae"/>
        <w:rPr>
          <w:rFonts w:ascii="David" w:hAnsi="David" w:cs="David"/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323098">
        <w:rPr>
          <w:rFonts w:ascii="David" w:hAnsi="David" w:cs="David" w:hint="cs"/>
          <w:rtl/>
        </w:rPr>
        <w:t xml:space="preserve">ת"פ (באר שבע) </w:t>
      </w:r>
      <w:r w:rsidR="00021FB3">
        <w:rPr>
          <w:rFonts w:ascii="David" w:hAnsi="David" w:cs="David" w:hint="cs"/>
          <w:rtl/>
        </w:rPr>
        <w:t xml:space="preserve">27212-01-21 </w:t>
      </w:r>
      <w:r w:rsidR="00021FB3">
        <w:rPr>
          <w:rFonts w:ascii="David" w:hAnsi="David" w:cs="David" w:hint="cs"/>
          <w:b/>
          <w:bCs/>
          <w:rtl/>
        </w:rPr>
        <w:t>מדינת ישראל נ' שיף</w:t>
      </w:r>
      <w:r w:rsidR="00AD36A8">
        <w:rPr>
          <w:rFonts w:ascii="David" w:hAnsi="David" w:cs="David" w:hint="cs"/>
          <w:rtl/>
        </w:rPr>
        <w:t xml:space="preserve">, </w:t>
      </w:r>
      <w:r w:rsidR="00F5710A">
        <w:rPr>
          <w:rFonts w:ascii="David" w:hAnsi="David" w:cs="David" w:hint="cs"/>
          <w:rtl/>
        </w:rPr>
        <w:t xml:space="preserve">14 (נבו </w:t>
      </w:r>
      <w:r w:rsidR="008520D6">
        <w:rPr>
          <w:rFonts w:ascii="David" w:hAnsi="David" w:cs="David" w:hint="cs"/>
          <w:rtl/>
        </w:rPr>
        <w:t xml:space="preserve">9.11.2021). </w:t>
      </w:r>
    </w:p>
  </w:footnote>
  <w:footnote w:id="9">
    <w:p w14:paraId="5666074F" w14:textId="2C00FF7E" w:rsidR="00B26AE2" w:rsidRPr="00110CB6" w:rsidRDefault="00B26AE2">
      <w:pPr>
        <w:pStyle w:val="ae"/>
        <w:rPr>
          <w:rFonts w:ascii="David" w:hAnsi="David" w:cs="David"/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110CB6">
        <w:rPr>
          <w:rFonts w:ascii="David" w:hAnsi="David" w:cs="David" w:hint="cs"/>
          <w:rtl/>
        </w:rPr>
        <w:t xml:space="preserve">שם. </w:t>
      </w:r>
    </w:p>
  </w:footnote>
  <w:footnote w:id="10">
    <w:p w14:paraId="1CA7A42C" w14:textId="79BBD7CD" w:rsidR="00890E95" w:rsidRPr="000B1BE4" w:rsidRDefault="00890E95">
      <w:pPr>
        <w:pStyle w:val="ae"/>
        <w:rPr>
          <w:rFonts w:ascii="David" w:hAnsi="David" w:cs="David"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CE742F">
        <w:rPr>
          <w:rFonts w:ascii="David" w:hAnsi="David" w:cs="David" w:hint="cs"/>
          <w:rtl/>
        </w:rPr>
        <w:t xml:space="preserve">פרשת </w:t>
      </w:r>
      <w:r w:rsidR="000B1BE4" w:rsidRPr="00CE742F">
        <w:rPr>
          <w:rFonts w:ascii="David" w:hAnsi="David" w:cs="David" w:hint="cs"/>
          <w:b/>
          <w:bCs/>
          <w:rtl/>
        </w:rPr>
        <w:t>ג'בר</w:t>
      </w:r>
      <w:r w:rsidR="000B1BE4">
        <w:rPr>
          <w:rFonts w:ascii="David" w:hAnsi="David" w:cs="David" w:hint="cs"/>
          <w:rtl/>
        </w:rPr>
        <w:t xml:space="preserve">, לעיל ה"ש 6, </w:t>
      </w:r>
      <w:r w:rsidR="00ED5E26">
        <w:rPr>
          <w:rFonts w:ascii="David" w:hAnsi="David" w:cs="David" w:hint="cs"/>
          <w:rtl/>
        </w:rPr>
        <w:t xml:space="preserve">בפס' </w:t>
      </w:r>
      <w:r w:rsidR="00F21BFA">
        <w:rPr>
          <w:rFonts w:ascii="David" w:hAnsi="David" w:cs="David" w:hint="cs"/>
          <w:rtl/>
        </w:rPr>
        <w:t>11 לפסק דינו של השופט הנדל</w:t>
      </w:r>
      <w:r w:rsidR="00B45342">
        <w:rPr>
          <w:rFonts w:ascii="David" w:hAnsi="David" w:cs="David" w:hint="cs"/>
          <w:rtl/>
        </w:rPr>
        <w:t xml:space="preserve">. </w:t>
      </w:r>
    </w:p>
  </w:footnote>
  <w:footnote w:id="11">
    <w:p w14:paraId="6C26CF77" w14:textId="26230C41" w:rsidR="00890E95" w:rsidRPr="005A4C38" w:rsidRDefault="00890E95">
      <w:pPr>
        <w:pStyle w:val="ae"/>
        <w:rPr>
          <w:rFonts w:ascii="David" w:hAnsi="David" w:cs="David"/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D918C9">
        <w:rPr>
          <w:rFonts w:ascii="David" w:hAnsi="David" w:cs="David" w:hint="cs"/>
          <w:rtl/>
        </w:rPr>
        <w:t xml:space="preserve">פרשת </w:t>
      </w:r>
      <w:r w:rsidR="00D918C9" w:rsidRPr="00693C27">
        <w:rPr>
          <w:rFonts w:ascii="David" w:hAnsi="David" w:cs="David" w:hint="cs"/>
          <w:b/>
          <w:bCs/>
          <w:rtl/>
        </w:rPr>
        <w:t>אוחיון</w:t>
      </w:r>
      <w:r w:rsidR="00D918C9">
        <w:rPr>
          <w:rFonts w:ascii="David" w:hAnsi="David" w:cs="David" w:hint="cs"/>
          <w:rtl/>
        </w:rPr>
        <w:t xml:space="preserve">, לעיל ה"ש 5, </w:t>
      </w:r>
      <w:r w:rsidR="00693C27">
        <w:rPr>
          <w:rFonts w:ascii="David" w:hAnsi="David" w:cs="David" w:hint="cs"/>
          <w:rtl/>
        </w:rPr>
        <w:t>ב</w:t>
      </w:r>
      <w:r w:rsidR="00D918C9" w:rsidRPr="00D918C9">
        <w:rPr>
          <w:rFonts w:ascii="David" w:hAnsi="David" w:cs="David" w:hint="cs"/>
          <w:rtl/>
        </w:rPr>
        <w:t>פס'</w:t>
      </w:r>
      <w:r w:rsidR="00D918C9">
        <w:rPr>
          <w:rFonts w:ascii="David" w:hAnsi="David" w:cs="David" w:hint="cs"/>
          <w:rtl/>
        </w:rPr>
        <w:t xml:space="preserve"> 21</w:t>
      </w:r>
      <w:r w:rsidR="00693C27">
        <w:rPr>
          <w:rFonts w:ascii="David" w:hAnsi="David" w:cs="David" w:hint="cs"/>
          <w:rtl/>
        </w:rPr>
        <w:t xml:space="preserve"> לפסק דינה של השופטת ברק-ארז. </w:t>
      </w:r>
    </w:p>
  </w:footnote>
  <w:footnote w:id="12">
    <w:p w14:paraId="7FF6ED96" w14:textId="36FD5974" w:rsidR="00F33B45" w:rsidRPr="00D47E64" w:rsidRDefault="00F33B45">
      <w:pPr>
        <w:pStyle w:val="ae"/>
        <w:rPr>
          <w:rFonts w:ascii="David" w:hAnsi="David" w:cs="David"/>
          <w:rtl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D47E64">
        <w:rPr>
          <w:rFonts w:ascii="David" w:hAnsi="David" w:cs="David" w:hint="cs"/>
          <w:rtl/>
        </w:rPr>
        <w:t xml:space="preserve">פרשת </w:t>
      </w:r>
      <w:r w:rsidR="00D47E64">
        <w:rPr>
          <w:rFonts w:ascii="David" w:hAnsi="David" w:cs="David" w:hint="cs"/>
          <w:b/>
          <w:bCs/>
          <w:rtl/>
        </w:rPr>
        <w:t>ג'בר</w:t>
      </w:r>
      <w:r w:rsidR="00D47E64">
        <w:rPr>
          <w:rFonts w:ascii="David" w:hAnsi="David" w:cs="David" w:hint="cs"/>
          <w:rtl/>
        </w:rPr>
        <w:t>, לעיל ה"ש 6, בפס' 11 לפסק דינו של השופט הנדל.</w:t>
      </w:r>
    </w:p>
  </w:footnote>
  <w:footnote w:id="13">
    <w:p w14:paraId="13BB7AC6" w14:textId="7A0CD8E8" w:rsidR="00F33B45" w:rsidRPr="00331DFC" w:rsidRDefault="00F33B45">
      <w:pPr>
        <w:pStyle w:val="ae"/>
        <w:rPr>
          <w:rFonts w:ascii="David" w:hAnsi="David" w:cs="David"/>
        </w:rPr>
      </w:pPr>
      <w:r w:rsidRPr="005A4C38">
        <w:rPr>
          <w:rStyle w:val="af0"/>
          <w:rFonts w:ascii="David" w:hAnsi="David" w:cs="David"/>
        </w:rPr>
        <w:footnoteRef/>
      </w:r>
      <w:r w:rsidRPr="005A4C38">
        <w:rPr>
          <w:rFonts w:ascii="David" w:hAnsi="David" w:cs="David"/>
          <w:rtl/>
        </w:rPr>
        <w:t xml:space="preserve"> </w:t>
      </w:r>
      <w:r w:rsidR="00137657">
        <w:rPr>
          <w:rFonts w:ascii="David" w:hAnsi="David" w:cs="David" w:hint="cs"/>
          <w:rtl/>
        </w:rPr>
        <w:t xml:space="preserve">ע"פ </w:t>
      </w:r>
      <w:r w:rsidR="006E24D6">
        <w:rPr>
          <w:rFonts w:ascii="David" w:hAnsi="David" w:cs="David" w:hint="cs"/>
          <w:rtl/>
        </w:rPr>
        <w:t xml:space="preserve">746/14 </w:t>
      </w:r>
      <w:r w:rsidR="00137458">
        <w:rPr>
          <w:rFonts w:ascii="David" w:hAnsi="David" w:cs="David" w:hint="cs"/>
          <w:b/>
          <w:bCs/>
          <w:rtl/>
        </w:rPr>
        <w:t>היילו</w:t>
      </w:r>
      <w:r w:rsidR="006E24D6">
        <w:rPr>
          <w:rFonts w:ascii="David" w:hAnsi="David" w:cs="David" w:hint="cs"/>
          <w:b/>
          <w:bCs/>
          <w:rtl/>
        </w:rPr>
        <w:t xml:space="preserve"> נ' מדינת </w:t>
      </w:r>
      <w:r w:rsidR="006E24D6" w:rsidRPr="00331DFC">
        <w:rPr>
          <w:rFonts w:ascii="David" w:hAnsi="David" w:cs="David"/>
          <w:b/>
          <w:bCs/>
          <w:rtl/>
        </w:rPr>
        <w:t>ישראל</w:t>
      </w:r>
      <w:r w:rsidR="006A09C3" w:rsidRPr="00331DFC">
        <w:rPr>
          <w:rFonts w:ascii="David" w:hAnsi="David" w:cs="David"/>
          <w:rtl/>
        </w:rPr>
        <w:t>,</w:t>
      </w:r>
      <w:r w:rsidR="00137458" w:rsidRPr="00331DFC">
        <w:rPr>
          <w:rFonts w:ascii="David" w:hAnsi="David" w:cs="David"/>
          <w:rtl/>
        </w:rPr>
        <w:t xml:space="preserve"> </w:t>
      </w:r>
      <w:r w:rsidR="00986D84" w:rsidRPr="00331DFC">
        <w:rPr>
          <w:rFonts w:ascii="David" w:hAnsi="David" w:cs="David"/>
          <w:rtl/>
        </w:rPr>
        <w:t>פס' 73 לפסק דינו של השופט מלצר</w:t>
      </w:r>
      <w:r w:rsidR="005134DF" w:rsidRPr="00331DFC">
        <w:rPr>
          <w:rFonts w:ascii="David" w:hAnsi="David" w:cs="David"/>
          <w:rtl/>
        </w:rPr>
        <w:t xml:space="preserve"> (נבו 31.5.2016). </w:t>
      </w:r>
    </w:p>
  </w:footnote>
  <w:footnote w:id="14">
    <w:p w14:paraId="2856D725" w14:textId="095D7142" w:rsidR="00B40B9A" w:rsidRPr="00331DFC" w:rsidRDefault="00B40B9A">
      <w:pPr>
        <w:pStyle w:val="ae"/>
        <w:rPr>
          <w:rFonts w:ascii="David" w:hAnsi="David" w:cs="David"/>
          <w:rtl/>
        </w:rPr>
      </w:pPr>
      <w:r w:rsidRPr="00331DFC">
        <w:rPr>
          <w:rStyle w:val="af0"/>
          <w:rFonts w:ascii="David" w:hAnsi="David" w:cs="David"/>
        </w:rPr>
        <w:footnoteRef/>
      </w:r>
      <w:r w:rsidRPr="00331DFC">
        <w:rPr>
          <w:rFonts w:ascii="David" w:hAnsi="David" w:cs="David"/>
          <w:rtl/>
        </w:rPr>
        <w:t xml:space="preserve"> </w:t>
      </w:r>
      <w:r w:rsidR="00850903" w:rsidRPr="00331DFC">
        <w:rPr>
          <w:rFonts w:ascii="David" w:hAnsi="David" w:cs="David"/>
          <w:rtl/>
        </w:rPr>
        <w:t xml:space="preserve">פרשת </w:t>
      </w:r>
      <w:r w:rsidR="00850903" w:rsidRPr="00331DFC">
        <w:rPr>
          <w:rFonts w:ascii="David" w:hAnsi="David" w:cs="David"/>
          <w:b/>
          <w:bCs/>
          <w:rtl/>
        </w:rPr>
        <w:t>אוחיון</w:t>
      </w:r>
      <w:r w:rsidR="00850903" w:rsidRPr="00331DFC">
        <w:rPr>
          <w:rFonts w:ascii="David" w:hAnsi="David" w:cs="David"/>
          <w:rtl/>
        </w:rPr>
        <w:t>, לעיל ה"ש 5, בפס'</w:t>
      </w:r>
      <w:r w:rsidR="00850903">
        <w:rPr>
          <w:rFonts w:ascii="David" w:hAnsi="David" w:cs="David" w:hint="cs"/>
          <w:rtl/>
        </w:rPr>
        <w:t xml:space="preserve"> 67</w:t>
      </w:r>
      <w:r w:rsidR="00850903">
        <w:rPr>
          <w:rFonts w:ascii="David" w:hAnsi="David" w:cs="David"/>
          <w:rtl/>
        </w:rPr>
        <w:t>–</w:t>
      </w:r>
      <w:r w:rsidR="00850903">
        <w:rPr>
          <w:rFonts w:ascii="David" w:hAnsi="David" w:cs="David" w:hint="cs"/>
          <w:rtl/>
        </w:rPr>
        <w:t>68</w:t>
      </w:r>
      <w:r w:rsidR="00850903">
        <w:rPr>
          <w:rFonts w:ascii="David" w:hAnsi="David" w:cs="David" w:hint="cs"/>
          <w:rtl/>
        </w:rPr>
        <w:t xml:space="preserve"> </w:t>
      </w:r>
      <w:r w:rsidR="00850903" w:rsidRPr="00331DFC">
        <w:rPr>
          <w:rFonts w:ascii="David" w:hAnsi="David" w:cs="David"/>
          <w:rtl/>
        </w:rPr>
        <w:t>לפסק דינה של השופטת ברק-ארז.</w:t>
      </w:r>
    </w:p>
  </w:footnote>
  <w:footnote w:id="15">
    <w:p w14:paraId="271C8D73" w14:textId="1CE41D5B" w:rsidR="006D1EA8" w:rsidRPr="00331DFC" w:rsidRDefault="006D1EA8">
      <w:pPr>
        <w:pStyle w:val="ae"/>
        <w:rPr>
          <w:rFonts w:ascii="David" w:hAnsi="David" w:cs="David"/>
          <w:rtl/>
        </w:rPr>
      </w:pPr>
      <w:r w:rsidRPr="00331DFC">
        <w:rPr>
          <w:rStyle w:val="af0"/>
          <w:rFonts w:ascii="David" w:hAnsi="David" w:cs="David"/>
        </w:rPr>
        <w:footnoteRef/>
      </w:r>
      <w:r w:rsidRPr="00331DFC">
        <w:rPr>
          <w:rFonts w:ascii="David" w:hAnsi="David" w:cs="David"/>
          <w:rtl/>
        </w:rPr>
        <w:t xml:space="preserve"> </w:t>
      </w:r>
      <w:r w:rsidR="001D4942" w:rsidRPr="00331DFC">
        <w:rPr>
          <w:rFonts w:ascii="David" w:hAnsi="David" w:cs="David"/>
          <w:rtl/>
        </w:rPr>
        <w:t xml:space="preserve">פרשת </w:t>
      </w:r>
      <w:r w:rsidR="001D4942" w:rsidRPr="00331DFC">
        <w:rPr>
          <w:rFonts w:ascii="David" w:hAnsi="David" w:cs="David"/>
          <w:b/>
          <w:bCs/>
          <w:rtl/>
        </w:rPr>
        <w:t>שיף</w:t>
      </w:r>
      <w:r w:rsidR="001D4942" w:rsidRPr="00331DFC">
        <w:rPr>
          <w:rFonts w:ascii="David" w:hAnsi="David" w:cs="David"/>
          <w:rtl/>
        </w:rPr>
        <w:t xml:space="preserve">, לעיל ה"ש 8, בעמ' 8. </w:t>
      </w:r>
    </w:p>
  </w:footnote>
  <w:footnote w:id="16">
    <w:p w14:paraId="3D798A78" w14:textId="4E6F1ADF" w:rsidR="006D37DD" w:rsidRPr="00331DFC" w:rsidRDefault="006D37DD">
      <w:pPr>
        <w:pStyle w:val="ae"/>
        <w:rPr>
          <w:rFonts w:ascii="David" w:hAnsi="David" w:cs="David" w:hint="cs"/>
          <w:rtl/>
        </w:rPr>
      </w:pPr>
      <w:r w:rsidRPr="00331DFC">
        <w:rPr>
          <w:rStyle w:val="af0"/>
          <w:rFonts w:ascii="David" w:hAnsi="David" w:cs="David"/>
        </w:rPr>
        <w:footnoteRef/>
      </w:r>
      <w:r w:rsidR="00E714EE" w:rsidRPr="00331DFC">
        <w:rPr>
          <w:rFonts w:ascii="David" w:hAnsi="David" w:cs="David"/>
        </w:rPr>
        <w:t xml:space="preserve"> </w:t>
      </w:r>
      <w:r w:rsidR="000542B1">
        <w:rPr>
          <w:rFonts w:ascii="David" w:hAnsi="David" w:cs="David" w:hint="cs"/>
          <w:rtl/>
        </w:rPr>
        <w:t xml:space="preserve">פרשת </w:t>
      </w:r>
      <w:r w:rsidR="00433BDE" w:rsidRPr="00433BDE">
        <w:rPr>
          <w:rFonts w:ascii="David" w:hAnsi="David" w:cs="David" w:hint="cs"/>
          <w:b/>
          <w:bCs/>
          <w:rtl/>
        </w:rPr>
        <w:t>פלונית</w:t>
      </w:r>
      <w:r w:rsidR="00433BDE">
        <w:rPr>
          <w:rFonts w:ascii="David" w:hAnsi="David" w:cs="David" w:hint="cs"/>
          <w:rtl/>
        </w:rPr>
        <w:t>, לעיל ה"ש 7, ב</w:t>
      </w:r>
      <w:r w:rsidR="003944B3" w:rsidRPr="00433BDE">
        <w:rPr>
          <w:rFonts w:ascii="David" w:hAnsi="David" w:cs="David" w:hint="cs"/>
          <w:rtl/>
        </w:rPr>
        <w:t>פס</w:t>
      </w:r>
      <w:r w:rsidR="00433BDE">
        <w:rPr>
          <w:rFonts w:ascii="David" w:hAnsi="David" w:cs="David" w:hint="cs"/>
          <w:rtl/>
        </w:rPr>
        <w:t>'</w:t>
      </w:r>
      <w:r w:rsidR="003944B3">
        <w:rPr>
          <w:rFonts w:ascii="David" w:hAnsi="David" w:cs="David" w:hint="cs"/>
          <w:rtl/>
        </w:rPr>
        <w:t xml:space="preserve"> 10</w:t>
      </w:r>
      <w:r w:rsidR="009B20EC">
        <w:rPr>
          <w:rFonts w:ascii="David" w:hAnsi="David" w:cs="David" w:hint="cs"/>
          <w:rtl/>
        </w:rPr>
        <w:t xml:space="preserve"> לפסק דינה של השופטת יפה-כץ</w:t>
      </w:r>
      <w:r w:rsidR="005106A4">
        <w:rPr>
          <w:rFonts w:ascii="David" w:hAnsi="David" w:cs="David"/>
        </w:rPr>
        <w:t>;</w:t>
      </w:r>
      <w:r w:rsidR="005106A4">
        <w:rPr>
          <w:rFonts w:ascii="David" w:hAnsi="David" w:cs="David" w:hint="cs"/>
          <w:rtl/>
        </w:rPr>
        <w:t xml:space="preserve"> </w:t>
      </w:r>
      <w:r w:rsidR="005106A4" w:rsidRPr="00F761CD">
        <w:rPr>
          <w:rFonts w:ascii="David" w:hAnsi="David" w:cs="David"/>
          <w:rtl/>
        </w:rPr>
        <w:t xml:space="preserve">פרשת </w:t>
      </w:r>
      <w:r w:rsidR="005106A4" w:rsidRPr="00F761CD">
        <w:rPr>
          <w:rFonts w:ascii="David" w:hAnsi="David" w:cs="David"/>
          <w:b/>
          <w:bCs/>
          <w:rtl/>
        </w:rPr>
        <w:t>שיף</w:t>
      </w:r>
      <w:r w:rsidR="005106A4" w:rsidRPr="00F761CD">
        <w:rPr>
          <w:rFonts w:ascii="David" w:hAnsi="David" w:cs="David"/>
          <w:rtl/>
        </w:rPr>
        <w:t>, לעיל ה"ש 8, בעמ</w:t>
      </w:r>
      <w:r w:rsidR="005106A4">
        <w:rPr>
          <w:rFonts w:ascii="David" w:hAnsi="David" w:cs="David" w:hint="cs"/>
          <w:rtl/>
        </w:rPr>
        <w:t xml:space="preserve">' 12. </w:t>
      </w:r>
    </w:p>
  </w:footnote>
  <w:footnote w:id="17">
    <w:p w14:paraId="78F653BF" w14:textId="7262697E" w:rsidR="006D1EA8" w:rsidRPr="00331DFC" w:rsidRDefault="006D1EA8">
      <w:pPr>
        <w:pStyle w:val="ae"/>
        <w:rPr>
          <w:rFonts w:ascii="David" w:hAnsi="David" w:cs="David"/>
          <w:rtl/>
        </w:rPr>
      </w:pPr>
      <w:r w:rsidRPr="00331DFC">
        <w:rPr>
          <w:rStyle w:val="af0"/>
          <w:rFonts w:ascii="David" w:hAnsi="David" w:cs="David"/>
        </w:rPr>
        <w:footnoteRef/>
      </w:r>
      <w:r w:rsidRPr="00331DFC">
        <w:rPr>
          <w:rFonts w:ascii="David" w:hAnsi="David" w:cs="David"/>
          <w:rtl/>
        </w:rPr>
        <w:t xml:space="preserve"> </w:t>
      </w:r>
      <w:r w:rsidR="00115381" w:rsidRPr="00331DFC">
        <w:rPr>
          <w:rFonts w:ascii="David" w:hAnsi="David" w:cs="David"/>
          <w:rtl/>
        </w:rPr>
        <w:t xml:space="preserve">פרשת </w:t>
      </w:r>
      <w:r w:rsidR="00115381" w:rsidRPr="00331DFC">
        <w:rPr>
          <w:rFonts w:ascii="David" w:hAnsi="David" w:cs="David"/>
          <w:b/>
          <w:bCs/>
          <w:rtl/>
        </w:rPr>
        <w:t>אוחיון</w:t>
      </w:r>
      <w:r w:rsidR="00115381" w:rsidRPr="00331DFC">
        <w:rPr>
          <w:rFonts w:ascii="David" w:hAnsi="David" w:cs="David"/>
          <w:rtl/>
        </w:rPr>
        <w:t xml:space="preserve">, לעיל ה"ש 5, בפס' </w:t>
      </w:r>
      <w:r w:rsidR="002B46A6">
        <w:rPr>
          <w:rFonts w:ascii="David" w:hAnsi="David" w:cs="David" w:hint="cs"/>
          <w:rtl/>
        </w:rPr>
        <w:t>40, 43</w:t>
      </w:r>
      <w:r w:rsidR="00850903">
        <w:rPr>
          <w:rFonts w:ascii="David" w:hAnsi="David" w:cs="David"/>
          <w:rtl/>
        </w:rPr>
        <w:t>–</w:t>
      </w:r>
      <w:r w:rsidR="002B46A6">
        <w:rPr>
          <w:rFonts w:ascii="David" w:hAnsi="David" w:cs="David" w:hint="cs"/>
          <w:rtl/>
        </w:rPr>
        <w:t xml:space="preserve">44 </w:t>
      </w:r>
      <w:r w:rsidR="00115381" w:rsidRPr="00331DFC">
        <w:rPr>
          <w:rFonts w:ascii="David" w:hAnsi="David" w:cs="David"/>
          <w:rtl/>
        </w:rPr>
        <w:t>לפסק דינה של השופטת ברק-ארז.</w:t>
      </w:r>
    </w:p>
  </w:footnote>
  <w:footnote w:id="18">
    <w:p w14:paraId="386594F8" w14:textId="1766AD43" w:rsidR="00305467" w:rsidRPr="00F761CD" w:rsidRDefault="00305467">
      <w:pPr>
        <w:pStyle w:val="ae"/>
        <w:rPr>
          <w:rFonts w:ascii="David" w:hAnsi="David" w:cs="David"/>
          <w:rtl/>
        </w:rPr>
      </w:pPr>
      <w:r w:rsidRPr="00F761CD">
        <w:rPr>
          <w:rStyle w:val="af0"/>
          <w:rFonts w:ascii="David" w:hAnsi="David" w:cs="David"/>
        </w:rPr>
        <w:footnoteRef/>
      </w:r>
      <w:r w:rsidRPr="00F761CD">
        <w:rPr>
          <w:rFonts w:ascii="David" w:hAnsi="David" w:cs="David"/>
          <w:rtl/>
        </w:rPr>
        <w:t xml:space="preserve"> </w:t>
      </w:r>
      <w:r w:rsidR="00BF6F26" w:rsidRPr="00F761CD">
        <w:rPr>
          <w:rFonts w:ascii="David" w:hAnsi="David" w:cs="David"/>
          <w:rtl/>
        </w:rPr>
        <w:t xml:space="preserve">פרשת </w:t>
      </w:r>
      <w:r w:rsidR="00BF6F26" w:rsidRPr="00F761CD">
        <w:rPr>
          <w:rFonts w:ascii="David" w:hAnsi="David" w:cs="David"/>
          <w:b/>
          <w:bCs/>
          <w:rtl/>
        </w:rPr>
        <w:t>שיף</w:t>
      </w:r>
      <w:r w:rsidR="00BF6F26" w:rsidRPr="00F761CD">
        <w:rPr>
          <w:rFonts w:ascii="David" w:hAnsi="David" w:cs="David"/>
          <w:rtl/>
        </w:rPr>
        <w:t xml:space="preserve">, לעיל ה"ש 8, </w:t>
      </w:r>
      <w:r w:rsidR="00F761CD" w:rsidRPr="00F761CD">
        <w:rPr>
          <w:rFonts w:ascii="David" w:hAnsi="David" w:cs="David"/>
          <w:rtl/>
        </w:rPr>
        <w:t>בעמ</w:t>
      </w:r>
      <w:r w:rsidR="005106A4">
        <w:rPr>
          <w:rFonts w:ascii="David" w:hAnsi="David" w:cs="David" w:hint="cs"/>
          <w:rtl/>
        </w:rPr>
        <w:t>'</w:t>
      </w:r>
      <w:r w:rsidR="00F761CD" w:rsidRPr="00F761CD">
        <w:rPr>
          <w:rFonts w:ascii="David" w:hAnsi="David" w:cs="David"/>
          <w:rtl/>
        </w:rPr>
        <w:t xml:space="preserve"> 11</w:t>
      </w:r>
      <w:r w:rsidR="00F761CD">
        <w:rPr>
          <w:rFonts w:ascii="David" w:hAnsi="David" w:cs="David"/>
          <w:rtl/>
        </w:rPr>
        <w:t>–</w:t>
      </w:r>
      <w:r w:rsidR="00F761CD" w:rsidRPr="00F761CD">
        <w:rPr>
          <w:rFonts w:ascii="David" w:hAnsi="David" w:cs="David"/>
          <w:rtl/>
        </w:rPr>
        <w:t xml:space="preserve">12. </w:t>
      </w:r>
    </w:p>
  </w:footnote>
  <w:footnote w:id="19">
    <w:p w14:paraId="6CC8A302" w14:textId="3EDF9E0C" w:rsidR="00691570" w:rsidRPr="00854DC6" w:rsidRDefault="00691570">
      <w:pPr>
        <w:pStyle w:val="ae"/>
        <w:rPr>
          <w:rFonts w:ascii="David" w:hAnsi="David" w:cs="David"/>
        </w:rPr>
      </w:pPr>
      <w:r w:rsidRPr="00854DC6">
        <w:rPr>
          <w:rStyle w:val="af0"/>
          <w:rFonts w:ascii="David" w:hAnsi="David" w:cs="David"/>
        </w:rPr>
        <w:footnoteRef/>
      </w:r>
      <w:r w:rsidRPr="00854DC6">
        <w:rPr>
          <w:rFonts w:ascii="David" w:hAnsi="David" w:cs="David"/>
          <w:rtl/>
        </w:rPr>
        <w:t xml:space="preserve"> </w:t>
      </w:r>
      <w:r w:rsidR="00F34A36" w:rsidRPr="00854DC6">
        <w:rPr>
          <w:rFonts w:ascii="David" w:hAnsi="David" w:cs="David"/>
          <w:rtl/>
        </w:rPr>
        <w:t xml:space="preserve">ס' 345 </w:t>
      </w:r>
      <w:r w:rsidR="00854DC6" w:rsidRPr="00854DC6">
        <w:rPr>
          <w:rFonts w:ascii="David" w:hAnsi="David" w:cs="David"/>
          <w:rtl/>
        </w:rPr>
        <w:t xml:space="preserve">לחוק העונשין, התשל"ז-1977. </w:t>
      </w:r>
    </w:p>
  </w:footnote>
  <w:footnote w:id="20">
    <w:p w14:paraId="5643B171" w14:textId="758DB336" w:rsidR="00691570" w:rsidRPr="00EE383F" w:rsidRDefault="00691570">
      <w:pPr>
        <w:pStyle w:val="ae"/>
        <w:rPr>
          <w:rFonts w:ascii="David" w:hAnsi="David" w:cs="David"/>
          <w:rtl/>
        </w:rPr>
      </w:pPr>
      <w:r w:rsidRPr="00EE383F">
        <w:rPr>
          <w:rStyle w:val="af0"/>
          <w:rFonts w:ascii="David" w:hAnsi="David" w:cs="David"/>
        </w:rPr>
        <w:footnoteRef/>
      </w:r>
      <w:r w:rsidRPr="00EE383F">
        <w:rPr>
          <w:rFonts w:ascii="David" w:hAnsi="David" w:cs="David"/>
          <w:rtl/>
        </w:rPr>
        <w:t xml:space="preserve"> </w:t>
      </w:r>
      <w:r w:rsidR="00242FCF" w:rsidRPr="00EE383F">
        <w:rPr>
          <w:rFonts w:ascii="David" w:hAnsi="David" w:cs="David"/>
          <w:rtl/>
        </w:rPr>
        <w:t xml:space="preserve">תפ"ח </w:t>
      </w:r>
      <w:r w:rsidR="00B834DF" w:rsidRPr="00EE383F">
        <w:rPr>
          <w:rFonts w:ascii="David" w:hAnsi="David" w:cs="David"/>
          <w:rtl/>
        </w:rPr>
        <w:t xml:space="preserve">(באר שבע) 54701-11-17 </w:t>
      </w:r>
      <w:r w:rsidR="00B834DF" w:rsidRPr="00EE383F">
        <w:rPr>
          <w:rFonts w:ascii="David" w:hAnsi="David" w:cs="David"/>
          <w:b/>
          <w:bCs/>
          <w:rtl/>
        </w:rPr>
        <w:t>מדינת ישראל נ' פלוני</w:t>
      </w:r>
      <w:r w:rsidR="00B834DF" w:rsidRPr="00EE383F">
        <w:rPr>
          <w:rFonts w:ascii="David" w:hAnsi="David" w:cs="David"/>
          <w:rtl/>
        </w:rPr>
        <w:t xml:space="preserve"> </w:t>
      </w:r>
      <w:r w:rsidR="00EE383F" w:rsidRPr="00EE383F">
        <w:rPr>
          <w:rFonts w:ascii="David" w:hAnsi="David" w:cs="David"/>
          <w:rtl/>
        </w:rPr>
        <w:t>67</w:t>
      </w:r>
      <w:r w:rsidR="00B834DF" w:rsidRPr="00EE383F">
        <w:rPr>
          <w:rFonts w:ascii="David" w:hAnsi="David" w:cs="David"/>
          <w:rtl/>
        </w:rPr>
        <w:t xml:space="preserve"> (נבו 18.9.2020).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nen Ben Meir">
    <w15:presenceInfo w15:providerId="AD" w15:userId="S::ronenbm@promall.co.il::3af6b305-5ffa-4b6e-bbeb-c2018cb51e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EC"/>
    <w:rsid w:val="00002BBA"/>
    <w:rsid w:val="00003B15"/>
    <w:rsid w:val="00010039"/>
    <w:rsid w:val="00011843"/>
    <w:rsid w:val="00012D6C"/>
    <w:rsid w:val="00012ECD"/>
    <w:rsid w:val="00017B14"/>
    <w:rsid w:val="0002088F"/>
    <w:rsid w:val="00021FB3"/>
    <w:rsid w:val="00026423"/>
    <w:rsid w:val="00026BDF"/>
    <w:rsid w:val="00034F35"/>
    <w:rsid w:val="000351BC"/>
    <w:rsid w:val="0003608A"/>
    <w:rsid w:val="00036A5A"/>
    <w:rsid w:val="00050DD8"/>
    <w:rsid w:val="00053A65"/>
    <w:rsid w:val="000542B1"/>
    <w:rsid w:val="00056333"/>
    <w:rsid w:val="00057425"/>
    <w:rsid w:val="000637B0"/>
    <w:rsid w:val="00066624"/>
    <w:rsid w:val="00067F64"/>
    <w:rsid w:val="00075F9C"/>
    <w:rsid w:val="00082663"/>
    <w:rsid w:val="000910BD"/>
    <w:rsid w:val="000916E0"/>
    <w:rsid w:val="0009256E"/>
    <w:rsid w:val="000967CC"/>
    <w:rsid w:val="000A149F"/>
    <w:rsid w:val="000A5181"/>
    <w:rsid w:val="000B1BE4"/>
    <w:rsid w:val="000B2409"/>
    <w:rsid w:val="000B265C"/>
    <w:rsid w:val="000B5C9E"/>
    <w:rsid w:val="000C019D"/>
    <w:rsid w:val="000C2410"/>
    <w:rsid w:val="000C570C"/>
    <w:rsid w:val="000C6836"/>
    <w:rsid w:val="000C6A71"/>
    <w:rsid w:val="000E5CFD"/>
    <w:rsid w:val="000F260A"/>
    <w:rsid w:val="000F2830"/>
    <w:rsid w:val="000F6CF2"/>
    <w:rsid w:val="000F74AC"/>
    <w:rsid w:val="000F7EEB"/>
    <w:rsid w:val="00102947"/>
    <w:rsid w:val="001043B2"/>
    <w:rsid w:val="0010583D"/>
    <w:rsid w:val="00106335"/>
    <w:rsid w:val="00110CB6"/>
    <w:rsid w:val="00115381"/>
    <w:rsid w:val="00115A09"/>
    <w:rsid w:val="0011630B"/>
    <w:rsid w:val="0011686C"/>
    <w:rsid w:val="001175C9"/>
    <w:rsid w:val="001244CA"/>
    <w:rsid w:val="00125C96"/>
    <w:rsid w:val="00132DFE"/>
    <w:rsid w:val="00133C91"/>
    <w:rsid w:val="001371ED"/>
    <w:rsid w:val="00137458"/>
    <w:rsid w:val="00137657"/>
    <w:rsid w:val="001424C1"/>
    <w:rsid w:val="00142CB0"/>
    <w:rsid w:val="0014555E"/>
    <w:rsid w:val="00153C0D"/>
    <w:rsid w:val="00153E74"/>
    <w:rsid w:val="00160025"/>
    <w:rsid w:val="001608B4"/>
    <w:rsid w:val="00165ED4"/>
    <w:rsid w:val="00166F5C"/>
    <w:rsid w:val="00167FF8"/>
    <w:rsid w:val="00170E1D"/>
    <w:rsid w:val="00172364"/>
    <w:rsid w:val="001733E7"/>
    <w:rsid w:val="00176B90"/>
    <w:rsid w:val="00180799"/>
    <w:rsid w:val="00180E5C"/>
    <w:rsid w:val="00181040"/>
    <w:rsid w:val="00181FA6"/>
    <w:rsid w:val="00182F46"/>
    <w:rsid w:val="00185D84"/>
    <w:rsid w:val="001902F3"/>
    <w:rsid w:val="001A2982"/>
    <w:rsid w:val="001A54CB"/>
    <w:rsid w:val="001A55BE"/>
    <w:rsid w:val="001B1E1A"/>
    <w:rsid w:val="001B49EB"/>
    <w:rsid w:val="001B6619"/>
    <w:rsid w:val="001B702B"/>
    <w:rsid w:val="001B7452"/>
    <w:rsid w:val="001C5A5A"/>
    <w:rsid w:val="001D4942"/>
    <w:rsid w:val="001E0205"/>
    <w:rsid w:val="001E464C"/>
    <w:rsid w:val="001E5843"/>
    <w:rsid w:val="001E5AB9"/>
    <w:rsid w:val="001E5CBB"/>
    <w:rsid w:val="001F02F1"/>
    <w:rsid w:val="001F2FD0"/>
    <w:rsid w:val="00201D11"/>
    <w:rsid w:val="00202784"/>
    <w:rsid w:val="002027B3"/>
    <w:rsid w:val="0020537A"/>
    <w:rsid w:val="00207143"/>
    <w:rsid w:val="00211694"/>
    <w:rsid w:val="00214C97"/>
    <w:rsid w:val="00220DE6"/>
    <w:rsid w:val="00237BF5"/>
    <w:rsid w:val="00242FCF"/>
    <w:rsid w:val="00244081"/>
    <w:rsid w:val="002464F7"/>
    <w:rsid w:val="0025135A"/>
    <w:rsid w:val="00252887"/>
    <w:rsid w:val="00261480"/>
    <w:rsid w:val="002755E7"/>
    <w:rsid w:val="00280E04"/>
    <w:rsid w:val="00285D14"/>
    <w:rsid w:val="002903BC"/>
    <w:rsid w:val="00292FE1"/>
    <w:rsid w:val="00294CFD"/>
    <w:rsid w:val="002A57CB"/>
    <w:rsid w:val="002B3D28"/>
    <w:rsid w:val="002B458C"/>
    <w:rsid w:val="002B46A6"/>
    <w:rsid w:val="002B48F9"/>
    <w:rsid w:val="002B7295"/>
    <w:rsid w:val="002C04F8"/>
    <w:rsid w:val="002D54DA"/>
    <w:rsid w:val="002D7CD9"/>
    <w:rsid w:val="002E03AE"/>
    <w:rsid w:val="002F367D"/>
    <w:rsid w:val="002F6303"/>
    <w:rsid w:val="00304435"/>
    <w:rsid w:val="00305379"/>
    <w:rsid w:val="00305467"/>
    <w:rsid w:val="0031381C"/>
    <w:rsid w:val="00313B87"/>
    <w:rsid w:val="00320170"/>
    <w:rsid w:val="00323098"/>
    <w:rsid w:val="003250B4"/>
    <w:rsid w:val="0032563B"/>
    <w:rsid w:val="00326179"/>
    <w:rsid w:val="00331DFC"/>
    <w:rsid w:val="00333FD4"/>
    <w:rsid w:val="00336675"/>
    <w:rsid w:val="00337E26"/>
    <w:rsid w:val="003450FF"/>
    <w:rsid w:val="003461B9"/>
    <w:rsid w:val="00356FA2"/>
    <w:rsid w:val="003653CE"/>
    <w:rsid w:val="00370586"/>
    <w:rsid w:val="00370D10"/>
    <w:rsid w:val="00381530"/>
    <w:rsid w:val="0038184B"/>
    <w:rsid w:val="00381F71"/>
    <w:rsid w:val="0038306B"/>
    <w:rsid w:val="00386C0B"/>
    <w:rsid w:val="00391655"/>
    <w:rsid w:val="00392AFD"/>
    <w:rsid w:val="003944B3"/>
    <w:rsid w:val="00397E80"/>
    <w:rsid w:val="003A1B12"/>
    <w:rsid w:val="003A6572"/>
    <w:rsid w:val="003B540D"/>
    <w:rsid w:val="003B57C7"/>
    <w:rsid w:val="003B7088"/>
    <w:rsid w:val="003C1054"/>
    <w:rsid w:val="003C2733"/>
    <w:rsid w:val="003C3BD4"/>
    <w:rsid w:val="003D5453"/>
    <w:rsid w:val="003D6A53"/>
    <w:rsid w:val="003D7853"/>
    <w:rsid w:val="003D7AA4"/>
    <w:rsid w:val="003E4E84"/>
    <w:rsid w:val="003E6AA5"/>
    <w:rsid w:val="003F3E4F"/>
    <w:rsid w:val="003F68CF"/>
    <w:rsid w:val="003F698F"/>
    <w:rsid w:val="00400F08"/>
    <w:rsid w:val="004124D9"/>
    <w:rsid w:val="004134E8"/>
    <w:rsid w:val="00420EA2"/>
    <w:rsid w:val="00425301"/>
    <w:rsid w:val="004258E4"/>
    <w:rsid w:val="00431EC1"/>
    <w:rsid w:val="004327D1"/>
    <w:rsid w:val="004334CB"/>
    <w:rsid w:val="00433BDE"/>
    <w:rsid w:val="00434C4B"/>
    <w:rsid w:val="004352C0"/>
    <w:rsid w:val="004401B6"/>
    <w:rsid w:val="0044199B"/>
    <w:rsid w:val="00444639"/>
    <w:rsid w:val="004501C5"/>
    <w:rsid w:val="00451F33"/>
    <w:rsid w:val="004521AD"/>
    <w:rsid w:val="00454340"/>
    <w:rsid w:val="00455DC5"/>
    <w:rsid w:val="00484E7E"/>
    <w:rsid w:val="00490465"/>
    <w:rsid w:val="0049212A"/>
    <w:rsid w:val="00492176"/>
    <w:rsid w:val="004948F2"/>
    <w:rsid w:val="004A225D"/>
    <w:rsid w:val="004B166C"/>
    <w:rsid w:val="004B533C"/>
    <w:rsid w:val="004C5AAF"/>
    <w:rsid w:val="004D0309"/>
    <w:rsid w:val="004D2036"/>
    <w:rsid w:val="004D2043"/>
    <w:rsid w:val="004D5B4C"/>
    <w:rsid w:val="004E2250"/>
    <w:rsid w:val="004E7FE9"/>
    <w:rsid w:val="004F5274"/>
    <w:rsid w:val="004F7426"/>
    <w:rsid w:val="005005A1"/>
    <w:rsid w:val="00500A14"/>
    <w:rsid w:val="00507EA1"/>
    <w:rsid w:val="005106A4"/>
    <w:rsid w:val="00510A59"/>
    <w:rsid w:val="00510D95"/>
    <w:rsid w:val="00511BD0"/>
    <w:rsid w:val="005130E1"/>
    <w:rsid w:val="005134DF"/>
    <w:rsid w:val="005166D4"/>
    <w:rsid w:val="00540C4C"/>
    <w:rsid w:val="0054295B"/>
    <w:rsid w:val="00551353"/>
    <w:rsid w:val="0055186F"/>
    <w:rsid w:val="00552960"/>
    <w:rsid w:val="00560E4D"/>
    <w:rsid w:val="00561DD3"/>
    <w:rsid w:val="00566A35"/>
    <w:rsid w:val="00572303"/>
    <w:rsid w:val="00574496"/>
    <w:rsid w:val="00574644"/>
    <w:rsid w:val="00580C46"/>
    <w:rsid w:val="00581628"/>
    <w:rsid w:val="00586D5D"/>
    <w:rsid w:val="00592B80"/>
    <w:rsid w:val="00593014"/>
    <w:rsid w:val="00593290"/>
    <w:rsid w:val="005935A2"/>
    <w:rsid w:val="005A4C38"/>
    <w:rsid w:val="005A6BD3"/>
    <w:rsid w:val="005B1268"/>
    <w:rsid w:val="005B3D8C"/>
    <w:rsid w:val="005B5BA5"/>
    <w:rsid w:val="005B7DDE"/>
    <w:rsid w:val="005C2E7D"/>
    <w:rsid w:val="005C3EAC"/>
    <w:rsid w:val="005C53C2"/>
    <w:rsid w:val="005D0C75"/>
    <w:rsid w:val="005D453A"/>
    <w:rsid w:val="005D48D2"/>
    <w:rsid w:val="005D72BE"/>
    <w:rsid w:val="005D7886"/>
    <w:rsid w:val="005E64B2"/>
    <w:rsid w:val="005E75AF"/>
    <w:rsid w:val="005F4189"/>
    <w:rsid w:val="005F5FB9"/>
    <w:rsid w:val="006017E2"/>
    <w:rsid w:val="00602BB0"/>
    <w:rsid w:val="006052EC"/>
    <w:rsid w:val="0061162E"/>
    <w:rsid w:val="00612DD7"/>
    <w:rsid w:val="00616984"/>
    <w:rsid w:val="00626BFC"/>
    <w:rsid w:val="00631807"/>
    <w:rsid w:val="00632831"/>
    <w:rsid w:val="00632E27"/>
    <w:rsid w:val="00634F50"/>
    <w:rsid w:val="006351A2"/>
    <w:rsid w:val="00635A63"/>
    <w:rsid w:val="006367CA"/>
    <w:rsid w:val="006378E4"/>
    <w:rsid w:val="00645829"/>
    <w:rsid w:val="00652C39"/>
    <w:rsid w:val="00652F14"/>
    <w:rsid w:val="0065484C"/>
    <w:rsid w:val="006557D1"/>
    <w:rsid w:val="006575DC"/>
    <w:rsid w:val="0066519F"/>
    <w:rsid w:val="00672BBF"/>
    <w:rsid w:val="00673437"/>
    <w:rsid w:val="00673ED7"/>
    <w:rsid w:val="00682582"/>
    <w:rsid w:val="00682AB3"/>
    <w:rsid w:val="00683C1C"/>
    <w:rsid w:val="00683F5B"/>
    <w:rsid w:val="00691570"/>
    <w:rsid w:val="00693C27"/>
    <w:rsid w:val="0069416C"/>
    <w:rsid w:val="006A09C3"/>
    <w:rsid w:val="006A0A6F"/>
    <w:rsid w:val="006A0AA1"/>
    <w:rsid w:val="006A0DCF"/>
    <w:rsid w:val="006A4EF6"/>
    <w:rsid w:val="006B4CE6"/>
    <w:rsid w:val="006B4CEA"/>
    <w:rsid w:val="006B5A21"/>
    <w:rsid w:val="006B61A4"/>
    <w:rsid w:val="006D1EA8"/>
    <w:rsid w:val="006D32BD"/>
    <w:rsid w:val="006D37DD"/>
    <w:rsid w:val="006D492A"/>
    <w:rsid w:val="006E24D6"/>
    <w:rsid w:val="006E4183"/>
    <w:rsid w:val="006E5EAD"/>
    <w:rsid w:val="006F17DB"/>
    <w:rsid w:val="006F287B"/>
    <w:rsid w:val="006F287C"/>
    <w:rsid w:val="006F4D46"/>
    <w:rsid w:val="0070294A"/>
    <w:rsid w:val="007046E4"/>
    <w:rsid w:val="00707F59"/>
    <w:rsid w:val="00713454"/>
    <w:rsid w:val="0072033D"/>
    <w:rsid w:val="00725F4B"/>
    <w:rsid w:val="00731858"/>
    <w:rsid w:val="00737A62"/>
    <w:rsid w:val="00740897"/>
    <w:rsid w:val="007417D3"/>
    <w:rsid w:val="007425EF"/>
    <w:rsid w:val="00751D00"/>
    <w:rsid w:val="00752C4E"/>
    <w:rsid w:val="00755307"/>
    <w:rsid w:val="007651A4"/>
    <w:rsid w:val="0077254F"/>
    <w:rsid w:val="00773B12"/>
    <w:rsid w:val="0077478D"/>
    <w:rsid w:val="00777957"/>
    <w:rsid w:val="00780F97"/>
    <w:rsid w:val="0079028A"/>
    <w:rsid w:val="007925DE"/>
    <w:rsid w:val="00797780"/>
    <w:rsid w:val="007A03FF"/>
    <w:rsid w:val="007A0F1D"/>
    <w:rsid w:val="007A1A80"/>
    <w:rsid w:val="007A28B2"/>
    <w:rsid w:val="007A77CD"/>
    <w:rsid w:val="007B01CC"/>
    <w:rsid w:val="007B462E"/>
    <w:rsid w:val="007B51AB"/>
    <w:rsid w:val="007B7EB3"/>
    <w:rsid w:val="007C325B"/>
    <w:rsid w:val="007C5A5B"/>
    <w:rsid w:val="007D1A8D"/>
    <w:rsid w:val="007D349C"/>
    <w:rsid w:val="007D5EA9"/>
    <w:rsid w:val="007D6228"/>
    <w:rsid w:val="007E08C4"/>
    <w:rsid w:val="007E1B7B"/>
    <w:rsid w:val="007E2310"/>
    <w:rsid w:val="007E6ED3"/>
    <w:rsid w:val="007F5570"/>
    <w:rsid w:val="008018B7"/>
    <w:rsid w:val="00802E30"/>
    <w:rsid w:val="00804098"/>
    <w:rsid w:val="00805ADA"/>
    <w:rsid w:val="0080660D"/>
    <w:rsid w:val="00810901"/>
    <w:rsid w:val="00811AF6"/>
    <w:rsid w:val="00812CF6"/>
    <w:rsid w:val="00814CC5"/>
    <w:rsid w:val="008167B8"/>
    <w:rsid w:val="00821D77"/>
    <w:rsid w:val="00825E7C"/>
    <w:rsid w:val="00826815"/>
    <w:rsid w:val="00832309"/>
    <w:rsid w:val="00836B7C"/>
    <w:rsid w:val="00836D3A"/>
    <w:rsid w:val="00844DD8"/>
    <w:rsid w:val="00844F20"/>
    <w:rsid w:val="00845321"/>
    <w:rsid w:val="008475D8"/>
    <w:rsid w:val="00850903"/>
    <w:rsid w:val="008520D6"/>
    <w:rsid w:val="00854DC6"/>
    <w:rsid w:val="008565CE"/>
    <w:rsid w:val="008571C9"/>
    <w:rsid w:val="008612CC"/>
    <w:rsid w:val="00864050"/>
    <w:rsid w:val="00870918"/>
    <w:rsid w:val="00873C00"/>
    <w:rsid w:val="00874436"/>
    <w:rsid w:val="00876AE9"/>
    <w:rsid w:val="008807CD"/>
    <w:rsid w:val="00885A12"/>
    <w:rsid w:val="008862EA"/>
    <w:rsid w:val="00890E95"/>
    <w:rsid w:val="008949A2"/>
    <w:rsid w:val="008A52CA"/>
    <w:rsid w:val="008B0B7D"/>
    <w:rsid w:val="008B179C"/>
    <w:rsid w:val="008B1F6C"/>
    <w:rsid w:val="008D15EE"/>
    <w:rsid w:val="008D7DED"/>
    <w:rsid w:val="008E17FE"/>
    <w:rsid w:val="008E2609"/>
    <w:rsid w:val="008E2E3C"/>
    <w:rsid w:val="008E5B71"/>
    <w:rsid w:val="008F103E"/>
    <w:rsid w:val="008F65D4"/>
    <w:rsid w:val="0090181E"/>
    <w:rsid w:val="009115AC"/>
    <w:rsid w:val="009121B6"/>
    <w:rsid w:val="00912C71"/>
    <w:rsid w:val="009149C3"/>
    <w:rsid w:val="00914DD3"/>
    <w:rsid w:val="00924313"/>
    <w:rsid w:val="00924686"/>
    <w:rsid w:val="00924791"/>
    <w:rsid w:val="00932034"/>
    <w:rsid w:val="00934261"/>
    <w:rsid w:val="00940CDC"/>
    <w:rsid w:val="00941227"/>
    <w:rsid w:val="0094368C"/>
    <w:rsid w:val="00947572"/>
    <w:rsid w:val="00947FFC"/>
    <w:rsid w:val="0095046F"/>
    <w:rsid w:val="00955BD2"/>
    <w:rsid w:val="0096494C"/>
    <w:rsid w:val="00964CAE"/>
    <w:rsid w:val="0097736E"/>
    <w:rsid w:val="009801EF"/>
    <w:rsid w:val="009804AF"/>
    <w:rsid w:val="0098110F"/>
    <w:rsid w:val="0098438E"/>
    <w:rsid w:val="00985AA2"/>
    <w:rsid w:val="00986190"/>
    <w:rsid w:val="00986D84"/>
    <w:rsid w:val="009954DC"/>
    <w:rsid w:val="0099556E"/>
    <w:rsid w:val="009A73A7"/>
    <w:rsid w:val="009B063A"/>
    <w:rsid w:val="009B20EC"/>
    <w:rsid w:val="009B367D"/>
    <w:rsid w:val="009B4913"/>
    <w:rsid w:val="009B57B1"/>
    <w:rsid w:val="009B7CC2"/>
    <w:rsid w:val="009C3F97"/>
    <w:rsid w:val="009C45B0"/>
    <w:rsid w:val="009D259C"/>
    <w:rsid w:val="009D4279"/>
    <w:rsid w:val="009E1E4E"/>
    <w:rsid w:val="009E3AA5"/>
    <w:rsid w:val="009F1B38"/>
    <w:rsid w:val="009F4418"/>
    <w:rsid w:val="009F4D31"/>
    <w:rsid w:val="009F5107"/>
    <w:rsid w:val="009F796D"/>
    <w:rsid w:val="00A136A8"/>
    <w:rsid w:val="00A17CF6"/>
    <w:rsid w:val="00A230EC"/>
    <w:rsid w:val="00A24E92"/>
    <w:rsid w:val="00A270BA"/>
    <w:rsid w:val="00A27254"/>
    <w:rsid w:val="00A348FE"/>
    <w:rsid w:val="00A408A2"/>
    <w:rsid w:val="00A40D36"/>
    <w:rsid w:val="00A41465"/>
    <w:rsid w:val="00A41A4E"/>
    <w:rsid w:val="00A44002"/>
    <w:rsid w:val="00A4451F"/>
    <w:rsid w:val="00A54678"/>
    <w:rsid w:val="00A62772"/>
    <w:rsid w:val="00A65676"/>
    <w:rsid w:val="00A70590"/>
    <w:rsid w:val="00A72CB0"/>
    <w:rsid w:val="00A74636"/>
    <w:rsid w:val="00A804CD"/>
    <w:rsid w:val="00A86A8E"/>
    <w:rsid w:val="00A90443"/>
    <w:rsid w:val="00A94768"/>
    <w:rsid w:val="00A94D9A"/>
    <w:rsid w:val="00A953FD"/>
    <w:rsid w:val="00AA0EA1"/>
    <w:rsid w:val="00AA1178"/>
    <w:rsid w:val="00AA26C7"/>
    <w:rsid w:val="00AA45D4"/>
    <w:rsid w:val="00AB0CB8"/>
    <w:rsid w:val="00AC3202"/>
    <w:rsid w:val="00AD0DA5"/>
    <w:rsid w:val="00AD181D"/>
    <w:rsid w:val="00AD36A8"/>
    <w:rsid w:val="00AD76DA"/>
    <w:rsid w:val="00AE00A0"/>
    <w:rsid w:val="00AE7C26"/>
    <w:rsid w:val="00AF00A0"/>
    <w:rsid w:val="00AF31C0"/>
    <w:rsid w:val="00AF61B4"/>
    <w:rsid w:val="00B02660"/>
    <w:rsid w:val="00B10333"/>
    <w:rsid w:val="00B16468"/>
    <w:rsid w:val="00B17A15"/>
    <w:rsid w:val="00B26AE2"/>
    <w:rsid w:val="00B36811"/>
    <w:rsid w:val="00B37910"/>
    <w:rsid w:val="00B40B9A"/>
    <w:rsid w:val="00B41241"/>
    <w:rsid w:val="00B41C40"/>
    <w:rsid w:val="00B45342"/>
    <w:rsid w:val="00B471D8"/>
    <w:rsid w:val="00B47B1B"/>
    <w:rsid w:val="00B52AE2"/>
    <w:rsid w:val="00B52B37"/>
    <w:rsid w:val="00B62F84"/>
    <w:rsid w:val="00B635A5"/>
    <w:rsid w:val="00B64C2A"/>
    <w:rsid w:val="00B67670"/>
    <w:rsid w:val="00B678EC"/>
    <w:rsid w:val="00B71C7B"/>
    <w:rsid w:val="00B775A6"/>
    <w:rsid w:val="00B834DF"/>
    <w:rsid w:val="00B90C0A"/>
    <w:rsid w:val="00B955E4"/>
    <w:rsid w:val="00B9713F"/>
    <w:rsid w:val="00BA29EC"/>
    <w:rsid w:val="00BA4807"/>
    <w:rsid w:val="00BA51FF"/>
    <w:rsid w:val="00BA604A"/>
    <w:rsid w:val="00BB4275"/>
    <w:rsid w:val="00BC6484"/>
    <w:rsid w:val="00BC64B0"/>
    <w:rsid w:val="00BD0203"/>
    <w:rsid w:val="00BD2819"/>
    <w:rsid w:val="00BD4066"/>
    <w:rsid w:val="00BD43ED"/>
    <w:rsid w:val="00BD57E8"/>
    <w:rsid w:val="00BD6359"/>
    <w:rsid w:val="00BE048C"/>
    <w:rsid w:val="00BE3DD4"/>
    <w:rsid w:val="00BE77A4"/>
    <w:rsid w:val="00BF129A"/>
    <w:rsid w:val="00BF6F26"/>
    <w:rsid w:val="00C00EBA"/>
    <w:rsid w:val="00C0293A"/>
    <w:rsid w:val="00C03BD3"/>
    <w:rsid w:val="00C05ACD"/>
    <w:rsid w:val="00C05B4C"/>
    <w:rsid w:val="00C17CC1"/>
    <w:rsid w:val="00C22402"/>
    <w:rsid w:val="00C270D8"/>
    <w:rsid w:val="00C35CCF"/>
    <w:rsid w:val="00C42DAB"/>
    <w:rsid w:val="00C43A5D"/>
    <w:rsid w:val="00C44F0C"/>
    <w:rsid w:val="00C4527B"/>
    <w:rsid w:val="00C52AA4"/>
    <w:rsid w:val="00C531B0"/>
    <w:rsid w:val="00C534EA"/>
    <w:rsid w:val="00C5623F"/>
    <w:rsid w:val="00C565D8"/>
    <w:rsid w:val="00C5791D"/>
    <w:rsid w:val="00C62790"/>
    <w:rsid w:val="00C70708"/>
    <w:rsid w:val="00C72495"/>
    <w:rsid w:val="00C72882"/>
    <w:rsid w:val="00C755D6"/>
    <w:rsid w:val="00C7780E"/>
    <w:rsid w:val="00C81664"/>
    <w:rsid w:val="00C8198C"/>
    <w:rsid w:val="00C83A69"/>
    <w:rsid w:val="00C847A7"/>
    <w:rsid w:val="00C90BEF"/>
    <w:rsid w:val="00CA1E69"/>
    <w:rsid w:val="00CA223E"/>
    <w:rsid w:val="00CA5A4D"/>
    <w:rsid w:val="00CA64D7"/>
    <w:rsid w:val="00CB3378"/>
    <w:rsid w:val="00CC5EF5"/>
    <w:rsid w:val="00CD229E"/>
    <w:rsid w:val="00CD5E19"/>
    <w:rsid w:val="00CE3E4B"/>
    <w:rsid w:val="00CE742F"/>
    <w:rsid w:val="00CF1FE1"/>
    <w:rsid w:val="00CF420F"/>
    <w:rsid w:val="00CF50F4"/>
    <w:rsid w:val="00CF5C74"/>
    <w:rsid w:val="00CF64DE"/>
    <w:rsid w:val="00CF72A4"/>
    <w:rsid w:val="00D02420"/>
    <w:rsid w:val="00D024F5"/>
    <w:rsid w:val="00D0770F"/>
    <w:rsid w:val="00D07BB8"/>
    <w:rsid w:val="00D14BD3"/>
    <w:rsid w:val="00D224BC"/>
    <w:rsid w:val="00D23DF2"/>
    <w:rsid w:val="00D24AAC"/>
    <w:rsid w:val="00D24D5D"/>
    <w:rsid w:val="00D302A2"/>
    <w:rsid w:val="00D30863"/>
    <w:rsid w:val="00D324A2"/>
    <w:rsid w:val="00D42275"/>
    <w:rsid w:val="00D45319"/>
    <w:rsid w:val="00D47C62"/>
    <w:rsid w:val="00D47E64"/>
    <w:rsid w:val="00D548ED"/>
    <w:rsid w:val="00D57DB0"/>
    <w:rsid w:val="00D70987"/>
    <w:rsid w:val="00D820F4"/>
    <w:rsid w:val="00D918C9"/>
    <w:rsid w:val="00D94903"/>
    <w:rsid w:val="00D952CF"/>
    <w:rsid w:val="00DA479C"/>
    <w:rsid w:val="00DA550C"/>
    <w:rsid w:val="00DC1C01"/>
    <w:rsid w:val="00DC2413"/>
    <w:rsid w:val="00DC3507"/>
    <w:rsid w:val="00DC4614"/>
    <w:rsid w:val="00DE0F0F"/>
    <w:rsid w:val="00DE1B70"/>
    <w:rsid w:val="00DE724E"/>
    <w:rsid w:val="00DF12F1"/>
    <w:rsid w:val="00DF49F0"/>
    <w:rsid w:val="00DF562F"/>
    <w:rsid w:val="00DF61EF"/>
    <w:rsid w:val="00DF7B2B"/>
    <w:rsid w:val="00E03921"/>
    <w:rsid w:val="00E05253"/>
    <w:rsid w:val="00E14A9C"/>
    <w:rsid w:val="00E15663"/>
    <w:rsid w:val="00E20902"/>
    <w:rsid w:val="00E20BDD"/>
    <w:rsid w:val="00E20CFC"/>
    <w:rsid w:val="00E21F13"/>
    <w:rsid w:val="00E255E8"/>
    <w:rsid w:val="00E31FBC"/>
    <w:rsid w:val="00E3450F"/>
    <w:rsid w:val="00E3602A"/>
    <w:rsid w:val="00E36E68"/>
    <w:rsid w:val="00E3712D"/>
    <w:rsid w:val="00E43CFB"/>
    <w:rsid w:val="00E46C43"/>
    <w:rsid w:val="00E54AA8"/>
    <w:rsid w:val="00E609F1"/>
    <w:rsid w:val="00E60F50"/>
    <w:rsid w:val="00E6629C"/>
    <w:rsid w:val="00E70960"/>
    <w:rsid w:val="00E714EE"/>
    <w:rsid w:val="00E7358B"/>
    <w:rsid w:val="00E75EF8"/>
    <w:rsid w:val="00E76DA8"/>
    <w:rsid w:val="00E8280D"/>
    <w:rsid w:val="00E82F4C"/>
    <w:rsid w:val="00E907DA"/>
    <w:rsid w:val="00EA672B"/>
    <w:rsid w:val="00EA735B"/>
    <w:rsid w:val="00EC2223"/>
    <w:rsid w:val="00EC25A8"/>
    <w:rsid w:val="00EC3848"/>
    <w:rsid w:val="00EC4802"/>
    <w:rsid w:val="00EC4833"/>
    <w:rsid w:val="00EC5784"/>
    <w:rsid w:val="00ED5D42"/>
    <w:rsid w:val="00ED5E26"/>
    <w:rsid w:val="00ED67FC"/>
    <w:rsid w:val="00EE1621"/>
    <w:rsid w:val="00EE2DBD"/>
    <w:rsid w:val="00EE383F"/>
    <w:rsid w:val="00EE53C6"/>
    <w:rsid w:val="00F15FA9"/>
    <w:rsid w:val="00F2122A"/>
    <w:rsid w:val="00F21BFA"/>
    <w:rsid w:val="00F229D4"/>
    <w:rsid w:val="00F23624"/>
    <w:rsid w:val="00F24B0B"/>
    <w:rsid w:val="00F33B45"/>
    <w:rsid w:val="00F33CAC"/>
    <w:rsid w:val="00F34A36"/>
    <w:rsid w:val="00F40CBB"/>
    <w:rsid w:val="00F45C55"/>
    <w:rsid w:val="00F53F3E"/>
    <w:rsid w:val="00F55BD1"/>
    <w:rsid w:val="00F56000"/>
    <w:rsid w:val="00F5710A"/>
    <w:rsid w:val="00F5734D"/>
    <w:rsid w:val="00F57CDB"/>
    <w:rsid w:val="00F65EEC"/>
    <w:rsid w:val="00F72B55"/>
    <w:rsid w:val="00F7346A"/>
    <w:rsid w:val="00F761CD"/>
    <w:rsid w:val="00F76571"/>
    <w:rsid w:val="00F76971"/>
    <w:rsid w:val="00F77C1E"/>
    <w:rsid w:val="00F80A5E"/>
    <w:rsid w:val="00F81531"/>
    <w:rsid w:val="00F916E8"/>
    <w:rsid w:val="00F97089"/>
    <w:rsid w:val="00F97845"/>
    <w:rsid w:val="00F97860"/>
    <w:rsid w:val="00FA338E"/>
    <w:rsid w:val="00FA6FB5"/>
    <w:rsid w:val="00FB0BF8"/>
    <w:rsid w:val="00FB3B71"/>
    <w:rsid w:val="00FB4D72"/>
    <w:rsid w:val="00FB62F4"/>
    <w:rsid w:val="00FB6577"/>
    <w:rsid w:val="00FC4B05"/>
    <w:rsid w:val="00FC5002"/>
    <w:rsid w:val="00FC51A6"/>
    <w:rsid w:val="00FC6E8B"/>
    <w:rsid w:val="00FC7EEC"/>
    <w:rsid w:val="00FD0E08"/>
    <w:rsid w:val="00FD3BD4"/>
    <w:rsid w:val="00FD4997"/>
    <w:rsid w:val="00FD7706"/>
    <w:rsid w:val="00FD77D1"/>
    <w:rsid w:val="00FE0F25"/>
    <w:rsid w:val="00FE756C"/>
    <w:rsid w:val="00FF4E79"/>
    <w:rsid w:val="00FF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DDD9D8"/>
  <w15:chartTrackingRefBased/>
  <w15:docId w15:val="{7D282D08-C890-4DD8-9A05-CD7B7748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6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67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67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67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678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678E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678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678E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678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678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6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6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678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78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78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7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678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78EC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F7346A"/>
    <w:pPr>
      <w:spacing w:after="0" w:line="240" w:lineRule="auto"/>
    </w:pPr>
    <w:rPr>
      <w:sz w:val="20"/>
      <w:szCs w:val="20"/>
    </w:rPr>
  </w:style>
  <w:style w:type="character" w:customStyle="1" w:styleId="af">
    <w:name w:val="טקסט הערת שוליים תו"/>
    <w:basedOn w:val="a0"/>
    <w:link w:val="ae"/>
    <w:uiPriority w:val="99"/>
    <w:semiHidden/>
    <w:rsid w:val="00F7346A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F7346A"/>
    <w:rPr>
      <w:vertAlign w:val="superscript"/>
    </w:rPr>
  </w:style>
  <w:style w:type="paragraph" w:styleId="af1">
    <w:name w:val="Revision"/>
    <w:hidden/>
    <w:uiPriority w:val="99"/>
    <w:semiHidden/>
    <w:rsid w:val="00F56000"/>
    <w:pPr>
      <w:spacing w:after="0" w:line="240" w:lineRule="auto"/>
    </w:pPr>
  </w:style>
  <w:style w:type="character" w:styleId="af2">
    <w:name w:val="annotation reference"/>
    <w:basedOn w:val="a0"/>
    <w:uiPriority w:val="99"/>
    <w:semiHidden/>
    <w:unhideWhenUsed/>
    <w:rsid w:val="00211694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211694"/>
    <w:pPr>
      <w:spacing w:line="240" w:lineRule="auto"/>
    </w:pPr>
    <w:rPr>
      <w:sz w:val="20"/>
      <w:szCs w:val="20"/>
    </w:rPr>
  </w:style>
  <w:style w:type="character" w:customStyle="1" w:styleId="af4">
    <w:name w:val="טקסט הערה תו"/>
    <w:basedOn w:val="a0"/>
    <w:link w:val="af3"/>
    <w:uiPriority w:val="99"/>
    <w:rsid w:val="00211694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11694"/>
    <w:rPr>
      <w:b/>
      <w:bCs/>
    </w:rPr>
  </w:style>
  <w:style w:type="character" w:customStyle="1" w:styleId="af6">
    <w:name w:val="נושא הערה תו"/>
    <w:basedOn w:val="af4"/>
    <w:link w:val="af5"/>
    <w:uiPriority w:val="99"/>
    <w:semiHidden/>
    <w:rsid w:val="002116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11AD8-F9C6-42D5-9424-46A358EC7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5786</TotalTime>
  <Pages>4</Pages>
  <Words>1444</Words>
  <Characters>6628</Characters>
  <Application>Microsoft Office Word</Application>
  <DocSecurity>0</DocSecurity>
  <Lines>129</Lines>
  <Paragraphs>34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Ben Meir</dc:creator>
  <cp:keywords/>
  <dc:description/>
  <cp:lastModifiedBy>Ronen Ben Meir</cp:lastModifiedBy>
  <cp:revision>715</cp:revision>
  <dcterms:created xsi:type="dcterms:W3CDTF">2026-08-17T20:44:00Z</dcterms:created>
  <dcterms:modified xsi:type="dcterms:W3CDTF">2026-09-14T15:22:00Z</dcterms:modified>
</cp:coreProperties>
</file>