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371" w:type="dxa"/>
        <w:jc w:val="center"/>
        <w:tblLook w:val="0000" w:firstRow="0" w:lastRow="0" w:firstColumn="0" w:lastColumn="0" w:noHBand="0" w:noVBand="0"/>
      </w:tblPr>
      <w:tblGrid>
        <w:gridCol w:w="19"/>
        <w:gridCol w:w="4818"/>
        <w:gridCol w:w="3514"/>
        <w:gridCol w:w="20"/>
      </w:tblGrid>
      <w:tr w:rsidR="00103DFA" w:rsidRPr="00CE7AF3" w14:paraId="28AEE25A" w14:textId="77777777" w:rsidTr="00B462A5">
        <w:trPr>
          <w:gridBefore w:val="1"/>
          <w:wBefore w:w="19" w:type="dxa"/>
          <w:trHeight w:hRule="exact" w:val="309"/>
          <w:jc w:val="center"/>
        </w:trPr>
        <w:tc>
          <w:tcPr>
            <w:tcW w:w="8352" w:type="dxa"/>
            <w:gridSpan w:val="3"/>
          </w:tcPr>
          <w:p w14:paraId="34CFF320" w14:textId="77777777" w:rsidR="00103DFA" w:rsidRPr="00E64FA5" w:rsidRDefault="00103DFA" w:rsidP="00B462A5">
            <w:pPr>
              <w:pStyle w:val="Header"/>
              <w:jc w:val="center"/>
              <w:rPr>
                <w:rFonts w:ascii="Tahoma" w:hAnsi="Tahoma" w:cs="Tahoma"/>
                <w:noProof w:val="0"/>
                <w:color w:val="000080"/>
                <w:rtl/>
              </w:rPr>
            </w:pPr>
            <w:bookmarkStart w:id="0" w:name="LastJudge"/>
            <w:r w:rsidRPr="00E64FA5">
              <w:rPr>
                <w:rFonts w:ascii="Tahoma" w:hAnsi="Tahoma" w:cs="Tahoma"/>
                <w:b/>
                <w:bCs/>
                <w:noProof w:val="0"/>
                <w:color w:val="000080"/>
                <w:rtl/>
              </w:rPr>
              <w:t>בית משפט לעניינים מנהליים בתל אביב -יפו</w:t>
            </w:r>
          </w:p>
        </w:tc>
      </w:tr>
      <w:tr w:rsidR="00103DFA" w:rsidRPr="00CE7AF3" w14:paraId="072B868E" w14:textId="77777777" w:rsidTr="00B462A5">
        <w:trPr>
          <w:gridAfter w:val="1"/>
          <w:wAfter w:w="20" w:type="dxa"/>
          <w:trHeight w:val="155"/>
          <w:jc w:val="center"/>
        </w:trPr>
        <w:tc>
          <w:tcPr>
            <w:tcW w:w="4837" w:type="dxa"/>
            <w:gridSpan w:val="2"/>
          </w:tcPr>
          <w:p w14:paraId="582E545C" w14:textId="77777777" w:rsidR="00103DFA" w:rsidRPr="00CE7AF3" w:rsidRDefault="00103DFA" w:rsidP="00B462A5">
            <w:pPr>
              <w:rPr>
                <w:b/>
                <w:bCs/>
                <w:noProof w:val="0"/>
                <w:sz w:val="26"/>
                <w:szCs w:val="26"/>
                <w:rtl/>
              </w:rPr>
            </w:pPr>
          </w:p>
        </w:tc>
        <w:tc>
          <w:tcPr>
            <w:tcW w:w="3514" w:type="dxa"/>
          </w:tcPr>
          <w:p w14:paraId="04673A12" w14:textId="77777777" w:rsidR="00103DFA" w:rsidRPr="00CE7AF3" w:rsidRDefault="00103DFA" w:rsidP="00B462A5">
            <w:pPr>
              <w:pStyle w:val="Header"/>
              <w:jc w:val="right"/>
              <w:rPr>
                <w:b/>
                <w:bCs/>
                <w:noProof w:val="0"/>
                <w:sz w:val="26"/>
                <w:szCs w:val="26"/>
                <w:rtl/>
              </w:rPr>
            </w:pPr>
          </w:p>
        </w:tc>
      </w:tr>
      <w:tr w:rsidR="00103DFA" w:rsidRPr="00E64FA5" w14:paraId="3EE8FACE" w14:textId="77777777" w:rsidTr="00B462A5">
        <w:trPr>
          <w:gridBefore w:val="1"/>
          <w:wBefore w:w="19" w:type="dxa"/>
          <w:trHeight w:val="155"/>
          <w:jc w:val="center"/>
        </w:trPr>
        <w:tc>
          <w:tcPr>
            <w:tcW w:w="8352" w:type="dxa"/>
            <w:gridSpan w:val="3"/>
          </w:tcPr>
          <w:p w14:paraId="2BD5AA0A" w14:textId="77777777" w:rsidR="00103DFA" w:rsidRPr="00E64FA5" w:rsidRDefault="00103DFA" w:rsidP="00E64FA5">
            <w:pPr>
              <w:spacing w:before="120" w:after="120" w:line="240" w:lineRule="exact"/>
              <w:rPr>
                <w:b/>
                <w:bCs/>
                <w:noProof w:val="0"/>
                <w:sz w:val="26"/>
                <w:szCs w:val="26"/>
                <w:rtl/>
              </w:rPr>
            </w:pPr>
            <w:r w:rsidRPr="00E64FA5">
              <w:rPr>
                <w:b/>
                <w:bCs/>
                <w:noProof w:val="0"/>
                <w:sz w:val="26"/>
                <w:szCs w:val="26"/>
                <w:rtl/>
              </w:rPr>
              <w:t xml:space="preserve">עת"מ 2308-11-24 </w:t>
            </w:r>
            <w:r w:rsidRPr="00E64FA5">
              <w:rPr>
                <w:rFonts w:hint="cs"/>
                <w:b/>
                <w:bCs/>
                <w:noProof w:val="0"/>
                <w:sz w:val="26"/>
                <w:szCs w:val="26"/>
                <w:rtl/>
              </w:rPr>
              <w:t xml:space="preserve">לזניה </w:t>
            </w:r>
            <w:r w:rsidRPr="00E64FA5">
              <w:rPr>
                <w:b/>
                <w:bCs/>
                <w:noProof w:val="0"/>
                <w:sz w:val="26"/>
                <w:szCs w:val="26"/>
                <w:rtl/>
              </w:rPr>
              <w:t xml:space="preserve">ארטיום נ' </w:t>
            </w:r>
            <w:r w:rsidRPr="00E64FA5">
              <w:rPr>
                <w:rFonts w:hint="cs"/>
                <w:b/>
                <w:bCs/>
                <w:noProof w:val="0"/>
                <w:sz w:val="26"/>
                <w:szCs w:val="26"/>
                <w:rtl/>
              </w:rPr>
              <w:t xml:space="preserve">רשות האוכלוסין וההגירה, </w:t>
            </w:r>
            <w:r w:rsidRPr="00E64FA5">
              <w:rPr>
                <w:b/>
                <w:bCs/>
                <w:noProof w:val="0"/>
                <w:sz w:val="26"/>
                <w:szCs w:val="26"/>
                <w:rtl/>
              </w:rPr>
              <w:t>משרד הפנים</w:t>
            </w:r>
            <w:r w:rsidRPr="00E64FA5">
              <w:rPr>
                <w:rFonts w:hint="cs"/>
                <w:b/>
                <w:bCs/>
                <w:noProof w:val="0"/>
                <w:sz w:val="26"/>
                <w:szCs w:val="26"/>
                <w:rtl/>
              </w:rPr>
              <w:t xml:space="preserve"> </w:t>
            </w:r>
          </w:p>
        </w:tc>
      </w:tr>
    </w:tbl>
    <w:p w14:paraId="0AEA7B05" w14:textId="77777777" w:rsidR="00103DFA" w:rsidRPr="00E64FA5" w:rsidRDefault="00103DFA" w:rsidP="00E64FA5">
      <w:pPr>
        <w:suppressLineNumbers/>
        <w:spacing w:before="120" w:after="120" w:line="240" w:lineRule="exact"/>
        <w:rPr>
          <w:b/>
          <w:bCs/>
          <w:sz w:val="26"/>
          <w:szCs w:val="26"/>
        </w:rPr>
      </w:pPr>
    </w:p>
    <w:tbl>
      <w:tblPr>
        <w:bidiVisual/>
        <w:tblW w:w="8820" w:type="dxa"/>
        <w:jc w:val="center"/>
        <w:tblLook w:val="01E0" w:firstRow="1" w:lastRow="1" w:firstColumn="1" w:lastColumn="1" w:noHBand="0" w:noVBand="0"/>
      </w:tblPr>
      <w:tblGrid>
        <w:gridCol w:w="743"/>
        <w:gridCol w:w="1461"/>
        <w:gridCol w:w="6616"/>
      </w:tblGrid>
      <w:tr w:rsidR="00103DFA" w:rsidRPr="00E64FA5" w14:paraId="00629E9B" w14:textId="77777777" w:rsidTr="00103DFA">
        <w:trPr>
          <w:jc w:val="center"/>
        </w:trPr>
        <w:tc>
          <w:tcPr>
            <w:tcW w:w="743" w:type="dxa"/>
          </w:tcPr>
          <w:p w14:paraId="607E1B8C" w14:textId="77777777" w:rsidR="00103DFA" w:rsidRPr="00E64FA5" w:rsidRDefault="00103DFA" w:rsidP="00E64FA5">
            <w:pPr>
              <w:spacing w:before="120" w:after="120" w:line="240" w:lineRule="exact"/>
              <w:jc w:val="both"/>
              <w:rPr>
                <w:rFonts w:ascii="Arial (W1)" w:hAnsi="Arial (W1)"/>
                <w:b/>
                <w:bCs/>
                <w:sz w:val="26"/>
                <w:szCs w:val="26"/>
              </w:rPr>
            </w:pPr>
            <w:r w:rsidRPr="00E64FA5">
              <w:rPr>
                <w:rFonts w:hint="cs"/>
                <w:b/>
                <w:bCs/>
                <w:sz w:val="26"/>
                <w:szCs w:val="26"/>
                <w:rtl/>
              </w:rPr>
              <w:t xml:space="preserve">לפני: </w:t>
            </w:r>
          </w:p>
        </w:tc>
        <w:tc>
          <w:tcPr>
            <w:tcW w:w="8077" w:type="dxa"/>
            <w:gridSpan w:val="2"/>
          </w:tcPr>
          <w:p w14:paraId="60F3B48E" w14:textId="77777777" w:rsidR="00103DFA" w:rsidRPr="00E64FA5" w:rsidRDefault="00103DFA" w:rsidP="00E64FA5">
            <w:pPr>
              <w:spacing w:before="120" w:after="120" w:line="240" w:lineRule="exact"/>
              <w:rPr>
                <w:b/>
                <w:bCs/>
                <w:sz w:val="26"/>
                <w:szCs w:val="26"/>
              </w:rPr>
            </w:pPr>
            <w:r w:rsidRPr="00E64FA5">
              <w:rPr>
                <w:rFonts w:ascii="Arial" w:hAnsi="Arial" w:hint="cs"/>
                <w:b/>
                <w:bCs/>
                <w:sz w:val="26"/>
                <w:szCs w:val="26"/>
                <w:rtl/>
              </w:rPr>
              <w:t>כבוד ה</w:t>
            </w:r>
            <w:r w:rsidRPr="00E64FA5">
              <w:rPr>
                <w:rFonts w:ascii="Arial" w:hAnsi="Arial"/>
                <w:b/>
                <w:bCs/>
                <w:sz w:val="26"/>
                <w:szCs w:val="26"/>
                <w:rtl/>
              </w:rPr>
              <w:t>שופטת</w:t>
            </w:r>
            <w:r w:rsidRPr="00E64FA5">
              <w:rPr>
                <w:rFonts w:ascii="Arial" w:hAnsi="Arial" w:hint="cs"/>
                <w:b/>
                <w:bCs/>
                <w:sz w:val="26"/>
                <w:szCs w:val="26"/>
                <w:rtl/>
              </w:rPr>
              <w:t xml:space="preserve">  </w:t>
            </w:r>
            <w:r w:rsidRPr="00E64FA5">
              <w:rPr>
                <w:rFonts w:ascii="Arial" w:hAnsi="Arial"/>
                <w:b/>
                <w:bCs/>
                <w:sz w:val="26"/>
                <w:szCs w:val="26"/>
                <w:rtl/>
              </w:rPr>
              <w:t>מיכל אגמון-גונן</w:t>
            </w:r>
          </w:p>
        </w:tc>
      </w:tr>
      <w:tr w:rsidR="00103DFA" w:rsidRPr="00E64FA5" w14:paraId="65D4AAD6" w14:textId="77777777" w:rsidTr="00E64FA5">
        <w:trPr>
          <w:jc w:val="center"/>
        </w:trPr>
        <w:tc>
          <w:tcPr>
            <w:tcW w:w="2204" w:type="dxa"/>
            <w:gridSpan w:val="2"/>
          </w:tcPr>
          <w:p w14:paraId="626B4CD0" w14:textId="77777777" w:rsidR="00103DFA" w:rsidRPr="00E64FA5" w:rsidRDefault="00103DFA" w:rsidP="00E64FA5">
            <w:pPr>
              <w:spacing w:before="120" w:after="120" w:line="240" w:lineRule="exact"/>
              <w:rPr>
                <w:rFonts w:ascii="Arial (W1)" w:hAnsi="Arial (W1)"/>
                <w:b/>
                <w:bCs/>
                <w:noProof w:val="0"/>
                <w:sz w:val="26"/>
                <w:szCs w:val="26"/>
              </w:rPr>
            </w:pPr>
            <w:bookmarkStart w:id="1" w:name="FirstAppellant"/>
            <w:bookmarkStart w:id="2" w:name="FirstLawyer"/>
            <w:r w:rsidRPr="00E64FA5">
              <w:rPr>
                <w:rFonts w:hint="cs"/>
                <w:b/>
                <w:bCs/>
                <w:noProof w:val="0"/>
                <w:sz w:val="26"/>
                <w:szCs w:val="26"/>
                <w:rtl/>
              </w:rPr>
              <w:t>העותר:</w:t>
            </w:r>
          </w:p>
        </w:tc>
        <w:tc>
          <w:tcPr>
            <w:tcW w:w="6616" w:type="dxa"/>
          </w:tcPr>
          <w:p w14:paraId="496EC3B8" w14:textId="77777777" w:rsidR="00103DFA" w:rsidRPr="00E64FA5" w:rsidRDefault="00103DFA" w:rsidP="00E64FA5">
            <w:pPr>
              <w:spacing w:before="120" w:after="120" w:line="240" w:lineRule="exact"/>
              <w:rPr>
                <w:b/>
                <w:bCs/>
                <w:sz w:val="26"/>
                <w:szCs w:val="26"/>
                <w:rtl/>
              </w:rPr>
            </w:pPr>
            <w:r w:rsidRPr="00E64FA5">
              <w:rPr>
                <w:rFonts w:hint="cs"/>
                <w:b/>
                <w:bCs/>
                <w:noProof w:val="0"/>
                <w:sz w:val="26"/>
                <w:szCs w:val="26"/>
                <w:rtl/>
              </w:rPr>
              <w:t>לזניה ארטיום</w:t>
            </w:r>
          </w:p>
          <w:p w14:paraId="3957513F" w14:textId="77777777" w:rsidR="00103DFA" w:rsidRPr="00E64FA5" w:rsidRDefault="00103DFA" w:rsidP="00E64FA5">
            <w:pPr>
              <w:spacing w:before="120" w:after="120" w:line="240" w:lineRule="exact"/>
              <w:rPr>
                <w:rFonts w:ascii="Arial (W1)" w:hAnsi="Arial (W1)"/>
                <w:b/>
                <w:bCs/>
                <w:noProof w:val="0"/>
                <w:sz w:val="26"/>
                <w:szCs w:val="26"/>
              </w:rPr>
            </w:pPr>
            <w:r w:rsidRPr="00E64FA5">
              <w:rPr>
                <w:rFonts w:hint="cs"/>
                <w:b/>
                <w:bCs/>
                <w:sz w:val="26"/>
                <w:szCs w:val="26"/>
                <w:rtl/>
              </w:rPr>
              <w:t>ע"י ב"כ עוה"ד</w:t>
            </w:r>
            <w:r w:rsidRPr="00E64FA5">
              <w:rPr>
                <w:rFonts w:ascii="Arial (W1)" w:hAnsi="Arial (W1)" w:hint="cs"/>
                <w:b/>
                <w:bCs/>
                <w:noProof w:val="0"/>
                <w:sz w:val="26"/>
                <w:szCs w:val="26"/>
                <w:rtl/>
              </w:rPr>
              <w:t xml:space="preserve"> מקסים ליפקין, ראובן ליפקין, מורן אלבג ונטע מרום מעוז</w:t>
            </w:r>
          </w:p>
        </w:tc>
      </w:tr>
      <w:bookmarkEnd w:id="1"/>
      <w:bookmarkEnd w:id="2"/>
      <w:tr w:rsidR="00103DFA" w:rsidRPr="00E64FA5" w14:paraId="73F3FAB7" w14:textId="77777777" w:rsidTr="00103DFA">
        <w:trPr>
          <w:jc w:val="center"/>
        </w:trPr>
        <w:tc>
          <w:tcPr>
            <w:tcW w:w="8820" w:type="dxa"/>
            <w:gridSpan w:val="3"/>
          </w:tcPr>
          <w:p w14:paraId="2AAAC27D" w14:textId="77777777" w:rsidR="00103DFA" w:rsidRPr="00E64FA5" w:rsidRDefault="00103DFA" w:rsidP="00E64FA5">
            <w:pPr>
              <w:spacing w:before="240" w:after="240" w:line="240" w:lineRule="exact"/>
              <w:jc w:val="center"/>
              <w:rPr>
                <w:b/>
                <w:bCs/>
                <w:noProof w:val="0"/>
                <w:sz w:val="26"/>
                <w:szCs w:val="26"/>
              </w:rPr>
            </w:pPr>
            <w:r w:rsidRPr="00E64FA5">
              <w:rPr>
                <w:rFonts w:hint="cs"/>
                <w:b/>
                <w:bCs/>
                <w:noProof w:val="0"/>
                <w:sz w:val="26"/>
                <w:szCs w:val="26"/>
                <w:rtl/>
              </w:rPr>
              <w:t>נגד</w:t>
            </w:r>
          </w:p>
        </w:tc>
      </w:tr>
      <w:tr w:rsidR="00103DFA" w:rsidRPr="00E64FA5" w14:paraId="6C93DEB6" w14:textId="77777777" w:rsidTr="00E64FA5">
        <w:trPr>
          <w:jc w:val="center"/>
        </w:trPr>
        <w:tc>
          <w:tcPr>
            <w:tcW w:w="2204" w:type="dxa"/>
            <w:gridSpan w:val="2"/>
          </w:tcPr>
          <w:p w14:paraId="71E63F5B" w14:textId="77777777" w:rsidR="00103DFA" w:rsidRPr="00E64FA5" w:rsidRDefault="00103DFA" w:rsidP="00E64FA5">
            <w:pPr>
              <w:spacing w:before="120" w:after="120" w:line="240" w:lineRule="exact"/>
              <w:rPr>
                <w:rFonts w:ascii="Arial (W1)" w:hAnsi="Arial (W1)"/>
                <w:b/>
                <w:bCs/>
                <w:noProof w:val="0"/>
                <w:sz w:val="26"/>
                <w:szCs w:val="26"/>
              </w:rPr>
            </w:pPr>
            <w:r w:rsidRPr="00E64FA5">
              <w:rPr>
                <w:rFonts w:hint="cs"/>
                <w:b/>
                <w:bCs/>
                <w:noProof w:val="0"/>
                <w:sz w:val="26"/>
                <w:szCs w:val="26"/>
                <w:rtl/>
              </w:rPr>
              <w:t>המשיבה:</w:t>
            </w:r>
          </w:p>
        </w:tc>
        <w:tc>
          <w:tcPr>
            <w:tcW w:w="6616" w:type="dxa"/>
          </w:tcPr>
          <w:p w14:paraId="29197015" w14:textId="77777777" w:rsidR="00103DFA" w:rsidRPr="00E64FA5" w:rsidRDefault="00103DFA" w:rsidP="00E64FA5">
            <w:pPr>
              <w:spacing w:before="120" w:after="120" w:line="240" w:lineRule="exact"/>
              <w:rPr>
                <w:b/>
                <w:bCs/>
                <w:sz w:val="26"/>
                <w:szCs w:val="26"/>
                <w:rtl/>
              </w:rPr>
            </w:pPr>
            <w:r w:rsidRPr="00E64FA5">
              <w:rPr>
                <w:rFonts w:hint="cs"/>
                <w:b/>
                <w:bCs/>
                <w:noProof w:val="0"/>
                <w:sz w:val="26"/>
                <w:szCs w:val="26"/>
                <w:rtl/>
              </w:rPr>
              <w:t>רשות האוכלוסין וההגירה, משרד הפנים</w:t>
            </w:r>
          </w:p>
          <w:p w14:paraId="4FEDB05E" w14:textId="77777777" w:rsidR="00103DFA" w:rsidRPr="00E64FA5" w:rsidRDefault="00103DFA" w:rsidP="00E64FA5">
            <w:pPr>
              <w:spacing w:before="120" w:after="120" w:line="240" w:lineRule="exact"/>
              <w:rPr>
                <w:rFonts w:ascii="Arial (W1)" w:hAnsi="Arial (W1)"/>
                <w:b/>
                <w:bCs/>
                <w:noProof w:val="0"/>
                <w:sz w:val="26"/>
                <w:szCs w:val="26"/>
              </w:rPr>
            </w:pPr>
            <w:r w:rsidRPr="00E64FA5">
              <w:rPr>
                <w:rFonts w:hint="cs"/>
                <w:b/>
                <w:bCs/>
                <w:sz w:val="26"/>
                <w:szCs w:val="26"/>
                <w:rtl/>
              </w:rPr>
              <w:t>ע"י ב"כ עו"ד</w:t>
            </w:r>
            <w:r w:rsidRPr="00E64FA5">
              <w:rPr>
                <w:rFonts w:ascii="Arial (W1)" w:hAnsi="Arial (W1)" w:hint="cs"/>
                <w:b/>
                <w:bCs/>
                <w:noProof w:val="0"/>
                <w:sz w:val="26"/>
                <w:szCs w:val="26"/>
                <w:rtl/>
              </w:rPr>
              <w:t xml:space="preserve"> שלומית ארבל מפרקליטות מחוז ת"א</w:t>
            </w:r>
          </w:p>
        </w:tc>
      </w:tr>
    </w:tbl>
    <w:p w14:paraId="7FD3E0C7" w14:textId="77777777" w:rsidR="00103DFA" w:rsidRPr="00CE7AF3" w:rsidRDefault="00103DFA" w:rsidP="00103DFA">
      <w:pPr>
        <w:suppressLineNumbers/>
        <w:rPr>
          <w:rFonts w:ascii="Arial (W1)" w:hAnsi="Arial (W1)"/>
          <w:sz w:val="28"/>
          <w:szCs w:val="28"/>
          <w:rtl/>
        </w:rPr>
      </w:pPr>
    </w:p>
    <w:p w14:paraId="7E632B73" w14:textId="77777777" w:rsidR="00D93CD0" w:rsidRPr="00D93CD0" w:rsidRDefault="00D93CD0" w:rsidP="00D93CD0">
      <w:pPr>
        <w:suppressLineNumbers/>
        <w:spacing w:after="120" w:line="240" w:lineRule="exact"/>
        <w:ind w:left="283" w:hanging="283"/>
        <w:jc w:val="both"/>
        <w:rPr>
          <w:rStyle w:val="Hyperlink"/>
          <w:rFonts w:ascii="FrankRuehl" w:hAnsi="FrankRuehl" w:cs="FrankRuehl"/>
          <w:u w:val="none"/>
          <w:rtl/>
        </w:rPr>
      </w:pPr>
      <w:r w:rsidRPr="00D93CD0">
        <w:rPr>
          <w:rFonts w:ascii="FrankRuehl" w:hAnsi="FrankRuehl" w:cs="FrankRuehl"/>
          <w:rtl/>
        </w:rPr>
        <w:t>כתבי עת:</w:t>
      </w:r>
      <w:r w:rsidRPr="00D93CD0">
        <w:rPr>
          <w:rFonts w:ascii="FrankRuehl" w:hAnsi="FrankRuehl" w:cs="FrankRuehl"/>
          <w:rtl/>
        </w:rPr>
        <w:fldChar w:fldCharType="begin"/>
      </w:r>
      <w:r w:rsidRPr="00D93CD0">
        <w:rPr>
          <w:rFonts w:ascii="FrankRuehl" w:hAnsi="FrankRuehl" w:cs="FrankRuehl"/>
          <w:rtl/>
        </w:rPr>
        <w:instrText xml:space="preserve"> </w:instrText>
      </w:r>
      <w:r w:rsidRPr="00D93CD0">
        <w:rPr>
          <w:rFonts w:ascii="FrankRuehl" w:hAnsi="FrankRuehl" w:cs="FrankRuehl"/>
        </w:rPr>
        <w:instrText>HYPERLINK</w:instrText>
      </w:r>
      <w:r w:rsidRPr="00D93CD0">
        <w:rPr>
          <w:rFonts w:ascii="FrankRuehl" w:hAnsi="FrankRuehl" w:cs="FrankRuehl"/>
          <w:rtl/>
        </w:rPr>
        <w:instrText xml:space="preserve"> "</w:instrText>
      </w:r>
      <w:r w:rsidRPr="00D93CD0">
        <w:rPr>
          <w:rFonts w:ascii="FrankRuehl" w:hAnsi="FrankRuehl" w:cs="FrankRuehl"/>
        </w:rPr>
        <w:instrText>http://www.nevo.co.il/safrut/book/35250</w:instrText>
      </w:r>
      <w:r w:rsidRPr="00D93CD0">
        <w:rPr>
          <w:rFonts w:ascii="FrankRuehl" w:hAnsi="FrankRuehl" w:cs="FrankRuehl"/>
          <w:rtl/>
        </w:rPr>
        <w:instrText xml:space="preserve">" </w:instrText>
      </w:r>
      <w:r w:rsidRPr="00D93CD0">
        <w:rPr>
          <w:rFonts w:ascii="FrankRuehl" w:hAnsi="FrankRuehl" w:cs="FrankRuehl"/>
          <w:rtl/>
        </w:rPr>
      </w:r>
      <w:r w:rsidRPr="00D93CD0">
        <w:rPr>
          <w:rFonts w:ascii="FrankRuehl" w:hAnsi="FrankRuehl" w:cs="FrankRuehl"/>
          <w:rtl/>
        </w:rPr>
        <w:fldChar w:fldCharType="separate"/>
      </w:r>
    </w:p>
    <w:p w14:paraId="3D86D00A" w14:textId="77777777" w:rsidR="00D93CD0" w:rsidRPr="00D93CD0" w:rsidRDefault="00D93CD0" w:rsidP="00D93CD0">
      <w:pPr>
        <w:suppressLineNumbers/>
        <w:spacing w:after="120" w:line="240" w:lineRule="exact"/>
        <w:ind w:left="283" w:hanging="283"/>
        <w:jc w:val="both"/>
        <w:rPr>
          <w:rFonts w:ascii="FrankRuehl" w:hAnsi="FrankRuehl" w:cs="FrankRuehl"/>
          <w:rtl/>
        </w:rPr>
      </w:pPr>
      <w:r w:rsidRPr="00D93CD0">
        <w:rPr>
          <w:rStyle w:val="Hyperlink"/>
          <w:rFonts w:ascii="FrankRuehl" w:hAnsi="FrankRuehl" w:cs="FrankRuehl"/>
          <w:u w:val="none"/>
          <w:rtl/>
        </w:rPr>
        <w:t>איל פלג, "ההליך המנהלי בצילו של שיקול־דעת", עיוני משפט, מב (2019) 129</w:t>
      </w:r>
      <w:r w:rsidRPr="00D93CD0">
        <w:rPr>
          <w:rFonts w:ascii="FrankRuehl" w:hAnsi="FrankRuehl" w:cs="FrankRuehl"/>
          <w:rtl/>
        </w:rPr>
        <w:fldChar w:fldCharType="end"/>
      </w:r>
    </w:p>
    <w:p w14:paraId="77E7F3CF" w14:textId="77777777" w:rsidR="00D93CD0" w:rsidRPr="00D93CD0" w:rsidRDefault="00D93CD0" w:rsidP="00D93CD0">
      <w:pPr>
        <w:suppressLineNumbers/>
        <w:spacing w:after="120" w:line="240" w:lineRule="exact"/>
        <w:ind w:left="283" w:hanging="283"/>
        <w:jc w:val="both"/>
        <w:rPr>
          <w:rFonts w:ascii="FrankRuehl" w:hAnsi="FrankRuehl" w:cs="FrankRuehl"/>
          <w:rtl/>
        </w:rPr>
      </w:pPr>
      <w:hyperlink r:id="rId7" w:history="1">
        <w:r w:rsidRPr="00D93CD0">
          <w:rPr>
            <w:rStyle w:val="Hyperlink"/>
            <w:rFonts w:ascii="FrankRuehl" w:hAnsi="FrankRuehl" w:cs="FrankRuehl"/>
            <w:u w:val="none"/>
            <w:rtl/>
          </w:rPr>
          <w:t>דפנה ברק ארז, "נאמנות, אמון והגינות במשפט המינהלי", חובות אמון בדין הישראלי,  (2016) 169</w:t>
        </w:r>
      </w:hyperlink>
    </w:p>
    <w:p w14:paraId="188146C9" w14:textId="77777777" w:rsidR="00D93CD0" w:rsidRPr="00D93CD0" w:rsidRDefault="00D93CD0" w:rsidP="0055401E">
      <w:pPr>
        <w:suppressLineNumbers/>
        <w:spacing w:after="120" w:line="240" w:lineRule="exact"/>
        <w:ind w:left="283" w:hanging="283"/>
        <w:jc w:val="both"/>
        <w:rPr>
          <w:rtl/>
        </w:rPr>
      </w:pPr>
      <w:bookmarkStart w:id="3" w:name="Links_Kitvei_End"/>
      <w:bookmarkEnd w:id="3"/>
    </w:p>
    <w:p w14:paraId="328546CA" w14:textId="77777777" w:rsidR="00D93CD0" w:rsidRPr="00D93CD0" w:rsidRDefault="00D93CD0" w:rsidP="00D93CD0">
      <w:pPr>
        <w:suppressLineNumbers/>
        <w:spacing w:after="120" w:line="240" w:lineRule="exact"/>
        <w:ind w:left="283" w:hanging="283"/>
        <w:jc w:val="both"/>
        <w:rPr>
          <w:rFonts w:ascii="FrankRuehl" w:hAnsi="FrankRuehl" w:cs="FrankRuehl"/>
          <w:rtl/>
        </w:rPr>
      </w:pPr>
      <w:bookmarkStart w:id="4" w:name="Links_Start"/>
      <w:bookmarkEnd w:id="4"/>
      <w:r w:rsidRPr="00D93CD0">
        <w:rPr>
          <w:rFonts w:ascii="FrankRuehl" w:hAnsi="FrankRuehl" w:cs="FrankRuehl"/>
          <w:rtl/>
        </w:rPr>
        <w:t>ספרות:</w:t>
      </w:r>
    </w:p>
    <w:p w14:paraId="3DF98EF2" w14:textId="77777777" w:rsidR="00D93CD0" w:rsidRPr="00D93CD0" w:rsidRDefault="00D93CD0" w:rsidP="00D93CD0">
      <w:pPr>
        <w:suppressLineNumbers/>
        <w:spacing w:after="120" w:line="240" w:lineRule="exact"/>
        <w:ind w:left="283" w:hanging="283"/>
        <w:jc w:val="both"/>
        <w:rPr>
          <w:rStyle w:val="Hyperlink"/>
          <w:rFonts w:ascii="FrankRuehl" w:hAnsi="FrankRuehl" w:cs="FrankRuehl"/>
          <w:u w:val="none"/>
          <w:rtl/>
        </w:rPr>
      </w:pPr>
      <w:r w:rsidRPr="00D93CD0">
        <w:rPr>
          <w:rFonts w:ascii="FrankRuehl" w:hAnsi="FrankRuehl" w:cs="FrankRuehl"/>
          <w:color w:val="0000FF"/>
          <w:rtl/>
        </w:rPr>
        <w:fldChar w:fldCharType="begin"/>
      </w:r>
      <w:r w:rsidRPr="00D93CD0">
        <w:rPr>
          <w:rFonts w:ascii="FrankRuehl" w:hAnsi="FrankRuehl" w:cs="FrankRuehl"/>
          <w:color w:val="0000FF"/>
          <w:rtl/>
        </w:rPr>
        <w:instrText xml:space="preserve"> </w:instrText>
      </w:r>
      <w:r w:rsidRPr="00D93CD0">
        <w:rPr>
          <w:rFonts w:ascii="FrankRuehl" w:hAnsi="FrankRuehl" w:cs="FrankRuehl"/>
          <w:color w:val="0000FF"/>
        </w:rPr>
        <w:instrText>HYPERLINK</w:instrText>
      </w:r>
      <w:r w:rsidRPr="00D93CD0">
        <w:rPr>
          <w:rFonts w:ascii="FrankRuehl" w:hAnsi="FrankRuehl" w:cs="FrankRuehl"/>
          <w:color w:val="0000FF"/>
          <w:rtl/>
        </w:rPr>
        <w:instrText xml:space="preserve"> "</w:instrText>
      </w:r>
      <w:r w:rsidRPr="00D93CD0">
        <w:rPr>
          <w:rFonts w:ascii="FrankRuehl" w:hAnsi="FrankRuehl" w:cs="FrankRuehl"/>
          <w:color w:val="0000FF"/>
        </w:rPr>
        <w:instrText>http://www.nevo.co.il/safrut/bookgroup/385</w:instrText>
      </w:r>
      <w:r w:rsidRPr="00D93CD0">
        <w:rPr>
          <w:rFonts w:ascii="FrankRuehl" w:hAnsi="FrankRuehl" w:cs="FrankRuehl"/>
          <w:color w:val="0000FF"/>
          <w:rtl/>
        </w:rPr>
        <w:instrText xml:space="preserve">" </w:instrText>
      </w:r>
      <w:r w:rsidRPr="00D93CD0">
        <w:rPr>
          <w:rFonts w:ascii="FrankRuehl" w:hAnsi="FrankRuehl" w:cs="FrankRuehl"/>
          <w:color w:val="0000FF"/>
          <w:rtl/>
        </w:rPr>
      </w:r>
      <w:r w:rsidRPr="00D93CD0">
        <w:rPr>
          <w:rFonts w:ascii="FrankRuehl" w:hAnsi="FrankRuehl" w:cs="FrankRuehl"/>
          <w:color w:val="0000FF"/>
          <w:rtl/>
        </w:rPr>
        <w:fldChar w:fldCharType="separate"/>
      </w:r>
      <w:r w:rsidRPr="00D93CD0">
        <w:rPr>
          <w:rStyle w:val="Hyperlink"/>
          <w:rFonts w:ascii="FrankRuehl" w:hAnsi="FrankRuehl" w:cs="FrankRuehl"/>
          <w:u w:val="none"/>
          <w:rtl/>
        </w:rPr>
        <w:t xml:space="preserve">יצחק זמיר   </w:t>
      </w:r>
      <w:r w:rsidRPr="00D93CD0">
        <w:rPr>
          <w:rStyle w:val="Hyperlink"/>
          <w:rFonts w:ascii="FrankRuehl" w:hAnsi="FrankRuehl" w:cs="FrankRuehl"/>
          <w:b/>
          <w:bCs/>
          <w:u w:val="none"/>
          <w:rtl/>
        </w:rPr>
        <w:t xml:space="preserve">הסמכות המינהלית </w:t>
      </w:r>
    </w:p>
    <w:p w14:paraId="29EDB268" w14:textId="77777777" w:rsidR="00D93CD0" w:rsidRPr="00D93CD0" w:rsidRDefault="00D93CD0" w:rsidP="00D93CD0">
      <w:pPr>
        <w:suppressLineNumbers/>
        <w:spacing w:after="120" w:line="240" w:lineRule="exact"/>
        <w:ind w:left="283" w:hanging="283"/>
        <w:jc w:val="both"/>
        <w:rPr>
          <w:rStyle w:val="Hyperlink"/>
          <w:rFonts w:ascii="FrankRuehl" w:hAnsi="FrankRuehl" w:cs="FrankRuehl"/>
          <w:u w:val="none"/>
          <w:rtl/>
        </w:rPr>
      </w:pPr>
      <w:r w:rsidRPr="00D93CD0">
        <w:rPr>
          <w:rFonts w:ascii="FrankRuehl" w:hAnsi="FrankRuehl" w:cs="FrankRuehl"/>
          <w:color w:val="0000FF"/>
          <w:rtl/>
        </w:rPr>
        <w:fldChar w:fldCharType="end"/>
      </w:r>
      <w:r w:rsidRPr="00D93CD0">
        <w:rPr>
          <w:rFonts w:ascii="FrankRuehl" w:hAnsi="FrankRuehl" w:cs="FrankRuehl"/>
          <w:color w:val="0000FF"/>
          <w:rtl/>
        </w:rPr>
        <w:fldChar w:fldCharType="begin"/>
      </w:r>
      <w:r w:rsidRPr="00D93CD0">
        <w:rPr>
          <w:rFonts w:ascii="FrankRuehl" w:hAnsi="FrankRuehl" w:cs="FrankRuehl"/>
          <w:color w:val="0000FF"/>
          <w:rtl/>
        </w:rPr>
        <w:instrText xml:space="preserve"> </w:instrText>
      </w:r>
      <w:r w:rsidRPr="00D93CD0">
        <w:rPr>
          <w:rFonts w:ascii="FrankRuehl" w:hAnsi="FrankRuehl" w:cs="FrankRuehl"/>
          <w:color w:val="0000FF"/>
        </w:rPr>
        <w:instrText>HYPERLINK</w:instrText>
      </w:r>
      <w:r w:rsidRPr="00D93CD0">
        <w:rPr>
          <w:rFonts w:ascii="FrankRuehl" w:hAnsi="FrankRuehl" w:cs="FrankRuehl"/>
          <w:color w:val="0000FF"/>
          <w:rtl/>
        </w:rPr>
        <w:instrText xml:space="preserve"> "</w:instrText>
      </w:r>
      <w:r w:rsidRPr="00D93CD0">
        <w:rPr>
          <w:rFonts w:ascii="FrankRuehl" w:hAnsi="FrankRuehl" w:cs="FrankRuehl"/>
          <w:color w:val="0000FF"/>
        </w:rPr>
        <w:instrText>http://www.nevo.co.il/safrut/bookgroup/2057</w:instrText>
      </w:r>
      <w:r w:rsidRPr="00D93CD0">
        <w:rPr>
          <w:rFonts w:ascii="FrankRuehl" w:hAnsi="FrankRuehl" w:cs="FrankRuehl"/>
          <w:color w:val="0000FF"/>
          <w:rtl/>
        </w:rPr>
        <w:instrText xml:space="preserve">" </w:instrText>
      </w:r>
      <w:r w:rsidRPr="00D93CD0">
        <w:rPr>
          <w:rFonts w:ascii="FrankRuehl" w:hAnsi="FrankRuehl" w:cs="FrankRuehl"/>
          <w:color w:val="0000FF"/>
          <w:rtl/>
        </w:rPr>
      </w:r>
      <w:r w:rsidRPr="00D93CD0">
        <w:rPr>
          <w:rFonts w:ascii="FrankRuehl" w:hAnsi="FrankRuehl" w:cs="FrankRuehl"/>
          <w:color w:val="0000FF"/>
          <w:rtl/>
        </w:rPr>
        <w:fldChar w:fldCharType="separate"/>
      </w:r>
      <w:r w:rsidRPr="00D93CD0">
        <w:rPr>
          <w:rStyle w:val="Hyperlink"/>
          <w:rFonts w:ascii="FrankRuehl" w:hAnsi="FrankRuehl" w:cs="FrankRuehl"/>
          <w:u w:val="none"/>
          <w:rtl/>
        </w:rPr>
        <w:t xml:space="preserve">דפנה ברק-ארז   </w:t>
      </w:r>
      <w:r w:rsidRPr="00D93CD0">
        <w:rPr>
          <w:rStyle w:val="Hyperlink"/>
          <w:rFonts w:ascii="FrankRuehl" w:hAnsi="FrankRuehl" w:cs="FrankRuehl"/>
          <w:b/>
          <w:bCs/>
          <w:u w:val="none"/>
          <w:rtl/>
        </w:rPr>
        <w:t xml:space="preserve">משפט מינהלי </w:t>
      </w:r>
    </w:p>
    <w:p w14:paraId="1EE2071E" w14:textId="77777777" w:rsidR="00D93CD0" w:rsidRPr="00D93CD0" w:rsidRDefault="00D93CD0" w:rsidP="00D93CD0">
      <w:pPr>
        <w:suppressLineNumbers/>
        <w:spacing w:before="120" w:after="120" w:line="240" w:lineRule="exact"/>
        <w:ind w:left="283" w:hanging="283"/>
        <w:jc w:val="both"/>
        <w:rPr>
          <w:rFonts w:ascii="FrankRuehl" w:hAnsi="FrankRuehl" w:cs="FrankRuehl"/>
          <w:color w:val="0000FF"/>
          <w:rtl/>
        </w:rPr>
      </w:pPr>
      <w:r w:rsidRPr="00D93CD0">
        <w:rPr>
          <w:rFonts w:ascii="FrankRuehl" w:hAnsi="FrankRuehl" w:cs="FrankRuehl"/>
          <w:color w:val="0000FF"/>
          <w:rtl/>
        </w:rPr>
        <w:fldChar w:fldCharType="end"/>
      </w:r>
      <w:bookmarkStart w:id="5" w:name="Links_End"/>
      <w:bookmarkStart w:id="6" w:name="LawTable"/>
      <w:bookmarkEnd w:id="5"/>
      <w:bookmarkEnd w:id="6"/>
    </w:p>
    <w:p w14:paraId="6037BA60" w14:textId="77777777" w:rsidR="00D93CD0" w:rsidRPr="00D93CD0" w:rsidRDefault="00D93CD0" w:rsidP="00D93CD0">
      <w:pPr>
        <w:suppressLineNumbers/>
        <w:spacing w:before="120" w:after="120" w:line="240" w:lineRule="exact"/>
        <w:ind w:left="283" w:hanging="283"/>
        <w:jc w:val="both"/>
        <w:rPr>
          <w:rFonts w:ascii="FrankRuehl" w:hAnsi="FrankRuehl" w:cs="FrankRuehl"/>
          <w:rtl/>
        </w:rPr>
      </w:pPr>
      <w:r w:rsidRPr="00D93CD0">
        <w:rPr>
          <w:rFonts w:ascii="FrankRuehl" w:hAnsi="FrankRuehl" w:cs="FrankRuehl"/>
          <w:rtl/>
        </w:rPr>
        <w:t xml:space="preserve">חקיקה שאוזכרה: </w:t>
      </w:r>
    </w:p>
    <w:p w14:paraId="54F5E2B8" w14:textId="77777777" w:rsidR="00D93CD0" w:rsidRPr="00D93CD0" w:rsidRDefault="00D93CD0" w:rsidP="00D93CD0">
      <w:pPr>
        <w:suppressLineNumbers/>
        <w:spacing w:before="120" w:after="120" w:line="240" w:lineRule="exact"/>
        <w:ind w:left="283" w:hanging="283"/>
        <w:jc w:val="both"/>
        <w:rPr>
          <w:rFonts w:ascii="FrankRuehl" w:hAnsi="FrankRuehl" w:cs="FrankRuehl"/>
          <w:color w:val="0000FF"/>
          <w:rtl/>
        </w:rPr>
      </w:pPr>
      <w:hyperlink r:id="rId8" w:history="1">
        <w:r w:rsidRPr="00D93CD0">
          <w:rPr>
            <w:rStyle w:val="Hyperlink"/>
            <w:rFonts w:ascii="FrankRuehl" w:hAnsi="FrankRuehl" w:cs="FrankRuehl"/>
            <w:u w:val="none"/>
            <w:rtl/>
          </w:rPr>
          <w:t>חוק השבות, תש"י-1950</w:t>
        </w:r>
      </w:hyperlink>
      <w:r w:rsidRPr="00D93CD0">
        <w:rPr>
          <w:rFonts w:ascii="FrankRuehl" w:hAnsi="FrankRuehl" w:cs="FrankRuehl"/>
          <w:color w:val="0000FF"/>
          <w:rtl/>
        </w:rPr>
        <w:t xml:space="preserve">: סע'  </w:t>
      </w:r>
      <w:hyperlink r:id="rId9" w:history="1">
        <w:r w:rsidRPr="00D93CD0">
          <w:rPr>
            <w:rStyle w:val="Hyperlink"/>
            <w:rFonts w:ascii="FrankRuehl" w:hAnsi="FrankRuehl" w:cs="FrankRuehl"/>
            <w:u w:val="none"/>
          </w:rPr>
          <w:t>1</w:t>
        </w:r>
      </w:hyperlink>
      <w:r w:rsidRPr="00D93CD0">
        <w:rPr>
          <w:rFonts w:ascii="FrankRuehl" w:hAnsi="FrankRuehl" w:cs="FrankRuehl"/>
          <w:color w:val="0000FF"/>
          <w:rtl/>
        </w:rPr>
        <w:t xml:space="preserve">, </w:t>
      </w:r>
      <w:hyperlink r:id="rId10" w:history="1">
        <w:r w:rsidRPr="00D93CD0">
          <w:rPr>
            <w:rStyle w:val="Hyperlink"/>
            <w:rFonts w:ascii="FrankRuehl" w:hAnsi="FrankRuehl" w:cs="FrankRuehl"/>
            <w:u w:val="none"/>
          </w:rPr>
          <w:t>4</w:t>
        </w:r>
        <w:r w:rsidRPr="00D93CD0">
          <w:rPr>
            <w:rStyle w:val="Hyperlink"/>
            <w:rFonts w:ascii="FrankRuehl" w:hAnsi="FrankRuehl" w:cs="FrankRuehl"/>
            <w:u w:val="none"/>
            <w:rtl/>
          </w:rPr>
          <w:t>א</w:t>
        </w:r>
      </w:hyperlink>
      <w:r w:rsidRPr="00D93CD0">
        <w:rPr>
          <w:rFonts w:ascii="FrankRuehl" w:hAnsi="FrankRuehl" w:cs="FrankRuehl"/>
          <w:color w:val="0000FF"/>
          <w:rtl/>
        </w:rPr>
        <w:t xml:space="preserve">, </w:t>
      </w:r>
      <w:hyperlink r:id="rId11" w:history="1">
        <w:r w:rsidRPr="00D93CD0">
          <w:rPr>
            <w:rStyle w:val="Hyperlink"/>
            <w:rFonts w:ascii="FrankRuehl" w:hAnsi="FrankRuehl" w:cs="FrankRuehl"/>
            <w:u w:val="none"/>
          </w:rPr>
          <w:t>4</w:t>
        </w:r>
        <w:r w:rsidRPr="00D93CD0">
          <w:rPr>
            <w:rStyle w:val="Hyperlink"/>
            <w:rFonts w:ascii="FrankRuehl" w:hAnsi="FrankRuehl" w:cs="FrankRuehl"/>
            <w:u w:val="none"/>
            <w:rtl/>
          </w:rPr>
          <w:t>א</w:t>
        </w:r>
        <w:r w:rsidRPr="00D93CD0">
          <w:rPr>
            <w:rStyle w:val="Hyperlink"/>
            <w:rFonts w:ascii="FrankRuehl" w:hAnsi="FrankRuehl" w:cs="FrankRuehl"/>
            <w:u w:val="none"/>
          </w:rPr>
          <w:t xml:space="preserve"> </w:t>
        </w:r>
      </w:hyperlink>
      <w:r w:rsidRPr="00D93CD0">
        <w:rPr>
          <w:rFonts w:ascii="FrankRuehl" w:hAnsi="FrankRuehl" w:cs="FrankRuehl"/>
          <w:color w:val="0000FF"/>
          <w:rtl/>
        </w:rPr>
        <w:t xml:space="preserve">(א), </w:t>
      </w:r>
      <w:hyperlink r:id="rId12" w:history="1">
        <w:r w:rsidRPr="00D93CD0">
          <w:rPr>
            <w:rStyle w:val="Hyperlink"/>
            <w:rFonts w:ascii="FrankRuehl" w:hAnsi="FrankRuehl" w:cs="FrankRuehl"/>
            <w:u w:val="none"/>
          </w:rPr>
          <w:t>4</w:t>
        </w:r>
        <w:r w:rsidRPr="00D93CD0">
          <w:rPr>
            <w:rStyle w:val="Hyperlink"/>
            <w:rFonts w:ascii="FrankRuehl" w:hAnsi="FrankRuehl" w:cs="FrankRuehl"/>
            <w:u w:val="none"/>
            <w:rtl/>
          </w:rPr>
          <w:t>ב</w:t>
        </w:r>
      </w:hyperlink>
    </w:p>
    <w:p w14:paraId="7807919F" w14:textId="77777777" w:rsidR="00D93CD0" w:rsidRPr="00D93CD0" w:rsidRDefault="00D93CD0" w:rsidP="00D93CD0">
      <w:pPr>
        <w:suppressLineNumbers/>
        <w:spacing w:before="120" w:after="120" w:line="240" w:lineRule="exact"/>
        <w:ind w:left="283" w:hanging="283"/>
        <w:jc w:val="both"/>
        <w:rPr>
          <w:rFonts w:ascii="FrankRuehl" w:hAnsi="FrankRuehl" w:cs="FrankRuehl"/>
          <w:color w:val="0000FF"/>
          <w:rtl/>
        </w:rPr>
      </w:pPr>
      <w:hyperlink r:id="rId13" w:history="1">
        <w:r w:rsidRPr="00D93CD0">
          <w:rPr>
            <w:rStyle w:val="Hyperlink"/>
            <w:rFonts w:ascii="FrankRuehl" w:hAnsi="FrankRuehl" w:cs="FrankRuehl"/>
            <w:u w:val="none"/>
            <w:rtl/>
          </w:rPr>
          <w:t>פקודת בזיון בית המשפט</w:t>
        </w:r>
      </w:hyperlink>
      <w:r w:rsidRPr="00D93CD0">
        <w:rPr>
          <w:rFonts w:ascii="FrankRuehl" w:hAnsi="FrankRuehl" w:cs="FrankRuehl"/>
          <w:color w:val="0000FF"/>
          <w:rtl/>
        </w:rPr>
        <w:t xml:space="preserve">: סע'  </w:t>
      </w:r>
      <w:hyperlink r:id="rId14" w:history="1">
        <w:r w:rsidRPr="00D93CD0">
          <w:rPr>
            <w:rStyle w:val="Hyperlink"/>
            <w:rFonts w:ascii="FrankRuehl" w:hAnsi="FrankRuehl" w:cs="FrankRuehl"/>
            <w:u w:val="none"/>
          </w:rPr>
          <w:t>6</w:t>
        </w:r>
      </w:hyperlink>
    </w:p>
    <w:p w14:paraId="556A665D" w14:textId="77777777" w:rsidR="00D93CD0" w:rsidRPr="00D93CD0" w:rsidRDefault="00D93CD0" w:rsidP="00D93CD0">
      <w:pPr>
        <w:suppressLineNumbers/>
        <w:spacing w:before="120" w:after="120" w:line="240" w:lineRule="exact"/>
        <w:ind w:left="283" w:hanging="283"/>
        <w:jc w:val="both"/>
        <w:rPr>
          <w:rFonts w:ascii="FrankRuehl" w:hAnsi="FrankRuehl" w:cs="FrankRuehl"/>
          <w:color w:val="0000FF"/>
          <w:rtl/>
        </w:rPr>
      </w:pPr>
      <w:hyperlink r:id="rId15" w:history="1">
        <w:r w:rsidRPr="00D93CD0">
          <w:rPr>
            <w:rStyle w:val="Hyperlink"/>
            <w:rFonts w:ascii="FrankRuehl" w:hAnsi="FrankRuehl" w:cs="FrankRuehl"/>
            <w:u w:val="none"/>
            <w:rtl/>
          </w:rPr>
          <w:t>חוק האזרחות, תשי"ב-1952</w:t>
        </w:r>
      </w:hyperlink>
    </w:p>
    <w:p w14:paraId="6DE5E34F" w14:textId="77777777" w:rsidR="00103DFA" w:rsidRDefault="00103DFA" w:rsidP="00D93CD0">
      <w:pPr>
        <w:suppressLineNumbers/>
        <w:spacing w:after="120" w:line="240" w:lineRule="exact"/>
        <w:ind w:left="283" w:hanging="283"/>
        <w:jc w:val="both"/>
        <w:rPr>
          <w:rtl/>
        </w:rPr>
      </w:pPr>
      <w:bookmarkStart w:id="7" w:name="LawTable_End"/>
      <w:bookmarkEnd w:id="7"/>
    </w:p>
    <w:p w14:paraId="274E52A0"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Pr>
      </w:pPr>
      <w:bookmarkStart w:id="8" w:name="ABSTRACT_START"/>
      <w:bookmarkEnd w:id="8"/>
      <w:r w:rsidRPr="002244F6">
        <w:rPr>
          <w:rFonts w:cs="FrankRuehl"/>
          <w:szCs w:val="26"/>
          <w:rtl/>
        </w:rPr>
        <w:t>מיני-רציו:</w:t>
      </w:r>
    </w:p>
    <w:p w14:paraId="02C48099"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rtl/>
        </w:rPr>
      </w:pPr>
      <w:r w:rsidRPr="002244F6">
        <w:rPr>
          <w:rFonts w:cs="FrankRuehl"/>
          <w:szCs w:val="26"/>
          <w:rtl/>
        </w:rPr>
        <w:t xml:space="preserve">* התקבלה עתירה </w:t>
      </w:r>
      <w:r w:rsidRPr="002244F6">
        <w:rPr>
          <w:rFonts w:cs="FrankRuehl" w:hint="cs"/>
          <w:szCs w:val="26"/>
          <w:rtl/>
        </w:rPr>
        <w:t xml:space="preserve">של אזרח אוקראינה, בן לאב נוצרי ואם יהודייה אשר הוטבל בילדותו, </w:t>
      </w:r>
      <w:r w:rsidRPr="002244F6">
        <w:rPr>
          <w:rFonts w:cs="FrankRuehl"/>
          <w:noProof w:val="0"/>
          <w:szCs w:val="26"/>
          <w:rtl/>
        </w:rPr>
        <w:t>לקבלת מעמד מכוח שבות</w:t>
      </w:r>
      <w:r w:rsidRPr="002244F6">
        <w:rPr>
          <w:rFonts w:cs="FrankRuehl" w:hint="cs"/>
          <w:noProof w:val="0"/>
          <w:szCs w:val="26"/>
          <w:rtl/>
        </w:rPr>
        <w:t>, לו ולבני משפחתו</w:t>
      </w:r>
      <w:r w:rsidRPr="002244F6">
        <w:rPr>
          <w:rFonts w:cs="FrankRuehl"/>
          <w:noProof w:val="0"/>
          <w:szCs w:val="26"/>
          <w:rtl/>
        </w:rPr>
        <w:t xml:space="preserve">; נקבע, כי </w:t>
      </w:r>
      <w:r w:rsidRPr="002244F6">
        <w:rPr>
          <w:rFonts w:cs="FrankRuehl" w:hint="cs"/>
          <w:noProof w:val="0"/>
          <w:szCs w:val="26"/>
          <w:rtl/>
        </w:rPr>
        <w:t xml:space="preserve">בהתאם למבחן הפסיקתי, אין לראות בעותר משום "בן דת אחרת" שזכאותו מכוח </w:t>
      </w:r>
      <w:hyperlink r:id="rId16" w:history="1">
        <w:r w:rsidRPr="002244F6">
          <w:rPr>
            <w:rFonts w:cs="FrankRuehl"/>
            <w:szCs w:val="26"/>
            <w:rtl/>
          </w:rPr>
          <w:t>חוק השבות</w:t>
        </w:r>
      </w:hyperlink>
      <w:r w:rsidRPr="002244F6">
        <w:rPr>
          <w:rFonts w:cs="FrankRuehl"/>
          <w:szCs w:val="26"/>
          <w:rtl/>
        </w:rPr>
        <w:t>,</w:t>
      </w:r>
      <w:r w:rsidRPr="002244F6">
        <w:rPr>
          <w:rFonts w:cs="FrankRuehl" w:hint="cs"/>
          <w:szCs w:val="26"/>
          <w:rtl/>
        </w:rPr>
        <w:t xml:space="preserve"> על-אף שנולד כיהודי</w:t>
      </w:r>
      <w:r w:rsidRPr="002244F6">
        <w:rPr>
          <w:rFonts w:cs="FrankRuehl"/>
          <w:szCs w:val="26"/>
          <w:rtl/>
        </w:rPr>
        <w:t xml:space="preserve">.  </w:t>
      </w:r>
    </w:p>
    <w:p w14:paraId="47861119"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rtl/>
        </w:rPr>
      </w:pPr>
      <w:r w:rsidRPr="002244F6">
        <w:rPr>
          <w:rFonts w:cs="FrankRuehl"/>
          <w:szCs w:val="26"/>
          <w:rtl/>
        </w:rPr>
        <w:t>* משפט חוקתי – שבות – חוק השבות, תשי-1950</w:t>
      </w:r>
    </w:p>
    <w:p w14:paraId="7D4AC9AB"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sidRPr="002244F6">
        <w:rPr>
          <w:rFonts w:cs="FrankRuehl"/>
          <w:szCs w:val="26"/>
          <w:rtl/>
        </w:rPr>
        <w:t xml:space="preserve">* </w:t>
      </w:r>
      <w:r w:rsidRPr="002244F6">
        <w:rPr>
          <w:rFonts w:cs="FrankRuehl"/>
          <w:szCs w:val="26"/>
          <w:shd w:val="clear" w:color="auto" w:fill="FFFFFF"/>
          <w:rtl/>
        </w:rPr>
        <w:t>משפט חוקתי – שבות – נטל ההוכחה</w:t>
      </w:r>
    </w:p>
    <w:p w14:paraId="392790F2"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sidRPr="002244F6">
        <w:rPr>
          <w:rFonts w:cs="FrankRuehl"/>
          <w:szCs w:val="26"/>
          <w:shd w:val="clear" w:color="auto" w:fill="FFFFFF"/>
          <w:rtl/>
        </w:rPr>
        <w:t>* משפט חוקתי – שבות – בני משפחה של יהודים</w:t>
      </w:r>
    </w:p>
    <w:p w14:paraId="3DF05614"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sidRPr="002244F6">
        <w:rPr>
          <w:rFonts w:cs="FrankRuehl"/>
          <w:szCs w:val="26"/>
          <w:shd w:val="clear" w:color="auto" w:fill="FFFFFF"/>
          <w:rtl/>
        </w:rPr>
        <w:t>* משפט חוקתי – אזרחות – רכישתה</w:t>
      </w:r>
    </w:p>
    <w:p w14:paraId="4822FFA7"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sidRPr="002244F6">
        <w:rPr>
          <w:rFonts w:cs="FrankRuehl"/>
          <w:szCs w:val="26"/>
          <w:shd w:val="clear" w:color="auto" w:fill="FFFFFF"/>
          <w:rtl/>
        </w:rPr>
        <w:t>* משפט עברי – יהודי – יהודי מומר</w:t>
      </w:r>
    </w:p>
    <w:p w14:paraId="01B680F7"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sidRPr="002244F6">
        <w:rPr>
          <w:rFonts w:cs="FrankRuehl"/>
          <w:szCs w:val="26"/>
          <w:shd w:val="clear" w:color="auto" w:fill="FFFFFF"/>
          <w:rtl/>
        </w:rPr>
        <w:t>* עדות דתיות – השתייכות לעדה דתית – קביעתה</w:t>
      </w:r>
    </w:p>
    <w:p w14:paraId="517E284B"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sidRPr="002244F6">
        <w:rPr>
          <w:rFonts w:cs="FrankRuehl"/>
          <w:szCs w:val="26"/>
          <w:shd w:val="clear" w:color="auto" w:fill="FFFFFF"/>
          <w:rtl/>
        </w:rPr>
        <w:lastRenderedPageBreak/>
        <w:t>* פרשנות – דין – חוק השבות</w:t>
      </w:r>
    </w:p>
    <w:p w14:paraId="6FDCB7A9"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sidRPr="002244F6">
        <w:rPr>
          <w:rFonts w:cs="FrankRuehl"/>
          <w:szCs w:val="26"/>
          <w:shd w:val="clear" w:color="auto" w:fill="FFFFFF"/>
          <w:rtl/>
        </w:rPr>
        <w:t>* פרשנות – מונחים – בן דת אחרת</w:t>
      </w:r>
    </w:p>
    <w:p w14:paraId="017ECD41"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shd w:val="clear" w:color="auto" w:fill="FFFFFF"/>
          <w:rtl/>
        </w:rPr>
      </w:pPr>
      <w:r>
        <w:rPr>
          <w:rFonts w:cs="FrankRuehl" w:hint="cs"/>
          <w:szCs w:val="26"/>
          <w:shd w:val="clear" w:color="auto" w:fill="FFFFFF"/>
          <w:rtl/>
        </w:rPr>
        <w:t>.</w:t>
      </w:r>
    </w:p>
    <w:p w14:paraId="7894D7A7"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cs="FrankRuehl"/>
          <w:noProof w:val="0"/>
          <w:szCs w:val="26"/>
          <w:rtl/>
        </w:rPr>
        <w:t xml:space="preserve">עתירה לקבלת מעמד מכוח </w:t>
      </w:r>
      <w:hyperlink r:id="rId17" w:history="1">
        <w:r w:rsidRPr="002244F6">
          <w:rPr>
            <w:rFonts w:cs="FrankRuehl"/>
            <w:szCs w:val="26"/>
            <w:rtl/>
          </w:rPr>
          <w:t>חוק השבות</w:t>
        </w:r>
      </w:hyperlink>
      <w:r w:rsidRPr="002244F6">
        <w:rPr>
          <w:rFonts w:cs="FrankRuehl"/>
          <w:szCs w:val="26"/>
          <w:rtl/>
        </w:rPr>
        <w:t xml:space="preserve">, תש"י-1950. לטענת העותר, אזרח אוקראינה, </w:t>
      </w:r>
      <w:r w:rsidRPr="002244F6">
        <w:rPr>
          <w:rFonts w:cs="FrankRuehl"/>
          <w:noProof w:val="0"/>
          <w:szCs w:val="26"/>
          <w:rtl/>
        </w:rPr>
        <w:t xml:space="preserve">הוא ומשפחתו הינם זכאיי שבות מכח חוק בהיותו יהודי מלידה, בן לאם יהודייה ונכד לסבים יהודים. העותר טוען כי רשות האוכלוסין וההגירה נמנעה משך זמן רב ממענה לבקשתו. לדבריו, רק לאחר שהגיש בקשה לביזיון בית משפט בהליך משפטי קודם שנקט בהקשר זה, החליטה רשות האוכלוסין, כי הוא ומשפחתו יקבלו רישיון שהייה זמני א/5 למשך שנה, שבסופה תיבחן </w:t>
      </w:r>
      <w:r w:rsidRPr="002244F6">
        <w:rPr>
          <w:rFonts w:eastAsia="Calibri" w:cs="FrankRuehl"/>
          <w:noProof w:val="0"/>
          <w:szCs w:val="26"/>
          <w:rtl/>
        </w:rPr>
        <w:t>בקשתו בשנית, בין היתר בכפוף לעריכת ראיון עדכני בעניין דתו האפקטיבית</w:t>
      </w:r>
      <w:r w:rsidRPr="002244F6">
        <w:rPr>
          <w:rFonts w:cs="FrankRuehl"/>
          <w:noProof w:val="0"/>
          <w:szCs w:val="26"/>
          <w:rtl/>
        </w:rPr>
        <w:t>. העותר טען כי התשובה לבקשתו צריכה להיות חד משמעית בהתאם לקביעת יהדותו, ואין לרשות סמכות לקבל את ההחלטה שקיבלה בדבר מעמד זמני ובחינה חוזרת של הבקשה לאחר שנה, ללא קריטריונים ולמטרת סחבת בלבד. הרשות מצדה לא חלקה על כך שהעותר נולד לאם יהודיה, אך לטענתה, הוא בן דת אחרת. הרשות טענה כי העותר הוטבל לנצרות כתינוק וגם הצהיר בשאלון שהגיש עם הבקשה כי דתו נוצרית, אך עם זאת הצהיר שם גם כי הלאום שלו יהודי וצירף אסמכתאות התומכות בהשתייכותו הפעילה לקהילה יהודית בארץ מוצאו. לטענת הרשות, בנסיבות של סתירה מסוג זה, הענקת רישיון זמני ובחינת הדת האפקטיבית של המבקש לאחר שנה, היא דרך פעולה סבירה. במישור המקדמי טענה הרשות, כי בשנת 2024 התקבלה החלטה, שהינה לגישתה החלטה חדשה בעניינו של העותר, אם כי תוצאתה זהה להחלטה הקודמת, ולפיכך עליו למצות את ההליכים מולה ולהגיש ערר פנימי על ההחלטה החדשה. זאת, לאחר שבעבר ביקשה הרשות בקשה דומה למחוק את העתירה הקודמת כדי לבחון את נסיבותיו העדכניות של העותר ולקבל החלטה חדשה. העתירה הקודמת נמחקה תוך שבהחלטה צוינה התחייבות הרשות כי הוא יוכל להגיש בקשה חוזרת שתיבחן, ויקבל ממנה את הסיוע הנדרש לכך במקרה הצורך.</w:t>
      </w:r>
    </w:p>
    <w:p w14:paraId="012225D9"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rtl/>
        </w:rPr>
      </w:pPr>
      <w:r>
        <w:rPr>
          <w:rFonts w:cs="FrankRuehl" w:hint="cs"/>
          <w:szCs w:val="26"/>
          <w:rtl/>
        </w:rPr>
        <w:t>.</w:t>
      </w:r>
    </w:p>
    <w:p w14:paraId="16129E5F" w14:textId="77777777" w:rsidR="007942D6" w:rsidRPr="002244F6" w:rsidRDefault="007942D6" w:rsidP="007942D6">
      <w:pPr>
        <w:pBdr>
          <w:top w:val="single" w:sz="4" w:space="1" w:color="auto"/>
          <w:bottom w:val="single" w:sz="4" w:space="1" w:color="auto"/>
        </w:pBdr>
        <w:spacing w:after="120" w:line="320" w:lineRule="exact"/>
        <w:jc w:val="both"/>
        <w:rPr>
          <w:rFonts w:cs="FrankRuehl"/>
          <w:szCs w:val="26"/>
          <w:rtl/>
        </w:rPr>
      </w:pPr>
      <w:r w:rsidRPr="002244F6">
        <w:rPr>
          <w:rFonts w:cs="FrankRuehl"/>
          <w:szCs w:val="26"/>
          <w:rtl/>
        </w:rPr>
        <w:t>בית המשפט קיבל את העתירה ופסק כדלקמן:</w:t>
      </w:r>
    </w:p>
    <w:p w14:paraId="63526041"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cs="FrankRuehl"/>
          <w:noProof w:val="0"/>
          <w:szCs w:val="26"/>
          <w:rtl/>
        </w:rPr>
        <w:t>לאור התנהלות הרשות במקרה זה, לא ניתן לקבל את טיעונה המקדמי</w:t>
      </w:r>
      <w:r w:rsidRPr="002244F6">
        <w:rPr>
          <w:rFonts w:cs="FrankRuehl"/>
          <w:szCs w:val="26"/>
          <w:rtl/>
        </w:rPr>
        <w:t xml:space="preserve">. </w:t>
      </w:r>
      <w:r w:rsidRPr="002244F6">
        <w:rPr>
          <w:rFonts w:cs="FrankRuehl"/>
          <w:noProof w:val="0"/>
          <w:szCs w:val="26"/>
          <w:rtl/>
        </w:rPr>
        <w:t xml:space="preserve">אכן, רשות מנהלית רשאית, ובנסיבות מסוימות אף חייבת, לקבל החלטה חדשה, בעניין שהתקבלה בו החלטה קודמת, בהתאם לעקרון אי-הסופיות החל על החלטות של רשות מנהלית. לעיתים היא עושה כן כתוצאה מהליכים משפטיים המתקיימים, כפי שהיה במקרה שלפניי בעקבות הגשת העתירה הקודמת. קבלת החלטה מינהלית חדשה, בין אם היא משנה החלטה קודמת, בין אם היא מגיעה לאותה החלטה עצמה, חייבת להיות מבוססת על שיקולים ענייניים, תוך הבהרת הצורך בקבלת ההחלטה החדשה, והאם ההחלטה החדשה ניתנה לאחר שנשקלו עניינים חדשים או שונים. קבלת החלטה חדשה צריכה להתבסס בראש ובראשונה על טעמים ענייניים, כבדי משקל, ולהתקבל תוך בחינה מעמיקה של הנסיבות, ותוך איזון בין אינטרס הפרט לבין האינטרס הציבורי. כך בעיקר, כאשר ההחלטה החדשה משנה החלטה קודמת, אך כך גם במקרה כמו המקרה דנן, בו ניתנה לרשות הזדמנות לשקול שוב את הבקשה במסגרת מחיקת העתירה הקודמת, לאור חלוף הזמן, והתחייבות הרשות לעשות כן. קבלת החלטה חדשה בעניין שכבר ניתנה בו החלטה קודמת של הרשות היא החריג השמור למקרים של טעות או של שינוי נסיבות, ואינה דרך המלך. במקרה זה שתי ההחלטות, הן ההחלטה מיולי 2024, הן ההחלטה שהרשות הכתירה כ"החלטה חדשה", התקבלו שתיהן לאחר מחיקת העתירה הקודמת, בה טענה הרשות כי החלטה חדשה מתחייבת לאור הזמן שחלף. למרות זאת, הרשות קיבלה החלטה חדשה מבלי שערכה בדיקה עדכנית כפי שהתחייבה לעשות. </w:t>
      </w:r>
    </w:p>
    <w:p w14:paraId="6A43765D" w14:textId="77777777" w:rsidR="007942D6" w:rsidRPr="002244F6" w:rsidRDefault="007942D6" w:rsidP="007942D6">
      <w:pPr>
        <w:pBdr>
          <w:top w:val="single" w:sz="4" w:space="1" w:color="auto"/>
          <w:bottom w:val="single" w:sz="4" w:space="1" w:color="auto"/>
        </w:pBdr>
        <w:spacing w:after="120" w:line="320" w:lineRule="exact"/>
        <w:jc w:val="both"/>
        <w:rPr>
          <w:rFonts w:eastAsia="David" w:cs="FrankRuehl"/>
          <w:noProof w:val="0"/>
          <w:szCs w:val="26"/>
          <w:rtl/>
        </w:rPr>
      </w:pPr>
      <w:r w:rsidRPr="002244F6">
        <w:rPr>
          <w:rFonts w:cs="FrankRuehl"/>
          <w:noProof w:val="0"/>
          <w:szCs w:val="26"/>
          <w:rtl/>
        </w:rPr>
        <w:t xml:space="preserve">ודוק: קבלת החלטה חדשה מחייבת את הרשות לעמוד בחובת ההגינות המוטלת עליה כרשות מנהלית. פערי הכוחות בין הרשות לבין הפונים והנזקקים לשירותיה, משפיעים על חובת ההגינות של הרשות </w:t>
      </w:r>
      <w:r w:rsidRPr="002244F6">
        <w:rPr>
          <w:rFonts w:cs="FrankRuehl"/>
          <w:noProof w:val="0"/>
          <w:szCs w:val="26"/>
          <w:rtl/>
        </w:rPr>
        <w:lastRenderedPageBreak/>
        <w:t xml:space="preserve">ככלל, ובעת קבלת החלטות חדשות בפרט. בהתאם לכך, נדרשת מכל רשות מנהלית, וודאי מרשויות המדינה עצמה, הגינות כלפי כל אדם ובכל תחומי פעילותה, במטרת למנוע שרירות, להגן על זכויות אדם, לטפח יחסי אמון בין המינהל הציבורי לבין האזרח, ובסופו של דבר לשפר את ההליך המנהלי ולקדם את המינהל הציבורי. אכן, </w:t>
      </w:r>
      <w:r w:rsidRPr="002244F6">
        <w:rPr>
          <w:rFonts w:eastAsia="Calibri" w:cs="FrankRuehl"/>
          <w:noProof w:val="0"/>
          <w:szCs w:val="26"/>
          <w:rtl/>
        </w:rPr>
        <w:t xml:space="preserve">תוכנה של חובת ההגינות משתנה ממקרה למקרה ובהתאם לנסיבות, ויחד עם היותו רחב </w:t>
      </w:r>
      <w:r w:rsidRPr="002244F6">
        <w:rPr>
          <w:rFonts w:cs="FrankRuehl"/>
          <w:szCs w:val="26"/>
          <w:rtl/>
        </w:rPr>
        <w:t>–</w:t>
      </w:r>
      <w:r w:rsidRPr="002244F6">
        <w:rPr>
          <w:rFonts w:eastAsia="Calibri" w:cs="FrankRuehl"/>
          <w:noProof w:val="0"/>
          <w:szCs w:val="26"/>
          <w:rtl/>
        </w:rPr>
        <w:t xml:space="preserve"> הוא עמום. </w:t>
      </w:r>
      <w:r w:rsidRPr="002244F6">
        <w:rPr>
          <w:rFonts w:eastAsia="David" w:cs="FrankRuehl"/>
          <w:noProof w:val="0"/>
          <w:szCs w:val="26"/>
          <w:rtl/>
        </w:rPr>
        <w:t>ההגינות באה לידי ביטוי בעיקר בתחום ההליך (כלומר הפרוצדורה) המנהלי. בתחום זה היא דורשת מן הרשות המנהלית להתנהל בדרך לקבלת ההחלטה באופן שמכבד את האדם. אולם ההגינות יכולה לבוא לידי ביטוי גם בתחום שיקול הדעת. במובן זה קשה להגדיר את ההגינות, אך קל להבחין בה. היא כרוכה במושג של יושר ונוגדת את המושג של עוול, היא דורשת התחשבות וכבוד ודוחה התנשאות וזלזול.</w:t>
      </w:r>
    </w:p>
    <w:p w14:paraId="3920C0BA"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eastAsia="David" w:cs="FrankRuehl"/>
          <w:noProof w:val="0"/>
          <w:szCs w:val="26"/>
          <w:rtl/>
        </w:rPr>
        <w:t xml:space="preserve">במקרה דנן, </w:t>
      </w:r>
      <w:r w:rsidRPr="002244F6">
        <w:rPr>
          <w:rFonts w:cs="FrankRuehl"/>
          <w:noProof w:val="0"/>
          <w:szCs w:val="26"/>
          <w:rtl/>
        </w:rPr>
        <w:t xml:space="preserve">העתירה הקודמת נמחקה לאור הודעת הרשות כי לאור חלוף הזמן היא נכונה לבחון בשנית את עניינם של העותרים, והחלטת בית המשפט לפיה על הרשות לבחון את המסד העובדתי העדכני, והנסיבות לאחר כחמש שנים. ניתן היה לצפות, לאור חובת ההגינות של הרשות, כי אכן תתייחס לנסיבות חדשות, או לכל הפחות תתייחס לטיעוני העותר בעתירה הקודמת שנמחקה, בכל הנוגע לכך שאינו בן דת אחרת. לא כך נהגה הרשות. לאחר מחיקת העתירה הקודמת וטרם הגשת העתירה שלפניי, העותר היה בשני ריאיונות, נשאל שאלות לגבי העבר, תוך שהובהר לו כי החלטת הרשות לא תשתנה, זאת, בניגוד גמור להתחייבות הרשות לפני בית המשפט בעתירה הקודמת. בעקבות החלטת בית המשפט בבקשה לפי פקודת הביזיון בעתירה הקודמת ניתנה הודעה לקונית מטעם הרשות לפיה "התקבלה החלטה בעניינו של העותר לפיה יינתן לעותר רישיון מסוג של א/5 לתקופה של שנה בשלב זה";  להודעה לא צורפה כל הנמקה. אשר להחלטה מדצמבר 2024 </w:t>
      </w:r>
      <w:r w:rsidRPr="002244F6">
        <w:rPr>
          <w:rFonts w:cs="FrankRuehl"/>
          <w:szCs w:val="26"/>
          <w:rtl/>
        </w:rPr>
        <w:t>– א</w:t>
      </w:r>
      <w:r w:rsidRPr="002244F6">
        <w:rPr>
          <w:rFonts w:cs="FrankRuehl"/>
          <w:noProof w:val="0"/>
          <w:szCs w:val="26"/>
          <w:rtl/>
        </w:rPr>
        <w:t>ין מדובר בהחלטה חדשה כלל, אלא, לכל היותר, בהנמקה מאוחרת, להחלטה שכבר ניתנה, ושלאחריה הוגשה העתירה הנוכחית. הרשות לא הבהירה במה תועיל השנה הנוספת. יש לזכור ולהדגיש כי זו פעם שנייה שהרשות מבקשת למחוק עתירה שמגיש העותר, ולהחזיר את העניין לטיפולה. לאור התנהלותה בפעם הראשונה, אין לאפשר זאת בפעם השנייה. גם בדיון שהתקיים בעתירה לא הצליחה הרשות לציין קריטריון כלשהו או תוכן כלשהו של הבחינה העתידית המתוכננת לשיטתה לעוד שנה בבקשת העותר. כל שהשיבה היה כי העותר יהיה רשאי להתחיל שוב מהתחלה את מיצוי ההליכים ולתקוף גם את החלטה עתידית ככל שיהיה בכך צורך. קבלת ההחלטה "החדשה" בנסיבות אלה אינה סבירה, ואינה יכולה להצדיק התחלה מחדש של ההליכים המשפטיים מול הרשות, והפניית העותר להליכים משפטיים נוספים. אין מקום לאלץ את העותר לחזור שוב לרשות, ולעבור שוב את דרך הייסורים שעבר בעקבות העתירה הראשונה, שם ביקשה הרשות בדיוק את אותה בקשה וזאת תוך הוצאת כספים על ייצוג משפטי והליכים, ודחיית מועד עלייתו לישראל. מקרה זה מדגים את הקושי המוטל על מי שנשלחים בלך ושוב, להתחיל מחדש את מיצוי ההליכים מול הרשות, אף שדבר לא השתנה מאז ההחלטה הקודמת ואין הצדקה לכך.</w:t>
      </w:r>
    </w:p>
    <w:p w14:paraId="388E6B79"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cs="FrankRuehl"/>
          <w:noProof w:val="0"/>
          <w:szCs w:val="26"/>
          <w:rtl/>
        </w:rPr>
        <w:t xml:space="preserve">לאור זאת יש לבחון האם זכאי העותר למעמד מכוח </w:t>
      </w:r>
      <w:hyperlink r:id="rId18" w:history="1">
        <w:r w:rsidRPr="002244F6">
          <w:rPr>
            <w:rFonts w:cs="FrankRuehl"/>
            <w:noProof w:val="0"/>
            <w:szCs w:val="26"/>
            <w:rtl/>
          </w:rPr>
          <w:t>חוק השבות</w:t>
        </w:r>
      </w:hyperlink>
      <w:r w:rsidRPr="002244F6">
        <w:rPr>
          <w:rFonts w:cs="FrankRuehl"/>
          <w:noProof w:val="0"/>
          <w:szCs w:val="26"/>
          <w:rtl/>
        </w:rPr>
        <w:t xml:space="preserve">. הנטל הראשוני להבאת ראיות מנהליות מספיקות לביסוס לכאורי של זכאות לעלות לישראל במעמד של עולה מכח </w:t>
      </w:r>
      <w:hyperlink r:id="rId19" w:history="1">
        <w:r w:rsidRPr="002244F6">
          <w:rPr>
            <w:rFonts w:cs="FrankRuehl"/>
            <w:noProof w:val="0"/>
            <w:szCs w:val="26"/>
            <w:rtl/>
          </w:rPr>
          <w:t>חוק השבות</w:t>
        </w:r>
      </w:hyperlink>
      <w:r w:rsidRPr="002244F6">
        <w:rPr>
          <w:rFonts w:cs="FrankRuehl"/>
          <w:noProof w:val="0"/>
          <w:szCs w:val="26"/>
          <w:rtl/>
        </w:rPr>
        <w:t xml:space="preserve">, מוטל על מבקשי מעמד זה; טיב הראיות הנדרשות להרמת הנטל שונה בכל מקרה, בהתאם לנסיבות ולמכלול הראיות המובאות לפני הרשות. לפי ס' </w:t>
      </w:r>
      <w:hyperlink r:id="rId20" w:history="1">
        <w:r w:rsidRPr="002244F6">
          <w:rPr>
            <w:rStyle w:val="Hyperlink"/>
            <w:rFonts w:cs="FrankRuehl"/>
            <w:noProof w:val="0"/>
            <w:color w:val="auto"/>
            <w:szCs w:val="26"/>
            <w:u w:val="none"/>
            <w:rtl/>
          </w:rPr>
          <w:t>4א (א)</w:t>
        </w:r>
      </w:hyperlink>
      <w:r w:rsidRPr="002244F6">
        <w:rPr>
          <w:rFonts w:cs="FrankRuehl"/>
          <w:noProof w:val="0"/>
          <w:szCs w:val="26"/>
          <w:rtl/>
        </w:rPr>
        <w:t xml:space="preserve"> ל</w:t>
      </w:r>
      <w:hyperlink r:id="rId21" w:history="1">
        <w:r w:rsidRPr="002244F6">
          <w:rPr>
            <w:rFonts w:cs="FrankRuehl"/>
            <w:noProof w:val="0"/>
            <w:szCs w:val="26"/>
            <w:rtl/>
          </w:rPr>
          <w:t>חוק השבות</w:t>
        </w:r>
      </w:hyperlink>
      <w:r w:rsidRPr="002244F6">
        <w:rPr>
          <w:rFonts w:cs="FrankRuehl"/>
          <w:noProof w:val="0"/>
          <w:szCs w:val="26"/>
          <w:rtl/>
        </w:rPr>
        <w:t xml:space="preserve">, זכותו של אדם, אף שהוכיח כי נולד כיהודי, נשללת אם אותו אדם הינו "בן דת אחרת".  בפסק הדין בעניין זבידובסקי אומץ מבחן מעשי יישומי להכרעה מיהו "בן דת אחרת", הנשען על המשפט העברי במובן הרחב. </w:t>
      </w:r>
      <w:r w:rsidRPr="002244F6">
        <w:rPr>
          <w:rFonts w:eastAsia="David" w:cs="FrankRuehl"/>
          <w:noProof w:val="0"/>
          <w:szCs w:val="26"/>
          <w:rtl/>
        </w:rPr>
        <w:t xml:space="preserve">נקבע, כי כדי שיהודי ייחשב מומר לדת אחרת עליו לנקוט צעדים קיצוניים. עליו להיכנס לליבה של הדת האחרת. קביעה שמאן דהוא </w:t>
      </w:r>
      <w:r w:rsidRPr="002244F6">
        <w:rPr>
          <w:rFonts w:eastAsia="David" w:cs="FrankRuehl" w:hint="cs"/>
          <w:noProof w:val="0"/>
          <w:szCs w:val="26"/>
          <w:rtl/>
        </w:rPr>
        <w:t>"</w:t>
      </w:r>
      <w:r w:rsidRPr="002244F6">
        <w:rPr>
          <w:rFonts w:eastAsia="David" w:cs="FrankRuehl"/>
          <w:noProof w:val="0"/>
          <w:szCs w:val="26"/>
          <w:rtl/>
        </w:rPr>
        <w:t>משומד</w:t>
      </w:r>
      <w:r w:rsidRPr="002244F6">
        <w:rPr>
          <w:rFonts w:eastAsia="David" w:cs="FrankRuehl" w:hint="cs"/>
          <w:noProof w:val="0"/>
          <w:szCs w:val="26"/>
          <w:rtl/>
        </w:rPr>
        <w:t>"</w:t>
      </w:r>
      <w:r w:rsidRPr="002244F6">
        <w:rPr>
          <w:rFonts w:eastAsia="David" w:cs="FrankRuehl"/>
          <w:noProof w:val="0"/>
          <w:szCs w:val="26"/>
          <w:rtl/>
        </w:rPr>
        <w:t xml:space="preserve"> דורשת הזדהות עם הדת האחרת והתנהגות בהתאם. משמע, הבדיקה מתבצעת על פי מכלול של גורמים: התנהגות, כוונה, מודעות, הצהרה ונכונות להיכנס לתוככי הדת האחרת ולאמץ את סמליה. העניין נבחן תוך התבוננות בתמונה הכוללת. מבחן זה תואם לא רק את התכלית הסובייקטיבית של החוק אלא גם את התכלית האובייקטיבית. החריג יוחל רק במקרה קיצוני. לא בנקל תילקח מיהודי הזכות המוענקת לו מכוח </w:t>
      </w:r>
      <w:hyperlink r:id="rId22" w:history="1">
        <w:r w:rsidRPr="002244F6">
          <w:rPr>
            <w:rFonts w:eastAsia="David" w:cs="FrankRuehl"/>
            <w:noProof w:val="0"/>
            <w:szCs w:val="26"/>
            <w:rtl/>
          </w:rPr>
          <w:t>חוק השבות</w:t>
        </w:r>
      </w:hyperlink>
      <w:r w:rsidRPr="002244F6">
        <w:rPr>
          <w:rFonts w:eastAsia="David" w:cs="FrankRuehl"/>
          <w:noProof w:val="0"/>
          <w:szCs w:val="26"/>
          <w:rtl/>
        </w:rPr>
        <w:t xml:space="preserve">. עם זאת, מצב בו יהודי בוחר לצעוד בנתיביה של דת אחרת – תישלל זכותו להמשיך ולחסות תחת כנפי </w:t>
      </w:r>
      <w:hyperlink r:id="rId23" w:history="1">
        <w:r w:rsidRPr="002244F6">
          <w:rPr>
            <w:rFonts w:eastAsia="David" w:cs="FrankRuehl"/>
            <w:noProof w:val="0"/>
            <w:szCs w:val="26"/>
            <w:rtl/>
          </w:rPr>
          <w:t>חוק השבות</w:t>
        </w:r>
      </w:hyperlink>
      <w:r w:rsidRPr="002244F6">
        <w:rPr>
          <w:rFonts w:eastAsia="David" w:cs="FrankRuehl"/>
          <w:noProof w:val="0"/>
          <w:szCs w:val="26"/>
          <w:rtl/>
        </w:rPr>
        <w:t xml:space="preserve">. ויוטעם, </w:t>
      </w:r>
      <w:hyperlink r:id="rId24" w:history="1">
        <w:r w:rsidRPr="002244F6">
          <w:rPr>
            <w:rFonts w:eastAsia="David" w:cs="FrankRuehl"/>
            <w:noProof w:val="0"/>
            <w:szCs w:val="26"/>
            <w:rtl/>
          </w:rPr>
          <w:t>חוק השבות</w:t>
        </w:r>
      </w:hyperlink>
      <w:r w:rsidRPr="002244F6">
        <w:rPr>
          <w:rFonts w:eastAsia="David" w:cs="FrankRuehl"/>
          <w:noProof w:val="0"/>
          <w:szCs w:val="26"/>
          <w:rtl/>
        </w:rPr>
        <w:t xml:space="preserve"> אינו מבחין בין יהודי המקפיד לשמור על מצוות אלו ואחרות לבין יהודי שאינו מקפיד לשמור על מצוות כלל. הגדרת </w:t>
      </w:r>
      <w:r w:rsidRPr="002244F6">
        <w:rPr>
          <w:rFonts w:eastAsia="David" w:cs="FrankRuehl" w:hint="cs"/>
          <w:noProof w:val="0"/>
          <w:szCs w:val="26"/>
          <w:rtl/>
        </w:rPr>
        <w:t>"</w:t>
      </w:r>
      <w:r w:rsidRPr="002244F6">
        <w:rPr>
          <w:rFonts w:eastAsia="David" w:cs="FrankRuehl"/>
          <w:noProof w:val="0"/>
          <w:szCs w:val="26"/>
          <w:rtl/>
        </w:rPr>
        <w:t>יהודי</w:t>
      </w:r>
      <w:r w:rsidRPr="002244F6">
        <w:rPr>
          <w:rFonts w:eastAsia="David" w:cs="FrankRuehl" w:hint="cs"/>
          <w:noProof w:val="0"/>
          <w:szCs w:val="26"/>
          <w:rtl/>
        </w:rPr>
        <w:t>"</w:t>
      </w:r>
      <w:r w:rsidRPr="002244F6">
        <w:rPr>
          <w:rFonts w:eastAsia="David" w:cs="FrankRuehl"/>
          <w:noProof w:val="0"/>
          <w:szCs w:val="26"/>
          <w:rtl/>
        </w:rPr>
        <w:t xml:space="preserve"> אינה נגזרת ממסירותו לדת. </w:t>
      </w:r>
      <w:hyperlink r:id="rId25" w:history="1">
        <w:r w:rsidRPr="002244F6">
          <w:rPr>
            <w:rFonts w:eastAsia="David" w:cs="FrankRuehl"/>
            <w:noProof w:val="0"/>
            <w:szCs w:val="26"/>
            <w:rtl/>
          </w:rPr>
          <w:t>חוק השבות</w:t>
        </w:r>
      </w:hyperlink>
      <w:r w:rsidRPr="002244F6">
        <w:rPr>
          <w:rFonts w:eastAsia="David" w:cs="FrankRuehl"/>
          <w:noProof w:val="0"/>
          <w:szCs w:val="26"/>
          <w:rtl/>
        </w:rPr>
        <w:t xml:space="preserve"> אינו מבחין בין יהודים</w:t>
      </w:r>
      <w:r w:rsidRPr="002244F6">
        <w:rPr>
          <w:rFonts w:eastAsia="David" w:cs="FrankRuehl" w:hint="cs"/>
          <w:noProof w:val="0"/>
          <w:szCs w:val="26"/>
          <w:rtl/>
        </w:rPr>
        <w:t>;</w:t>
      </w:r>
      <w:r w:rsidRPr="002244F6">
        <w:rPr>
          <w:rFonts w:eastAsia="David" w:cs="FrankRuehl"/>
          <w:noProof w:val="0"/>
          <w:szCs w:val="26"/>
          <w:rtl/>
        </w:rPr>
        <w:t xml:space="preserve"> הוא אינו עוסק בשאלה וכמובן אין זה ראוי שיעסוק בשאלה מי הוא יהודי "טוב". </w:t>
      </w:r>
      <w:r w:rsidRPr="002244F6">
        <w:rPr>
          <w:rFonts w:cs="FrankRuehl"/>
          <w:noProof w:val="0"/>
          <w:szCs w:val="26"/>
          <w:rtl/>
        </w:rPr>
        <w:t>בהקשר זה נקבע בפסיקה, כי יש לייחס משקל רב להצהרות המבקשים ולהתנהגותם. הבדיקה צריכה "להכיל" את הרב-גוניות של החיים היהודיים, את הרב-תרבותיות שבהם ואף את הגורל היהודי שגלגל רבים מבני העם היהודי עד קצווי תבל. אין באמור כדי להסיר מכתפיו של מבקש השבות את הנטל הראשוני להמציא ראיות מינהליות להוכחת זכאותו, ובכלל זאת גם תעודות שונות במדינות שבהן אלו נהוגות, אך יש להתאים את הדרישה הראייתית לנסיבות המקרה והקהילה המסוימת.</w:t>
      </w:r>
    </w:p>
    <w:p w14:paraId="4ABDDADF"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cs="FrankRuehl"/>
          <w:noProof w:val="0"/>
          <w:szCs w:val="26"/>
          <w:rtl/>
        </w:rPr>
        <w:t xml:space="preserve">במקרה דנן, העותר לא חי כנוצרי ואינו בן דת אחרת לפי החוק והפסיקה. החריג שבו ניתן לשלול את זכאותו לשבות של מי שנולד כיהודי בשל היותו בן לדת אחרת, שמור למקרה קיצוני שבו הוא "בוחר לצעוד בנתיביה של דת אחרת". לא ניתן לומר שמי שהוטבל כתינוק, גם אם אביו בילדותו חגג חגים נוצריים, לצד אמו שחגגה חגים יהודיים, עונה על ההגדרה של "בן דת אחרת" שבס' </w:t>
      </w:r>
      <w:hyperlink r:id="rId26" w:history="1">
        <w:r w:rsidRPr="002244F6">
          <w:rPr>
            <w:rStyle w:val="Hyperlink"/>
            <w:rFonts w:cs="FrankRuehl"/>
            <w:noProof w:val="0"/>
            <w:color w:val="auto"/>
            <w:szCs w:val="26"/>
            <w:u w:val="none"/>
            <w:rtl/>
          </w:rPr>
          <w:t>4ב</w:t>
        </w:r>
      </w:hyperlink>
      <w:r w:rsidRPr="002244F6">
        <w:rPr>
          <w:rFonts w:cs="FrankRuehl"/>
          <w:noProof w:val="0"/>
          <w:szCs w:val="26"/>
          <w:rtl/>
        </w:rPr>
        <w:t xml:space="preserve"> לחוק, או שניתן לשלול את זכאותו לשבות כמי שהמיר את דתו מרצון כקבוע </w:t>
      </w:r>
      <w:hyperlink r:id="rId27" w:history="1">
        <w:r w:rsidRPr="002244F6">
          <w:rPr>
            <w:rStyle w:val="Hyperlink"/>
            <w:rFonts w:cs="FrankRuehl"/>
            <w:noProof w:val="0"/>
            <w:color w:val="auto"/>
            <w:szCs w:val="26"/>
            <w:u w:val="none"/>
            <w:rtl/>
          </w:rPr>
          <w:t>בס' 4א(א)</w:t>
        </w:r>
      </w:hyperlink>
      <w:r w:rsidRPr="002244F6">
        <w:rPr>
          <w:rFonts w:cs="FrankRuehl"/>
          <w:noProof w:val="0"/>
          <w:szCs w:val="26"/>
          <w:rtl/>
        </w:rPr>
        <w:t xml:space="preserve"> לחוק. זאת, שעה שטען מלכתחילה כי הוא חי למעשה כיהודי, ואף מגדל את ילדיו כיהודים ולוקח חלק פעיל בחיי הקהילה היהודית במדינת מוצאו. בנסיבות אלו, דחיית ההחלטה בבקשה בשנה, והכפפתה לבחינה עתידית עלומה שהקריטריונים לה אינם ידועים – לא לרשות ולא לעותר – אינה סבירה ואינה מהווה התנהלות הוגנת של הרשות. </w:t>
      </w:r>
    </w:p>
    <w:p w14:paraId="708275A6"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cs="FrankRuehl"/>
          <w:noProof w:val="0"/>
          <w:szCs w:val="26"/>
          <w:rtl/>
        </w:rPr>
        <w:t xml:space="preserve">זאת ועוד. יש להבחין בין הבסיס הרעיוני העומד מאחורי ההליך המדורג שבו נבחנות, למשל, בקשות למעמד בישראל המוגשות על ידי זרים הטוענים לניהול זוגיות עם אזרחים ישראלים או בעניין בני משפחה של זכאי שבות העולים עמם, לבין הבסיס הרעיוני העומד מאחורי מתן מעמד מכח </w:t>
      </w:r>
      <w:hyperlink r:id="rId28" w:history="1">
        <w:r w:rsidRPr="002244F6">
          <w:rPr>
            <w:rFonts w:cs="FrankRuehl"/>
            <w:noProof w:val="0"/>
            <w:szCs w:val="26"/>
            <w:rtl/>
          </w:rPr>
          <w:t>חוק השבות</w:t>
        </w:r>
      </w:hyperlink>
      <w:r w:rsidRPr="002244F6">
        <w:rPr>
          <w:rFonts w:cs="FrankRuehl"/>
          <w:noProof w:val="0"/>
          <w:szCs w:val="26"/>
          <w:rtl/>
        </w:rPr>
        <w:t xml:space="preserve"> ליהודי שאינו בן דת אחרת ושלא המיר את דתו. בעוד שבמקרים מהסוג הראשון יש הגיון לקיום מעקב ולבחינה עתית של כנות הקשר ושל השייכות של מבקשי המעמד למדינת ישראל, במקרים מהסוג השני הכלל הוא כי מי שהוא יהודי על פי </w:t>
      </w:r>
      <w:hyperlink r:id="rId29" w:history="1">
        <w:r w:rsidRPr="002244F6">
          <w:rPr>
            <w:rFonts w:cs="FrankRuehl"/>
            <w:noProof w:val="0"/>
            <w:szCs w:val="26"/>
            <w:rtl/>
          </w:rPr>
          <w:t>חוק השבות</w:t>
        </w:r>
      </w:hyperlink>
      <w:r w:rsidRPr="002244F6">
        <w:rPr>
          <w:rFonts w:cs="FrankRuehl"/>
          <w:noProof w:val="0"/>
          <w:szCs w:val="26"/>
          <w:rtl/>
        </w:rPr>
        <w:t xml:space="preserve"> במועד הגשת הבקשה אינו צריך להמשיך ולהוכיח את יהדותו בעתיד או לשכנע כי הוא חי לפי ההלכה. יתרה מכך, אף החריג שבו נשללת הזכות לשבות בשל המרת דת מופעל רק במקרי קיצון בשל בחירתו מרצון להמיר את דתו, וגם הוא נבחן במבט לעבר ולהווה, ולא באופן הצופה פני עתיד.</w:t>
      </w:r>
    </w:p>
    <w:p w14:paraId="57E85CEF"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cs="FrankRuehl"/>
          <w:noProof w:val="0"/>
          <w:szCs w:val="26"/>
          <w:rtl/>
        </w:rPr>
        <w:t xml:space="preserve">משמעות הדברים הינה, כי יש לקבוע שהמשיב הינו יהודי לפי </w:t>
      </w:r>
      <w:hyperlink r:id="rId30" w:history="1">
        <w:r w:rsidRPr="002244F6">
          <w:rPr>
            <w:rStyle w:val="Hyperlink"/>
            <w:rFonts w:cs="FrankRuehl"/>
            <w:noProof w:val="0"/>
            <w:color w:val="auto"/>
            <w:szCs w:val="26"/>
            <w:u w:val="none"/>
            <w:rtl/>
          </w:rPr>
          <w:t>ס' 4א</w:t>
        </w:r>
      </w:hyperlink>
      <w:r w:rsidRPr="002244F6">
        <w:rPr>
          <w:rFonts w:cs="FrankRuehl"/>
          <w:noProof w:val="0"/>
          <w:szCs w:val="26"/>
          <w:rtl/>
        </w:rPr>
        <w:t xml:space="preserve"> ל</w:t>
      </w:r>
      <w:hyperlink r:id="rId31" w:history="1">
        <w:r w:rsidRPr="002244F6">
          <w:rPr>
            <w:rFonts w:cs="FrankRuehl"/>
            <w:noProof w:val="0"/>
            <w:szCs w:val="26"/>
            <w:rtl/>
          </w:rPr>
          <w:t>חוק השבות</w:t>
        </w:r>
      </w:hyperlink>
      <w:r w:rsidRPr="002244F6">
        <w:rPr>
          <w:rFonts w:cs="FrankRuehl"/>
          <w:noProof w:val="0"/>
          <w:szCs w:val="26"/>
          <w:rtl/>
        </w:rPr>
        <w:t xml:space="preserve">, שלא המיר את דתו מרצון, ולא מתקיים בעניינו החריג הקבוע </w:t>
      </w:r>
      <w:hyperlink r:id="rId32" w:history="1">
        <w:r w:rsidRPr="002244F6">
          <w:rPr>
            <w:rStyle w:val="Hyperlink"/>
            <w:rFonts w:cs="FrankRuehl"/>
            <w:noProof w:val="0"/>
            <w:color w:val="auto"/>
            <w:szCs w:val="26"/>
            <w:u w:val="none"/>
            <w:rtl/>
          </w:rPr>
          <w:t>בס' 4ב'</w:t>
        </w:r>
      </w:hyperlink>
      <w:r w:rsidRPr="002244F6">
        <w:rPr>
          <w:rFonts w:cs="FrankRuehl"/>
          <w:noProof w:val="0"/>
          <w:szCs w:val="26"/>
          <w:rtl/>
        </w:rPr>
        <w:t xml:space="preserve"> לחוק, ומשכך העותר הוא זכאי שבות לפי החוק, ובני משפחתו זכאים למעמד כדין מכוחו.</w:t>
      </w:r>
    </w:p>
    <w:p w14:paraId="084231F1" w14:textId="77777777" w:rsidR="007942D6" w:rsidRPr="002244F6" w:rsidRDefault="007942D6" w:rsidP="007942D6">
      <w:pPr>
        <w:pBdr>
          <w:top w:val="single" w:sz="4" w:space="1" w:color="auto"/>
          <w:bottom w:val="single" w:sz="4" w:space="1" w:color="auto"/>
        </w:pBdr>
        <w:spacing w:after="120" w:line="320" w:lineRule="exact"/>
        <w:jc w:val="both"/>
        <w:rPr>
          <w:rFonts w:cs="FrankRuehl"/>
          <w:noProof w:val="0"/>
          <w:szCs w:val="26"/>
          <w:rtl/>
        </w:rPr>
      </w:pPr>
      <w:r w:rsidRPr="002244F6">
        <w:rPr>
          <w:rFonts w:cs="FrankRuehl"/>
          <w:szCs w:val="26"/>
          <w:rtl/>
        </w:rPr>
        <w:t>לאור האמור, העתירה</w:t>
      </w:r>
      <w:r w:rsidRPr="002244F6">
        <w:rPr>
          <w:rFonts w:cs="FrankRuehl"/>
          <w:szCs w:val="26"/>
        </w:rPr>
        <w:t xml:space="preserve"> </w:t>
      </w:r>
      <w:r w:rsidRPr="002244F6">
        <w:rPr>
          <w:rFonts w:cs="FrankRuehl"/>
          <w:szCs w:val="26"/>
          <w:rtl/>
        </w:rPr>
        <w:t xml:space="preserve">התקבלה. נקבע, כי </w:t>
      </w:r>
      <w:r w:rsidRPr="002244F6">
        <w:rPr>
          <w:rFonts w:cs="FrankRuehl"/>
          <w:noProof w:val="0"/>
          <w:szCs w:val="26"/>
          <w:rtl/>
        </w:rPr>
        <w:t xml:space="preserve">רשות האוכלוסין להנפיק לעותר אשרת עולה מכח </w:t>
      </w:r>
      <w:hyperlink r:id="rId33" w:history="1">
        <w:r w:rsidRPr="002244F6">
          <w:rPr>
            <w:rFonts w:cs="FrankRuehl"/>
            <w:noProof w:val="0"/>
            <w:szCs w:val="26"/>
            <w:rtl/>
          </w:rPr>
          <w:t>חוק השבות</w:t>
        </w:r>
      </w:hyperlink>
      <w:r w:rsidRPr="002244F6">
        <w:rPr>
          <w:rFonts w:cs="FrankRuehl"/>
          <w:noProof w:val="0"/>
          <w:szCs w:val="26"/>
          <w:rtl/>
        </w:rPr>
        <w:t>, ואשרות בהתאם על פי הנהלים לאשתו ולילדיו.</w:t>
      </w:r>
    </w:p>
    <w:p w14:paraId="6E829A5A" w14:textId="77777777" w:rsidR="007942D6" w:rsidRPr="00D93CD0" w:rsidRDefault="007942D6" w:rsidP="00D93CD0">
      <w:pPr>
        <w:suppressLineNumbers/>
        <w:spacing w:after="120" w:line="240" w:lineRule="exact"/>
        <w:ind w:left="283" w:hanging="283"/>
        <w:jc w:val="both"/>
      </w:pPr>
      <w:bookmarkStart w:id="9" w:name="ABSTRACT_END"/>
      <w:bookmarkEnd w:id="9"/>
    </w:p>
    <w:tbl>
      <w:tblPr>
        <w:bidiVisual/>
        <w:tblW w:w="8820" w:type="dxa"/>
        <w:jc w:val="center"/>
        <w:tblLook w:val="01E0" w:firstRow="1" w:lastRow="1" w:firstColumn="1" w:lastColumn="1" w:noHBand="0" w:noVBand="0"/>
      </w:tblPr>
      <w:tblGrid>
        <w:gridCol w:w="8820"/>
      </w:tblGrid>
      <w:tr w:rsidR="00103DFA" w14:paraId="7C5C4FAB" w14:textId="77777777" w:rsidTr="00103DFA">
        <w:trPr>
          <w:jc w:val="center"/>
        </w:trPr>
        <w:tc>
          <w:tcPr>
            <w:tcW w:w="8820" w:type="dxa"/>
          </w:tcPr>
          <w:p w14:paraId="23686A8E" w14:textId="77777777" w:rsidR="00CE7AF3" w:rsidRPr="00CE7AF3" w:rsidRDefault="00CE7AF3" w:rsidP="00CE7AF3">
            <w:pPr>
              <w:bidi w:val="0"/>
              <w:jc w:val="center"/>
              <w:rPr>
                <w:rFonts w:ascii="Arial" w:hAnsi="Arial"/>
                <w:b/>
                <w:bCs/>
                <w:noProof w:val="0"/>
                <w:sz w:val="28"/>
                <w:szCs w:val="28"/>
                <w:u w:val="single"/>
                <w:rtl/>
              </w:rPr>
            </w:pPr>
            <w:bookmarkStart w:id="10" w:name="PsakDin" w:colFirst="0" w:colLast="0"/>
            <w:bookmarkEnd w:id="0"/>
            <w:r w:rsidRPr="00CE7AF3">
              <w:rPr>
                <w:rFonts w:ascii="Arial" w:hAnsi="Arial"/>
                <w:b/>
                <w:bCs/>
                <w:noProof w:val="0"/>
                <w:sz w:val="28"/>
                <w:szCs w:val="28"/>
                <w:u w:val="single"/>
                <w:rtl/>
              </w:rPr>
              <w:t>פסק דין</w:t>
            </w:r>
          </w:p>
          <w:p w14:paraId="77CC86CD" w14:textId="77777777" w:rsidR="00103DFA" w:rsidRPr="00CE7AF3" w:rsidRDefault="00103DFA" w:rsidP="00CE7AF3">
            <w:pPr>
              <w:bidi w:val="0"/>
              <w:jc w:val="center"/>
              <w:rPr>
                <w:rFonts w:ascii="Arial" w:hAnsi="Arial"/>
                <w:b/>
                <w:bCs/>
                <w:noProof w:val="0"/>
                <w:sz w:val="28"/>
                <w:szCs w:val="28"/>
                <w:u w:val="single"/>
              </w:rPr>
            </w:pPr>
          </w:p>
        </w:tc>
      </w:tr>
      <w:bookmarkEnd w:id="10"/>
    </w:tbl>
    <w:p w14:paraId="7C695438" w14:textId="77777777" w:rsidR="00103DFA" w:rsidRDefault="00103DFA" w:rsidP="00103DFA">
      <w:pPr>
        <w:spacing w:line="360" w:lineRule="auto"/>
        <w:contextualSpacing/>
        <w:jc w:val="both"/>
        <w:rPr>
          <w:rFonts w:ascii="Arial" w:hAnsi="Arial"/>
          <w:b/>
          <w:bCs/>
          <w:noProof w:val="0"/>
          <w:sz w:val="32"/>
          <w:szCs w:val="32"/>
          <w:u w:val="single"/>
          <w:rtl/>
        </w:rPr>
      </w:pPr>
    </w:p>
    <w:p w14:paraId="6FD0E758" w14:textId="77777777" w:rsidR="00103DFA" w:rsidRDefault="00103DFA" w:rsidP="00103DFA">
      <w:pPr>
        <w:spacing w:line="360" w:lineRule="auto"/>
        <w:contextualSpacing/>
        <w:jc w:val="both"/>
        <w:rPr>
          <w:rFonts w:ascii="David" w:hAnsi="David"/>
          <w:noProof w:val="0"/>
          <w:rtl/>
        </w:rPr>
      </w:pPr>
      <w:r w:rsidRPr="003406E4">
        <w:rPr>
          <w:rFonts w:ascii="Arial" w:hAnsi="Arial" w:hint="cs"/>
          <w:noProof w:val="0"/>
          <w:rtl/>
        </w:rPr>
        <w:t xml:space="preserve">עניינה של העתירה שלפניי הוא במתן מעמד לעותר מכוח </w:t>
      </w:r>
      <w:hyperlink r:id="rId34" w:history="1">
        <w:r w:rsidR="00CE7AF3" w:rsidRPr="00CE7AF3">
          <w:rPr>
            <w:rFonts w:ascii="Arial" w:hAnsi="Arial"/>
            <w:noProof w:val="0"/>
            <w:color w:val="0000FF"/>
            <w:u w:val="single"/>
            <w:rtl/>
          </w:rPr>
          <w:t>חוק השבות</w:t>
        </w:r>
      </w:hyperlink>
      <w:r w:rsidRPr="003406E4">
        <w:rPr>
          <w:rFonts w:ascii="David" w:hAnsi="David" w:hint="cs"/>
          <w:noProof w:val="0"/>
          <w:rtl/>
        </w:rPr>
        <w:t xml:space="preserve">, תש"י – 1950 (להלן: </w:t>
      </w:r>
      <w:r w:rsidRPr="003406E4">
        <w:rPr>
          <w:rFonts w:ascii="David" w:hAnsi="David" w:hint="cs"/>
          <w:b/>
          <w:bCs/>
          <w:noProof w:val="0"/>
          <w:rtl/>
        </w:rPr>
        <w:t>חוק השבות</w:t>
      </w:r>
      <w:r w:rsidRPr="003406E4">
        <w:rPr>
          <w:rFonts w:ascii="David" w:hAnsi="David" w:hint="cs"/>
          <w:noProof w:val="0"/>
          <w:rtl/>
        </w:rPr>
        <w:t xml:space="preserve">). </w:t>
      </w:r>
      <w:r w:rsidRPr="003406E4">
        <w:rPr>
          <w:rFonts w:ascii="Arial" w:hAnsi="Arial" w:hint="cs"/>
          <w:noProof w:val="0"/>
          <w:rtl/>
        </w:rPr>
        <w:t xml:space="preserve">העותר </w:t>
      </w:r>
      <w:r w:rsidRPr="003406E4">
        <w:rPr>
          <w:rFonts w:ascii="David" w:hAnsi="David" w:hint="cs"/>
          <w:noProof w:val="0"/>
          <w:rtl/>
        </w:rPr>
        <w:t>טוען כי הוא ומשפחתו זכאי שבות מכח חוק בהיותו יהודי מלידה, בן לא</w:t>
      </w:r>
      <w:r>
        <w:rPr>
          <w:rFonts w:ascii="David" w:hAnsi="David" w:hint="cs"/>
          <w:noProof w:val="0"/>
          <w:rtl/>
        </w:rPr>
        <w:t>ם</w:t>
      </w:r>
      <w:r w:rsidRPr="003406E4">
        <w:rPr>
          <w:rFonts w:ascii="David" w:hAnsi="David" w:hint="cs"/>
          <w:noProof w:val="0"/>
          <w:rtl/>
        </w:rPr>
        <w:t xml:space="preserve"> יהודייה ונכד לסבים יהודים. העותר טוען כי רשות האוכלוסין וההגירה (להלן: </w:t>
      </w:r>
      <w:r w:rsidRPr="003406E4">
        <w:rPr>
          <w:rFonts w:ascii="David" w:hAnsi="David" w:hint="cs"/>
          <w:b/>
          <w:bCs/>
          <w:noProof w:val="0"/>
          <w:rtl/>
        </w:rPr>
        <w:t>הרשות</w:t>
      </w:r>
      <w:r w:rsidRPr="003406E4">
        <w:rPr>
          <w:rFonts w:ascii="David" w:hAnsi="David" w:hint="cs"/>
          <w:noProof w:val="0"/>
          <w:rtl/>
        </w:rPr>
        <w:t>), נמנעה משך זמן רב ממענה לבקשתו. לדבריו, רק לאחר שהגיש בקשה לב</w:t>
      </w:r>
      <w:r>
        <w:rPr>
          <w:rFonts w:ascii="David" w:hAnsi="David" w:hint="cs"/>
          <w:noProof w:val="0"/>
          <w:rtl/>
        </w:rPr>
        <w:t>י</w:t>
      </w:r>
      <w:r w:rsidRPr="003406E4">
        <w:rPr>
          <w:rFonts w:ascii="David" w:hAnsi="David" w:hint="cs"/>
          <w:noProof w:val="0"/>
          <w:rtl/>
        </w:rPr>
        <w:t xml:space="preserve">זיון בית משפט בהליך משפטי קודם שנקט </w:t>
      </w:r>
      <w:r w:rsidRPr="003406E4">
        <w:rPr>
          <w:rFonts w:ascii="David" w:hAnsi="David" w:hint="cs"/>
          <w:noProof w:val="0"/>
          <w:rtl/>
        </w:rPr>
        <w:lastRenderedPageBreak/>
        <w:t>בהקשר זה, החליטה הרשות כי הוא ומשפחתו יקבלו ר</w:t>
      </w:r>
      <w:r>
        <w:rPr>
          <w:rFonts w:ascii="David" w:hAnsi="David" w:hint="cs"/>
          <w:noProof w:val="0"/>
          <w:rtl/>
        </w:rPr>
        <w:t>י</w:t>
      </w:r>
      <w:r w:rsidRPr="003406E4">
        <w:rPr>
          <w:rFonts w:ascii="David" w:hAnsi="David" w:hint="cs"/>
          <w:noProof w:val="0"/>
          <w:rtl/>
        </w:rPr>
        <w:t xml:space="preserve">שיון שהייה זמני א/5 למשך שנה, שבסופה תיבחן </w:t>
      </w:r>
      <w:r w:rsidRPr="003406E4">
        <w:rPr>
          <w:rFonts w:ascii="Arial" w:eastAsia="Calibri" w:hAnsi="Arial" w:hint="cs"/>
          <w:noProof w:val="0"/>
          <w:rtl/>
        </w:rPr>
        <w:t>בקשתו בשנית, בין היתר בכפוף לעריכת ראיון עדכני בעניין דתו האפקטיבית</w:t>
      </w:r>
      <w:r w:rsidRPr="003406E4">
        <w:rPr>
          <w:rFonts w:ascii="David" w:hAnsi="David" w:hint="cs"/>
          <w:noProof w:val="0"/>
          <w:rtl/>
        </w:rPr>
        <w:t xml:space="preserve">. העותר טוען כי התשובה לבקשתו צריכה להיות חד משמעית בהתאם לקביעת יהדותו, ואין לרשות סמכות לקבל את ההחלטה שקיבלה בדבר מעמד זמני ובחינה חוזרת של הבקשה לאחר שנה, ללא קריטריונים ולמטרת סחבת בלבד. </w:t>
      </w:r>
    </w:p>
    <w:p w14:paraId="3C4816AD" w14:textId="77777777" w:rsidR="00103DFA" w:rsidRDefault="00103DFA" w:rsidP="00103DFA">
      <w:pPr>
        <w:spacing w:line="360" w:lineRule="auto"/>
        <w:contextualSpacing/>
        <w:jc w:val="both"/>
        <w:rPr>
          <w:rFonts w:ascii="David" w:hAnsi="David"/>
          <w:noProof w:val="0"/>
          <w:rtl/>
        </w:rPr>
      </w:pPr>
    </w:p>
    <w:p w14:paraId="349AC07E" w14:textId="77777777" w:rsidR="00103DFA" w:rsidRPr="003406E4" w:rsidRDefault="00103DFA" w:rsidP="00103DFA">
      <w:pPr>
        <w:spacing w:line="360" w:lineRule="auto"/>
        <w:contextualSpacing/>
        <w:jc w:val="both"/>
        <w:rPr>
          <w:rFonts w:ascii="David" w:hAnsi="David"/>
          <w:noProof w:val="0"/>
          <w:rtl/>
        </w:rPr>
      </w:pPr>
      <w:r w:rsidRPr="003406E4">
        <w:rPr>
          <w:rFonts w:ascii="David" w:hAnsi="David" w:hint="cs"/>
          <w:noProof w:val="0"/>
          <w:rtl/>
        </w:rPr>
        <w:t xml:space="preserve">הרשות </w:t>
      </w:r>
      <w:r>
        <w:rPr>
          <w:rFonts w:ascii="David" w:hAnsi="David" w:hint="cs"/>
          <w:noProof w:val="0"/>
          <w:rtl/>
        </w:rPr>
        <w:t xml:space="preserve">אינה חולקת על כך שנולד לאם יהודיה, אך לטענתה, העותר בן דת אחרת. הרשות טוענת </w:t>
      </w:r>
      <w:r w:rsidRPr="003406E4">
        <w:rPr>
          <w:rFonts w:ascii="David" w:hAnsi="David" w:hint="cs"/>
          <w:noProof w:val="0"/>
          <w:rtl/>
        </w:rPr>
        <w:t>כי העותר הוטבל לנצרות כתינוק וגם הצהיר בשאלון שהגיש עם הבקשה כי דתו נוצרית, אך עם זאת הצהיר שם גם כי הלאום שלו יהודי וצירף אסמכתאות התומכות בהשתייכותו הפעילה לקהילה יהודית בארץ מוצאו</w:t>
      </w:r>
      <w:r>
        <w:rPr>
          <w:rFonts w:ascii="David" w:hAnsi="David" w:hint="cs"/>
          <w:noProof w:val="0"/>
          <w:rtl/>
        </w:rPr>
        <w:t xml:space="preserve"> (תעודה המעידה כי הוא חבר בקהילה היהודית בזפרוזה אוקריינה החל משנת 2006, וכן תעודה המעידה כי השתתף במסעות התרמה בין השנים 2008 ל-2023 בקהילה היהודית בקייב, ניתנו ביוני 2023 והועברו לרשות. הן הוצגו לבית המשפט במסגרת הדיון בעתירה).</w:t>
      </w:r>
      <w:r w:rsidRPr="003406E4">
        <w:rPr>
          <w:rFonts w:ascii="David" w:hAnsi="David" w:hint="cs"/>
          <w:noProof w:val="0"/>
          <w:rtl/>
        </w:rPr>
        <w:t xml:space="preserve"> לטענת</w:t>
      </w:r>
      <w:r>
        <w:rPr>
          <w:rFonts w:ascii="David" w:hAnsi="David" w:hint="cs"/>
          <w:noProof w:val="0"/>
          <w:rtl/>
        </w:rPr>
        <w:t xml:space="preserve"> הרשות</w:t>
      </w:r>
      <w:r w:rsidRPr="003406E4">
        <w:rPr>
          <w:rFonts w:ascii="David" w:hAnsi="David" w:hint="cs"/>
          <w:noProof w:val="0"/>
          <w:rtl/>
        </w:rPr>
        <w:t xml:space="preserve">, בנסיבות של סתירה מסוג זה, הענקת רישיון זמני ובחינת הדת האפקטיבית של המבקש לאחר שנה, היא דרך פעולה </w:t>
      </w:r>
      <w:r>
        <w:rPr>
          <w:rFonts w:ascii="David" w:hAnsi="David" w:hint="cs"/>
          <w:noProof w:val="0"/>
          <w:rtl/>
        </w:rPr>
        <w:t>סבירה.</w:t>
      </w:r>
    </w:p>
    <w:p w14:paraId="2FD76CDA" w14:textId="77777777" w:rsidR="00103DFA" w:rsidRPr="003406E4" w:rsidRDefault="00103DFA" w:rsidP="00103DFA">
      <w:pPr>
        <w:spacing w:line="360" w:lineRule="auto"/>
        <w:contextualSpacing/>
        <w:jc w:val="both"/>
        <w:rPr>
          <w:rFonts w:ascii="Arial" w:hAnsi="Arial"/>
          <w:noProof w:val="0"/>
          <w:rtl/>
        </w:rPr>
      </w:pPr>
    </w:p>
    <w:p w14:paraId="7677C12E" w14:textId="77777777" w:rsidR="00103DFA" w:rsidRPr="003406E4" w:rsidRDefault="00103DFA" w:rsidP="00103DFA">
      <w:pPr>
        <w:spacing w:line="360" w:lineRule="auto"/>
        <w:contextualSpacing/>
        <w:jc w:val="both"/>
        <w:rPr>
          <w:rFonts w:ascii="Arial" w:hAnsi="Arial"/>
          <w:b/>
          <w:bCs/>
          <w:noProof w:val="0"/>
          <w:u w:val="single"/>
          <w:rtl/>
        </w:rPr>
      </w:pPr>
      <w:r w:rsidRPr="003406E4">
        <w:rPr>
          <w:rFonts w:ascii="Arial" w:hAnsi="Arial" w:hint="cs"/>
          <w:b/>
          <w:bCs/>
          <w:noProof w:val="0"/>
          <w:u w:val="single"/>
          <w:rtl/>
        </w:rPr>
        <w:t>רקע הדברים וההליכים שלעניין</w:t>
      </w:r>
    </w:p>
    <w:p w14:paraId="6B3B07AE" w14:textId="77777777" w:rsidR="00103DFA" w:rsidRPr="003406E4" w:rsidRDefault="00103DFA" w:rsidP="00103DFA">
      <w:pPr>
        <w:numPr>
          <w:ilvl w:val="0"/>
          <w:numId w:val="1"/>
        </w:numPr>
        <w:spacing w:before="240" w:line="360" w:lineRule="auto"/>
        <w:contextualSpacing/>
        <w:jc w:val="both"/>
        <w:rPr>
          <w:rFonts w:ascii="Arial" w:eastAsia="Calibri" w:hAnsi="Arial"/>
          <w:noProof w:val="0"/>
          <w:rtl/>
        </w:rPr>
      </w:pPr>
      <w:r w:rsidRPr="003406E4">
        <w:rPr>
          <w:rFonts w:ascii="Arial" w:hAnsi="Arial" w:hint="cs"/>
          <w:noProof w:val="0"/>
          <w:rtl/>
        </w:rPr>
        <w:t>העותר</w:t>
      </w:r>
      <w:r w:rsidRPr="003406E4">
        <w:rPr>
          <w:rFonts w:ascii="Arial" w:eastAsia="Calibri" w:hAnsi="Arial" w:hint="cs"/>
          <w:noProof w:val="0"/>
          <w:rtl/>
        </w:rPr>
        <w:t xml:space="preserve">, מר </w:t>
      </w:r>
      <w:r w:rsidRPr="003406E4">
        <w:rPr>
          <w:rFonts w:ascii="Arial" w:hAnsi="Arial" w:hint="cs"/>
          <w:noProof w:val="0"/>
          <w:rtl/>
        </w:rPr>
        <w:t>לזניה</w:t>
      </w:r>
      <w:r w:rsidRPr="003406E4">
        <w:rPr>
          <w:rFonts w:ascii="Arial" w:eastAsia="Calibri" w:hAnsi="Arial" w:hint="cs"/>
          <w:noProof w:val="0"/>
          <w:rtl/>
        </w:rPr>
        <w:t xml:space="preserve"> ארטיום (להלן: </w:t>
      </w:r>
      <w:r w:rsidRPr="003406E4">
        <w:rPr>
          <w:rFonts w:ascii="Arial" w:eastAsia="Calibri" w:hAnsi="Arial" w:hint="cs"/>
          <w:b/>
          <w:bCs/>
          <w:noProof w:val="0"/>
          <w:rtl/>
        </w:rPr>
        <w:t>העותר</w:t>
      </w:r>
      <w:r w:rsidRPr="003406E4">
        <w:rPr>
          <w:rFonts w:ascii="Arial" w:eastAsia="Calibri" w:hAnsi="Arial" w:hint="cs"/>
          <w:noProof w:val="0"/>
          <w:rtl/>
        </w:rPr>
        <w:t xml:space="preserve">), אזרח אוקראינה, דוקטור לכלכלה המשמש כחבר מועצת </w:t>
      </w:r>
      <w:r w:rsidRPr="003406E4">
        <w:rPr>
          <w:rFonts w:ascii="David" w:eastAsia="Calibri" w:hAnsi="David" w:hint="cs"/>
          <w:noProof w:val="0"/>
          <w:rtl/>
        </w:rPr>
        <w:t>המנהלים של בנק "</w:t>
      </w:r>
      <w:r w:rsidRPr="003406E4">
        <w:rPr>
          <w:rFonts w:ascii="David" w:eastAsia="Calibri" w:hAnsi="David"/>
          <w:noProof w:val="0"/>
        </w:rPr>
        <w:t>Industrial</w:t>
      </w:r>
      <w:r w:rsidRPr="003406E4">
        <w:rPr>
          <w:rFonts w:ascii="David" w:eastAsia="Calibri" w:hAnsi="David" w:hint="cs"/>
          <w:noProof w:val="0"/>
          <w:rtl/>
        </w:rPr>
        <w:t>" באוקראינה, מבקש לעלות לישראל</w:t>
      </w:r>
      <w:r w:rsidRPr="003406E4">
        <w:rPr>
          <w:rFonts w:ascii="Arial" w:eastAsia="Calibri" w:hAnsi="Arial" w:hint="cs"/>
          <w:noProof w:val="0"/>
          <w:rtl/>
        </w:rPr>
        <w:t xml:space="preserve"> כזכאי שבות</w:t>
      </w:r>
      <w:r w:rsidRPr="003406E4">
        <w:rPr>
          <w:rFonts w:ascii="David" w:eastAsia="Calibri" w:hAnsi="David" w:hint="cs"/>
          <w:noProof w:val="0"/>
          <w:rtl/>
        </w:rPr>
        <w:t xml:space="preserve"> יחד עם אשתו וילדיהם</w:t>
      </w:r>
      <w:r w:rsidRPr="003406E4">
        <w:rPr>
          <w:rFonts w:ascii="Arial" w:eastAsia="Calibri" w:hAnsi="Arial" w:hint="cs"/>
          <w:noProof w:val="0"/>
          <w:rtl/>
        </w:rPr>
        <w:t xml:space="preserve">. העותר טוען כי הוא יהודי מלידה מכח יהדותה של אמו המנוחה והוריה היהודים, כפי שעלו גם קרובי משפחתו לאחר שהוכרו כזכאי שבות יהודים מכח יהדותו של אחיה של סבתו, אם אמו. </w:t>
      </w:r>
      <w:r>
        <w:rPr>
          <w:rFonts w:ascii="Arial" w:eastAsia="Calibri" w:hAnsi="Arial" w:hint="cs"/>
          <w:noProof w:val="0"/>
          <w:rtl/>
        </w:rPr>
        <w:t xml:space="preserve">יודגש, הרשות אינה חולקת על כך שהעותר נולד לאם יהודיה. </w:t>
      </w:r>
      <w:r w:rsidRPr="003406E4">
        <w:rPr>
          <w:rFonts w:ascii="Arial" w:eastAsia="Calibri" w:hAnsi="Arial" w:hint="cs"/>
          <w:noProof w:val="0"/>
          <w:rtl/>
        </w:rPr>
        <w:t>לטענת העותר, הוא פנה לראשונה בבקשה לעלות לישראל עוד בראשית שנת 2018, והגיש מסמכים לרבות תעודות לידה, תעודות יושר, מצב אישי, תעודת הנישואין של הוריו ועוד. לטענתו, כשנשאל האם הוא יהודי או נוצרי השיב כי הוא יהודי וגדל כיהודי, בן לאם יהודיה ולאב נוצרי, אך בקשתו נדחתה בנימוק שגוי כי המיר את דתו לנצרות.</w:t>
      </w:r>
    </w:p>
    <w:p w14:paraId="52A295B9" w14:textId="77777777" w:rsidR="00103DFA" w:rsidRPr="003406E4" w:rsidRDefault="00103DFA" w:rsidP="00103DFA">
      <w:pPr>
        <w:spacing w:line="360" w:lineRule="auto"/>
        <w:contextualSpacing/>
        <w:jc w:val="both"/>
        <w:rPr>
          <w:rFonts w:ascii="Arial" w:eastAsia="Calibri" w:hAnsi="Arial"/>
          <w:noProof w:val="0"/>
          <w:rtl/>
        </w:rPr>
      </w:pPr>
    </w:p>
    <w:p w14:paraId="4256A942"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t xml:space="preserve">ביום 29.06.2023 </w:t>
      </w:r>
      <w:r w:rsidRPr="003406E4">
        <w:rPr>
          <w:rFonts w:ascii="Arial" w:hAnsi="Arial" w:hint="cs"/>
          <w:noProof w:val="0"/>
          <w:rtl/>
        </w:rPr>
        <w:t>הגיש</w:t>
      </w:r>
      <w:r w:rsidRPr="003406E4">
        <w:rPr>
          <w:rFonts w:ascii="Arial" w:eastAsia="Calibri" w:hAnsi="Arial" w:hint="cs"/>
          <w:noProof w:val="0"/>
          <w:rtl/>
        </w:rPr>
        <w:t xml:space="preserve"> העותר עתירה לבית המשפט המחוזי בירושלים (</w:t>
      </w:r>
      <w:hyperlink r:id="rId35" w:history="1">
        <w:r w:rsidR="00CE7AF3" w:rsidRPr="00CE7AF3">
          <w:rPr>
            <w:rFonts w:ascii="Arial" w:eastAsia="Calibri" w:hAnsi="Arial"/>
            <w:noProof w:val="0"/>
            <w:color w:val="0000FF"/>
            <w:u w:val="single"/>
            <w:rtl/>
          </w:rPr>
          <w:t>עת"מ 62160-06-23</w:t>
        </w:r>
      </w:hyperlink>
      <w:r w:rsidRPr="003406E4">
        <w:rPr>
          <w:rFonts w:ascii="Arial" w:eastAsia="Calibri" w:hAnsi="Arial" w:hint="cs"/>
          <w:noProof w:val="0"/>
          <w:rtl/>
        </w:rPr>
        <w:t xml:space="preserve"> להלן: </w:t>
      </w:r>
      <w:r w:rsidRPr="003406E4">
        <w:rPr>
          <w:rFonts w:ascii="Arial" w:eastAsia="Calibri" w:hAnsi="Arial" w:hint="cs"/>
          <w:b/>
          <w:bCs/>
          <w:noProof w:val="0"/>
          <w:rtl/>
        </w:rPr>
        <w:t>העתירה הקודמת</w:t>
      </w:r>
      <w:r w:rsidRPr="003406E4">
        <w:rPr>
          <w:rFonts w:ascii="Arial" w:eastAsia="Calibri" w:hAnsi="Arial" w:hint="cs"/>
          <w:noProof w:val="0"/>
          <w:rtl/>
        </w:rPr>
        <w:t xml:space="preserve">) שנמחקה ביום 14.11.2023 בהחלטה שבה צויין, בין היתר, שהרשות תהיה מוכנה לבחון את בקשתו בשנית, וכי הבקשה שיגיש תטופל בהקדם והרשות תסייע בידו ככל שייתקל בקושי בהגשתה (נספח ג' לעתירה). </w:t>
      </w:r>
      <w:r>
        <w:rPr>
          <w:rFonts w:ascii="Arial" w:eastAsia="Calibri" w:hAnsi="Arial" w:hint="cs"/>
          <w:noProof w:val="0"/>
          <w:rtl/>
        </w:rPr>
        <w:t xml:space="preserve">בהמשך הדברים ארחיב לעניין השתלשלות העניינים בעתירה הקודמת. </w:t>
      </w:r>
      <w:r w:rsidRPr="003406E4">
        <w:rPr>
          <w:rFonts w:ascii="Arial" w:eastAsia="Calibri" w:hAnsi="Arial" w:hint="cs"/>
          <w:noProof w:val="0"/>
          <w:rtl/>
        </w:rPr>
        <w:t>לטענת העותר, הוא ציית לכל דרישות הרשות אך זו לא קיבלה כל החלטה. לדבריו, רק לאחר שהגיש בקשה לב</w:t>
      </w:r>
      <w:r>
        <w:rPr>
          <w:rFonts w:ascii="Arial" w:eastAsia="Calibri" w:hAnsi="Arial" w:hint="cs"/>
          <w:noProof w:val="0"/>
          <w:rtl/>
        </w:rPr>
        <w:t>י</w:t>
      </w:r>
      <w:r w:rsidRPr="003406E4">
        <w:rPr>
          <w:rFonts w:ascii="Arial" w:eastAsia="Calibri" w:hAnsi="Arial" w:hint="cs"/>
          <w:noProof w:val="0"/>
          <w:rtl/>
        </w:rPr>
        <w:t>זיון בית משפט בעתירה הקודמת,</w:t>
      </w:r>
      <w:r>
        <w:rPr>
          <w:rFonts w:ascii="Arial" w:eastAsia="Calibri" w:hAnsi="Arial" w:hint="cs"/>
          <w:noProof w:val="0"/>
          <w:rtl/>
        </w:rPr>
        <w:t xml:space="preserve"> ניאותה הרשות לאשר לו מעמד ארעי.</w:t>
      </w:r>
      <w:r w:rsidRPr="003406E4">
        <w:rPr>
          <w:rFonts w:ascii="Arial" w:eastAsia="Calibri" w:hAnsi="Arial" w:hint="cs"/>
          <w:noProof w:val="0"/>
          <w:rtl/>
        </w:rPr>
        <w:t xml:space="preserve"> העותר טוען כי כאשר ב"כ ביקש לקבל החלטה כתובה ומנומקת בהקשר זה, השיבה הרשות ביום 28.07.2024 בהודעת דוא"ל: "</w:t>
      </w:r>
      <w:r w:rsidRPr="003406E4">
        <w:rPr>
          <w:rFonts w:ascii="Arial" w:eastAsia="Calibri" w:hAnsi="Arial" w:hint="cs"/>
          <w:b/>
          <w:bCs/>
          <w:noProof w:val="0"/>
          <w:rtl/>
        </w:rPr>
        <w:t>זו ההחלטה. א/5 לשנה בסופה תינתן החלטה. במקרים רבים החלטה לתת א/5 ובתום השנה לקבל החלטה חדשה</w:t>
      </w:r>
      <w:r w:rsidRPr="003406E4">
        <w:rPr>
          <w:rFonts w:ascii="Arial" w:eastAsia="Calibri" w:hAnsi="Arial" w:hint="cs"/>
          <w:noProof w:val="0"/>
          <w:rtl/>
        </w:rPr>
        <w:t xml:space="preserve">" (נספח ד' לעתירה). העותר טוען כי תשובה זו אינה מהווה החלטה, אין בה כל נימוק או הסבר, וכי פניות חוזרות בהמשך לכך לא קיבלו כל מענה. לטענת העותר, ההחלטה בעניינו צריכה להיות חד משמעית: או הכרה בו כיהודי שזכאי למעמד, או סרוב להכיר בו כיהודי זכאי שבות, ומכל מקום אין אפשרות לזכאות חלקית המשתמעת מתשובת הרשות. לפיכך </w:t>
      </w:r>
      <w:r w:rsidRPr="003406E4">
        <w:rPr>
          <w:rFonts w:ascii="Arial" w:hAnsi="Arial" w:hint="cs"/>
          <w:noProof w:val="0"/>
          <w:rtl/>
        </w:rPr>
        <w:t>הוגשה</w:t>
      </w:r>
      <w:r w:rsidRPr="003406E4">
        <w:rPr>
          <w:rFonts w:ascii="Arial" w:eastAsia="Calibri" w:hAnsi="Arial" w:hint="cs"/>
          <w:noProof w:val="0"/>
          <w:rtl/>
        </w:rPr>
        <w:t xml:space="preserve"> ביום 03.11.2024 העתירה שלפניי. </w:t>
      </w:r>
    </w:p>
    <w:p w14:paraId="11A814A8" w14:textId="77777777" w:rsidR="00103DFA" w:rsidRPr="003406E4" w:rsidRDefault="00103DFA" w:rsidP="00103DFA">
      <w:pPr>
        <w:spacing w:line="360" w:lineRule="auto"/>
        <w:contextualSpacing/>
        <w:jc w:val="both"/>
        <w:rPr>
          <w:rFonts w:ascii="Arial" w:eastAsia="Calibri" w:hAnsi="Arial"/>
          <w:b/>
          <w:bCs/>
          <w:noProof w:val="0"/>
        </w:rPr>
      </w:pPr>
    </w:p>
    <w:p w14:paraId="782D3609"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t>ביום 13.11.2024 הוריתי על מסירת העתירה לפרקליטות מחוז ת"א, ועל הגשת תשובה עד ליום 15.12.2024 בצירוף תצהיר לתמיכה בעובדות שבה. עוד הוריתי כי "</w:t>
      </w:r>
      <w:r w:rsidRPr="003406E4">
        <w:rPr>
          <w:rFonts w:ascii="Arial" w:eastAsia="Calibri" w:hAnsi="Arial" w:hint="cs"/>
          <w:b/>
          <w:bCs/>
          <w:noProof w:val="0"/>
          <w:rtl/>
        </w:rPr>
        <w:t xml:space="preserve">ככל שתתקבל החלטה קודם למועד זה, תודיע על כך המשיבה לבית המשפט. לאחר קבלת </w:t>
      </w:r>
      <w:r w:rsidRPr="003406E4">
        <w:rPr>
          <w:rFonts w:ascii="Arial" w:hAnsi="Arial" w:hint="cs"/>
          <w:b/>
          <w:bCs/>
          <w:noProof w:val="0"/>
          <w:rtl/>
        </w:rPr>
        <w:t>התשובה</w:t>
      </w:r>
      <w:r w:rsidRPr="003406E4">
        <w:rPr>
          <w:rFonts w:ascii="Arial" w:eastAsia="Calibri" w:hAnsi="Arial" w:hint="cs"/>
          <w:b/>
          <w:bCs/>
          <w:noProof w:val="0"/>
          <w:rtl/>
        </w:rPr>
        <w:t xml:space="preserve"> וככל שיידרש יקבע מועד לדיון</w:t>
      </w:r>
      <w:r w:rsidRPr="003406E4">
        <w:rPr>
          <w:rFonts w:ascii="Arial" w:eastAsia="Calibri" w:hAnsi="Arial" w:hint="cs"/>
          <w:noProof w:val="0"/>
          <w:rtl/>
        </w:rPr>
        <w:t xml:space="preserve">". </w:t>
      </w:r>
      <w:r w:rsidRPr="003406E4">
        <w:rPr>
          <w:rFonts w:ascii="Arial" w:hAnsi="Arial" w:hint="cs"/>
          <w:noProof w:val="0"/>
          <w:rtl/>
        </w:rPr>
        <w:t>ביום</w:t>
      </w:r>
      <w:r w:rsidRPr="003406E4">
        <w:rPr>
          <w:rFonts w:ascii="Arial" w:eastAsia="Calibri" w:hAnsi="Arial" w:hint="cs"/>
          <w:noProof w:val="0"/>
          <w:rtl/>
        </w:rPr>
        <w:t xml:space="preserve"> 26.12.2024, לאחר שאושרה ארכה שהתבקשה, הגישה הרשות הודעה ובקשה למחיקת העתירה מחמת התייתרותה. </w:t>
      </w:r>
      <w:r>
        <w:rPr>
          <w:rFonts w:ascii="Arial" w:eastAsia="Calibri" w:hAnsi="Arial" w:hint="cs"/>
          <w:noProof w:val="0"/>
          <w:rtl/>
        </w:rPr>
        <w:t>בהודעה</w:t>
      </w:r>
      <w:r w:rsidRPr="003406E4">
        <w:rPr>
          <w:rFonts w:ascii="Arial" w:eastAsia="Calibri" w:hAnsi="Arial" w:hint="cs"/>
          <w:noProof w:val="0"/>
          <w:rtl/>
        </w:rPr>
        <w:t xml:space="preserve"> ציינה </w:t>
      </w:r>
      <w:r>
        <w:rPr>
          <w:rFonts w:ascii="Arial" w:eastAsia="Calibri" w:hAnsi="Arial" w:hint="cs"/>
          <w:noProof w:val="0"/>
          <w:rtl/>
        </w:rPr>
        <w:t xml:space="preserve">הרשות </w:t>
      </w:r>
      <w:r w:rsidRPr="003406E4">
        <w:rPr>
          <w:rFonts w:ascii="Arial" w:eastAsia="Calibri" w:hAnsi="Arial" w:hint="cs"/>
          <w:noProof w:val="0"/>
          <w:rtl/>
        </w:rPr>
        <w:t xml:space="preserve">כי באותו היום התקבלה החלטה חדשה בבקשת העותר בדסק </w:t>
      </w:r>
      <w:r w:rsidRPr="003406E4">
        <w:rPr>
          <w:rFonts w:ascii="Arial" w:hAnsi="Arial" w:hint="cs"/>
          <w:noProof w:val="0"/>
          <w:rtl/>
        </w:rPr>
        <w:t>זכאות</w:t>
      </w:r>
      <w:r w:rsidRPr="003406E4">
        <w:rPr>
          <w:rFonts w:ascii="Arial" w:eastAsia="Calibri" w:hAnsi="Arial" w:hint="cs"/>
          <w:noProof w:val="0"/>
          <w:rtl/>
        </w:rPr>
        <w:t xml:space="preserve">, אגף אשרות ומעמד במטה הרשות (להלן: </w:t>
      </w:r>
      <w:r>
        <w:rPr>
          <w:rFonts w:ascii="Arial" w:eastAsia="Calibri" w:hAnsi="Arial" w:hint="cs"/>
          <w:b/>
          <w:bCs/>
          <w:noProof w:val="0"/>
          <w:rtl/>
        </w:rPr>
        <w:t xml:space="preserve">החלטת דצמבר 24. </w:t>
      </w:r>
      <w:r w:rsidRPr="009D3141">
        <w:rPr>
          <w:rFonts w:ascii="Arial" w:eastAsia="Calibri" w:hAnsi="Arial" w:hint="cs"/>
          <w:noProof w:val="0"/>
          <w:rtl/>
        </w:rPr>
        <w:t xml:space="preserve">בהמשך יובהר מדוע אין מדובר כלל ועיקר </w:t>
      </w:r>
      <w:r>
        <w:rPr>
          <w:rFonts w:ascii="Arial" w:eastAsia="Calibri" w:hAnsi="Arial" w:hint="cs"/>
          <w:noProof w:val="0"/>
          <w:rtl/>
        </w:rPr>
        <w:t>בהחלטה</w:t>
      </w:r>
      <w:r w:rsidRPr="009D3141">
        <w:rPr>
          <w:rFonts w:ascii="Arial" w:eastAsia="Calibri" w:hAnsi="Arial" w:hint="cs"/>
          <w:noProof w:val="0"/>
          <w:rtl/>
        </w:rPr>
        <w:t xml:space="preserve"> חדשה</w:t>
      </w:r>
      <w:r w:rsidRPr="003406E4">
        <w:rPr>
          <w:rFonts w:ascii="Arial" w:eastAsia="Calibri" w:hAnsi="Arial" w:hint="cs"/>
          <w:noProof w:val="0"/>
          <w:rtl/>
        </w:rPr>
        <w:t xml:space="preserve">). בהודעת הרשות נטען, כי ככל שהעותר מעוניין להשיג על </w:t>
      </w:r>
      <w:r>
        <w:rPr>
          <w:rFonts w:ascii="Arial" w:eastAsia="Calibri" w:hAnsi="Arial" w:hint="cs"/>
          <w:noProof w:val="0"/>
          <w:rtl/>
        </w:rPr>
        <w:t>החלטה זו</w:t>
      </w:r>
      <w:r w:rsidRPr="003406E4">
        <w:rPr>
          <w:rFonts w:ascii="Arial" w:eastAsia="Calibri" w:hAnsi="Arial" w:hint="cs"/>
          <w:noProof w:val="0"/>
          <w:rtl/>
        </w:rPr>
        <w:t xml:space="preserve"> עליו למצות את ההליכים כנדרש ממי שמצוי מחוץ לישראל, ולהגיש ערר פנימי דרך הקונסוליה במדינת מוצאו. בנוסף נטען כי העתירה, שעניינה באי מתן מענה לבקשת העותר, התייתרה</w:t>
      </w:r>
      <w:r>
        <w:rPr>
          <w:rFonts w:ascii="Arial" w:eastAsia="Calibri" w:hAnsi="Arial" w:hint="cs"/>
          <w:noProof w:val="0"/>
          <w:rtl/>
        </w:rPr>
        <w:t xml:space="preserve"> עם מתן מענה</w:t>
      </w:r>
      <w:r w:rsidRPr="003406E4">
        <w:rPr>
          <w:rFonts w:ascii="Arial" w:eastAsia="Calibri" w:hAnsi="Arial" w:hint="cs"/>
          <w:noProof w:val="0"/>
          <w:rtl/>
        </w:rPr>
        <w:t xml:space="preserve"> ולפיכך התבקש להורות על מחיקתה. </w:t>
      </w:r>
    </w:p>
    <w:p w14:paraId="797F02A2" w14:textId="77777777" w:rsidR="00103DFA" w:rsidRPr="003406E4" w:rsidRDefault="00103DFA" w:rsidP="00103DFA">
      <w:pPr>
        <w:spacing w:line="360" w:lineRule="auto"/>
        <w:contextualSpacing/>
        <w:jc w:val="both"/>
        <w:rPr>
          <w:rFonts w:ascii="Arial" w:eastAsia="Calibri" w:hAnsi="Arial"/>
          <w:noProof w:val="0"/>
          <w:rtl/>
        </w:rPr>
      </w:pPr>
    </w:p>
    <w:p w14:paraId="1894FB5D" w14:textId="77777777" w:rsidR="00103DFA" w:rsidRPr="003406E4" w:rsidRDefault="00103DFA" w:rsidP="00103DFA">
      <w:pPr>
        <w:numPr>
          <w:ilvl w:val="0"/>
          <w:numId w:val="1"/>
        </w:numPr>
        <w:spacing w:before="240" w:line="360" w:lineRule="auto"/>
        <w:contextualSpacing/>
        <w:jc w:val="both"/>
        <w:rPr>
          <w:rFonts w:ascii="Arial" w:hAnsi="Arial"/>
          <w:noProof w:val="0"/>
        </w:rPr>
      </w:pPr>
      <w:r>
        <w:rPr>
          <w:rFonts w:ascii="Arial" w:hAnsi="Arial" w:hint="cs"/>
          <w:noProof w:val="0"/>
          <w:rtl/>
        </w:rPr>
        <w:t xml:space="preserve">בהחלטת דצמבר 24, </w:t>
      </w:r>
      <w:r w:rsidRPr="003406E4">
        <w:rPr>
          <w:rFonts w:ascii="Arial" w:hAnsi="Arial" w:hint="cs"/>
          <w:noProof w:val="0"/>
          <w:rtl/>
        </w:rPr>
        <w:t xml:space="preserve">שהעתקה צורף להודעת הרשות, ציינה </w:t>
      </w:r>
      <w:r>
        <w:rPr>
          <w:rFonts w:ascii="Arial" w:hAnsi="Arial" w:hint="cs"/>
          <w:noProof w:val="0"/>
          <w:rtl/>
        </w:rPr>
        <w:t xml:space="preserve"> הרשות </w:t>
      </w:r>
      <w:r w:rsidRPr="003406E4">
        <w:rPr>
          <w:rFonts w:ascii="Arial" w:hAnsi="Arial" w:hint="cs"/>
          <w:noProof w:val="0"/>
          <w:rtl/>
        </w:rPr>
        <w:t xml:space="preserve">כי </w:t>
      </w:r>
      <w:r>
        <w:rPr>
          <w:rFonts w:ascii="Arial" w:hAnsi="Arial" w:hint="cs"/>
          <w:noProof w:val="0"/>
          <w:rtl/>
        </w:rPr>
        <w:t>ה</w:t>
      </w:r>
      <w:r w:rsidRPr="003406E4">
        <w:rPr>
          <w:rFonts w:ascii="Arial" w:hAnsi="Arial" w:hint="cs"/>
          <w:noProof w:val="0"/>
          <w:rtl/>
        </w:rPr>
        <w:t xml:space="preserve">החלטה </w:t>
      </w:r>
      <w:r>
        <w:rPr>
          <w:rFonts w:ascii="Arial" w:hAnsi="Arial" w:hint="cs"/>
          <w:noProof w:val="0"/>
          <w:rtl/>
        </w:rPr>
        <w:t xml:space="preserve">לאשר לעותר מעמד זמני, התקבלה עוד ביום 07.07.2024, לפני הגשת העתירה. לדברי הרשות בהודעה, אותה החלטה </w:t>
      </w:r>
      <w:r w:rsidRPr="003406E4">
        <w:rPr>
          <w:rFonts w:ascii="Arial" w:hAnsi="Arial" w:hint="cs"/>
          <w:noProof w:val="0"/>
          <w:rtl/>
        </w:rPr>
        <w:t>הועברה ל"נתיב</w:t>
      </w:r>
      <w:r w:rsidRPr="00CA30A5">
        <w:rPr>
          <w:rFonts w:ascii="Arial" w:hAnsi="Arial" w:hint="cs"/>
          <w:noProof w:val="0"/>
          <w:rtl/>
        </w:rPr>
        <w:t>", ולטענת הרשות עיקריה הועברו לעותר</w:t>
      </w:r>
      <w:r w:rsidRPr="003406E4">
        <w:rPr>
          <w:rFonts w:ascii="Arial" w:hAnsi="Arial" w:hint="cs"/>
          <w:noProof w:val="0"/>
          <w:rtl/>
        </w:rPr>
        <w:t xml:space="preserve"> טלפונית ובדוא"ל</w:t>
      </w:r>
      <w:r>
        <w:rPr>
          <w:rFonts w:ascii="Arial" w:hAnsi="Arial" w:hint="cs"/>
          <w:noProof w:val="0"/>
          <w:rtl/>
        </w:rPr>
        <w:t xml:space="preserve"> ככל הנראה ע"י נציגי נתיב</w:t>
      </w:r>
      <w:r w:rsidRPr="003406E4">
        <w:rPr>
          <w:rFonts w:ascii="Arial" w:hAnsi="Arial" w:hint="cs"/>
          <w:noProof w:val="0"/>
          <w:rtl/>
        </w:rPr>
        <w:t xml:space="preserve"> (להלן: </w:t>
      </w:r>
      <w:r w:rsidRPr="003406E4">
        <w:rPr>
          <w:rFonts w:ascii="Arial" w:hAnsi="Arial" w:hint="cs"/>
          <w:b/>
          <w:bCs/>
          <w:noProof w:val="0"/>
          <w:rtl/>
        </w:rPr>
        <w:t xml:space="preserve">ההחלטה </w:t>
      </w:r>
      <w:r>
        <w:rPr>
          <w:rFonts w:ascii="Arial" w:hAnsi="Arial" w:hint="cs"/>
          <w:b/>
          <w:bCs/>
          <w:noProof w:val="0"/>
          <w:rtl/>
        </w:rPr>
        <w:t>מיולי 24</w:t>
      </w:r>
      <w:r w:rsidRPr="003406E4">
        <w:rPr>
          <w:rFonts w:ascii="Arial" w:hAnsi="Arial" w:hint="cs"/>
          <w:noProof w:val="0"/>
          <w:rtl/>
        </w:rPr>
        <w:t>), אך לאור טענת העותר כי לא התקבלה אצלו, פורטו סעיפי ההחלטה הקודמת שוב בהחלט</w:t>
      </w:r>
      <w:r>
        <w:rPr>
          <w:rFonts w:ascii="Arial" w:hAnsi="Arial" w:hint="cs"/>
          <w:noProof w:val="0"/>
          <w:rtl/>
        </w:rPr>
        <w:t xml:space="preserve">ת דצמבר 24. היינו מדובר, על פי דברי הרשות עצמה, בהודעה על החלטה שהתקבלה, לטענת הרשות, עוד קודם להגשת העתירה ולא בהחלטה חדשה. ההחלטה מיולי 24 מובאת בהחלטת דצמבר 24, כציטוט. בהחלטה זו מובאת החלטת יולי 24 בה צוין </w:t>
      </w:r>
      <w:r w:rsidRPr="003406E4">
        <w:rPr>
          <w:rFonts w:ascii="Arial" w:hAnsi="Arial" w:hint="cs"/>
          <w:noProof w:val="0"/>
          <w:rtl/>
        </w:rPr>
        <w:t xml:space="preserve">כי במועד הגשת הבקשה בשנת 2018 סימן העותר עצמו בסעיף הדת בשאלוני העלייה "נוצרי", ובסעיף הלאום "יהודי", וסיפק הצהרה מטעמו כי הוטבל בילדותו והוא מבקר בכנסיה פעם בשנה וחוגג חגים נוצריים עיקריים, ולפיכך נדחתה בקשתו "נוכח המרת דת". בנוסף צויין כי עם זאת, העותר טען כי הוטבל כתינוק על ידי משפחת אביו הנוכרי וחגג רק חגים אזרחיים ולא הטביל את ילדיו, וכי אמו לא פקדה כנסיות וסבתו היהודייה חגגה את חגי ישראל, וכן כי הוא מתקרב ליהדות ומשתייך לקהילה יהודית והמציא תימוכין לכך. לפיכך, הוחלט עוד </w:t>
      </w:r>
      <w:r>
        <w:rPr>
          <w:rFonts w:ascii="Arial" w:hAnsi="Arial" w:hint="cs"/>
          <w:noProof w:val="0"/>
          <w:rtl/>
        </w:rPr>
        <w:t>ביולי 24</w:t>
      </w:r>
      <w:r w:rsidRPr="003406E4">
        <w:rPr>
          <w:rFonts w:ascii="Arial" w:hAnsi="Arial" w:hint="cs"/>
          <w:noProof w:val="0"/>
          <w:rtl/>
        </w:rPr>
        <w:t>, להעניק לעותר ר</w:t>
      </w:r>
      <w:r>
        <w:rPr>
          <w:rFonts w:ascii="Arial" w:hAnsi="Arial" w:hint="cs"/>
          <w:noProof w:val="0"/>
          <w:rtl/>
        </w:rPr>
        <w:t>י</w:t>
      </w:r>
      <w:r w:rsidRPr="003406E4">
        <w:rPr>
          <w:rFonts w:ascii="Arial" w:hAnsi="Arial" w:hint="cs"/>
          <w:noProof w:val="0"/>
          <w:rtl/>
        </w:rPr>
        <w:t>שיון תושב ארעי מסוג א/5 למשך שנה</w:t>
      </w:r>
      <w:r w:rsidRPr="003406E4">
        <w:rPr>
          <w:rFonts w:ascii="Arial" w:eastAsia="Calibri" w:hAnsi="Arial" w:hint="cs"/>
          <w:noProof w:val="0"/>
          <w:rtl/>
        </w:rPr>
        <w:t xml:space="preserve"> לשם בחינת דתו האפקטיבית</w:t>
      </w:r>
      <w:r w:rsidRPr="003406E4">
        <w:rPr>
          <w:rFonts w:ascii="Arial" w:hAnsi="Arial" w:hint="cs"/>
          <w:noProof w:val="0"/>
          <w:rtl/>
        </w:rPr>
        <w:t>, ולאשר לאשתו ולילדיו ר</w:t>
      </w:r>
      <w:r>
        <w:rPr>
          <w:rFonts w:ascii="Arial" w:hAnsi="Arial" w:hint="cs"/>
          <w:noProof w:val="0"/>
          <w:rtl/>
        </w:rPr>
        <w:t>י</w:t>
      </w:r>
      <w:r w:rsidRPr="003406E4">
        <w:rPr>
          <w:rFonts w:ascii="Arial" w:hAnsi="Arial" w:hint="cs"/>
          <w:noProof w:val="0"/>
          <w:rtl/>
        </w:rPr>
        <w:t>שיון זהה בכפוף לר</w:t>
      </w:r>
      <w:r>
        <w:rPr>
          <w:rFonts w:ascii="Arial" w:hAnsi="Arial" w:hint="cs"/>
          <w:noProof w:val="0"/>
          <w:rtl/>
        </w:rPr>
        <w:t>י</w:t>
      </w:r>
      <w:r w:rsidRPr="003406E4">
        <w:rPr>
          <w:rFonts w:ascii="Arial" w:hAnsi="Arial" w:hint="cs"/>
          <w:noProof w:val="0"/>
          <w:rtl/>
        </w:rPr>
        <w:t xml:space="preserve">שיונו שלו, ובתום התקופה תיבחן בשנית בקשתו בהתאם לנסיבות ולעריכת ראיון עדכני בעניין דתו האפקטיבית. </w:t>
      </w:r>
      <w:r>
        <w:rPr>
          <w:rFonts w:ascii="Arial" w:hAnsi="Arial" w:hint="cs"/>
          <w:noProof w:val="0"/>
          <w:rtl/>
        </w:rPr>
        <w:t xml:space="preserve"> לאחר שהובאו דברים מהחלטת יולי 24, לכאורה בלשונם, בסיכום  החלטת דצמבר 24, חוזרת הרשות על הדברים כי לאור הסתירות יש מקום לתת רישיון זמני לשנה על מנת לבחון את דתו האפקטיבית של העותר. </w:t>
      </w:r>
    </w:p>
    <w:p w14:paraId="267BD1AA" w14:textId="77777777" w:rsidR="00103DFA" w:rsidRPr="003406E4" w:rsidRDefault="00103DFA" w:rsidP="00103DFA">
      <w:pPr>
        <w:spacing w:line="360" w:lineRule="auto"/>
        <w:contextualSpacing/>
        <w:jc w:val="both"/>
        <w:rPr>
          <w:rFonts w:ascii="Arial" w:eastAsia="Calibri" w:hAnsi="Arial"/>
          <w:noProof w:val="0"/>
          <w:rtl/>
        </w:rPr>
      </w:pPr>
    </w:p>
    <w:p w14:paraId="7727270B"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t xml:space="preserve">ביום 29.12.2024 הגיש העותר תגובה להודעת הרשות, וטען כי היא מבקשת רק לסרבל את ההליך </w:t>
      </w:r>
      <w:r w:rsidRPr="003406E4">
        <w:rPr>
          <w:rFonts w:ascii="Arial" w:hAnsi="Arial" w:hint="cs"/>
          <w:noProof w:val="0"/>
          <w:rtl/>
        </w:rPr>
        <w:t>בעניינו</w:t>
      </w:r>
      <w:r w:rsidRPr="003406E4">
        <w:rPr>
          <w:rFonts w:ascii="Arial" w:eastAsia="Calibri" w:hAnsi="Arial" w:hint="cs"/>
          <w:noProof w:val="0"/>
          <w:rtl/>
        </w:rPr>
        <w:t xml:space="preserve"> שוב, ולייצר סחבת בעתירה הנוכחית, כפי שעשתה לגבי העתירה הקודמת, ואף מאז שהגיש את בקשתו לראשונה. העותר חזר על טיעוני</w:t>
      </w:r>
      <w:r>
        <w:rPr>
          <w:rFonts w:ascii="Arial" w:eastAsia="Calibri" w:hAnsi="Arial" w:hint="cs"/>
          <w:noProof w:val="0"/>
          <w:rtl/>
        </w:rPr>
        <w:t>ו ב</w:t>
      </w:r>
      <w:r w:rsidRPr="003406E4">
        <w:rPr>
          <w:rFonts w:ascii="Arial" w:eastAsia="Calibri" w:hAnsi="Arial" w:hint="cs"/>
          <w:noProof w:val="0"/>
          <w:rtl/>
        </w:rPr>
        <w:t>עתירה שלפניי, ועל כך שנדרשה בקשה בגין בזיון בית המשפט במסגרת העתירה הקודמת כדי שיקבל רק מעמד ארעי</w:t>
      </w:r>
      <w:r>
        <w:rPr>
          <w:rFonts w:ascii="Arial" w:eastAsia="Calibri" w:hAnsi="Arial" w:hint="cs"/>
          <w:noProof w:val="0"/>
          <w:rtl/>
        </w:rPr>
        <w:t>. העותר הוסיף וטען כי</w:t>
      </w:r>
      <w:r w:rsidRPr="003406E4">
        <w:rPr>
          <w:rFonts w:ascii="Arial" w:eastAsia="Calibri" w:hAnsi="Arial" w:hint="cs"/>
          <w:noProof w:val="0"/>
          <w:rtl/>
        </w:rPr>
        <w:t xml:space="preserve"> פעולת הרשות נועדה כדי להביא שוב למ</w:t>
      </w:r>
      <w:r>
        <w:rPr>
          <w:rFonts w:ascii="Arial" w:eastAsia="Calibri" w:hAnsi="Arial" w:hint="cs"/>
          <w:noProof w:val="0"/>
          <w:rtl/>
        </w:rPr>
        <w:t>חיקת העתירה הנוכחית כפי שעשתה בעתירה הקודמת</w:t>
      </w:r>
      <w:r w:rsidRPr="003406E4">
        <w:rPr>
          <w:rFonts w:ascii="Arial" w:eastAsia="Calibri" w:hAnsi="Arial" w:hint="cs"/>
          <w:noProof w:val="0"/>
          <w:rtl/>
        </w:rPr>
        <w:t>, בטענה לאי מיצוי הליכים, ללא התקדמות מאותה נקודה ותוך גרימת עיכוב של שנים בעניינו ללא הצדקה.</w:t>
      </w:r>
    </w:p>
    <w:p w14:paraId="3411CB5B" w14:textId="77777777" w:rsidR="00103DFA" w:rsidRPr="003406E4" w:rsidRDefault="00103DFA" w:rsidP="00103DFA">
      <w:pPr>
        <w:spacing w:line="360" w:lineRule="auto"/>
        <w:contextualSpacing/>
        <w:jc w:val="both"/>
        <w:rPr>
          <w:rFonts w:ascii="Arial" w:eastAsia="Calibri" w:hAnsi="Arial"/>
          <w:noProof w:val="0"/>
          <w:rtl/>
        </w:rPr>
      </w:pPr>
    </w:p>
    <w:p w14:paraId="29B32D5D"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t>ביום 04.02.2025 קבעתי כי "</w:t>
      </w:r>
      <w:r w:rsidRPr="003406E4">
        <w:rPr>
          <w:rFonts w:ascii="Arial" w:eastAsia="Calibri" w:hAnsi="Arial" w:hint="cs"/>
          <w:b/>
          <w:bCs/>
          <w:noProof w:val="0"/>
          <w:rtl/>
        </w:rPr>
        <w:t>יתקיים דיון בעתירה גופה, שיתייחס בין היתר להתנהלות הרשות בקבלת החלטות רק לאחר הגשת הליכים וללא שמתקיים דיון לגופו של עניין</w:t>
      </w:r>
      <w:r w:rsidRPr="003406E4">
        <w:rPr>
          <w:rFonts w:ascii="Arial" w:eastAsia="Calibri" w:hAnsi="Arial" w:hint="cs"/>
          <w:noProof w:val="0"/>
          <w:rtl/>
        </w:rPr>
        <w:t>", והתרתי לרשות להגיש תגובה משלימה מטעמה עד המועד שנקבע. ביום 28.</w:t>
      </w:r>
      <w:r w:rsidRPr="003406E4">
        <w:rPr>
          <w:rFonts w:ascii="Arial" w:hAnsi="Arial" w:hint="cs"/>
          <w:noProof w:val="0"/>
          <w:rtl/>
        </w:rPr>
        <w:t>04</w:t>
      </w:r>
      <w:r w:rsidRPr="003406E4">
        <w:rPr>
          <w:rFonts w:ascii="Arial" w:eastAsia="Calibri" w:hAnsi="Arial" w:hint="cs"/>
          <w:noProof w:val="0"/>
          <w:rtl/>
        </w:rPr>
        <w:t>.</w:t>
      </w:r>
      <w:r w:rsidRPr="003406E4">
        <w:rPr>
          <w:rFonts w:ascii="Arial" w:hAnsi="Arial" w:hint="cs"/>
          <w:noProof w:val="0"/>
          <w:rtl/>
        </w:rPr>
        <w:t>2025</w:t>
      </w:r>
      <w:r w:rsidRPr="003406E4">
        <w:rPr>
          <w:rFonts w:ascii="Arial" w:eastAsia="Calibri" w:hAnsi="Arial" w:hint="cs"/>
          <w:noProof w:val="0"/>
          <w:rtl/>
        </w:rPr>
        <w:t xml:space="preserve"> התקיים בפניי הדיון בעתירה, מבלי שהרשות הגישה תגובה משלימה, וב"כ הצדדים טענו לגופו של עניין. בהמשך הגיש העותר ביום 30.04.2025 אישור מרבני הקהילות היהודיות בזפרוזה ובקייב על מעורבותו הפעילה בקהילותיהם, אשר צורף לתיק.</w:t>
      </w:r>
    </w:p>
    <w:p w14:paraId="59E01151" w14:textId="77777777" w:rsidR="00103DFA" w:rsidRPr="003406E4" w:rsidRDefault="00103DFA" w:rsidP="00103DFA">
      <w:pPr>
        <w:spacing w:line="360" w:lineRule="auto"/>
        <w:contextualSpacing/>
        <w:jc w:val="both"/>
        <w:rPr>
          <w:rFonts w:ascii="Arial" w:hAnsi="Arial"/>
          <w:noProof w:val="0"/>
        </w:rPr>
      </w:pPr>
    </w:p>
    <w:p w14:paraId="040523AD"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לפיכך ניתן עתה פסק הדין בעתירה.</w:t>
      </w:r>
    </w:p>
    <w:p w14:paraId="54364FC1" w14:textId="77777777" w:rsidR="00103DFA" w:rsidRPr="003406E4" w:rsidRDefault="00103DFA" w:rsidP="00103DFA">
      <w:pPr>
        <w:spacing w:line="360" w:lineRule="auto"/>
        <w:contextualSpacing/>
        <w:jc w:val="both"/>
        <w:rPr>
          <w:rFonts w:ascii="Arial" w:eastAsia="Calibri" w:hAnsi="Arial"/>
          <w:noProof w:val="0"/>
          <w:rtl/>
        </w:rPr>
      </w:pPr>
    </w:p>
    <w:p w14:paraId="429E89E3" w14:textId="77777777" w:rsidR="00103DFA" w:rsidRPr="003406E4" w:rsidRDefault="00103DFA" w:rsidP="00103DFA">
      <w:pPr>
        <w:spacing w:line="360" w:lineRule="auto"/>
        <w:contextualSpacing/>
        <w:jc w:val="both"/>
        <w:rPr>
          <w:rFonts w:ascii="Arial" w:eastAsia="Calibri" w:hAnsi="Arial"/>
          <w:b/>
          <w:bCs/>
          <w:noProof w:val="0"/>
          <w:u w:val="single"/>
          <w:rtl/>
        </w:rPr>
      </w:pPr>
      <w:r w:rsidRPr="003406E4">
        <w:rPr>
          <w:rFonts w:ascii="Arial" w:eastAsia="Calibri" w:hAnsi="Arial" w:hint="cs"/>
          <w:b/>
          <w:bCs/>
          <w:noProof w:val="0"/>
          <w:u w:val="single"/>
          <w:rtl/>
        </w:rPr>
        <w:t>תמצית טיעוני הצדדים</w:t>
      </w:r>
    </w:p>
    <w:p w14:paraId="571C9D15" w14:textId="77777777" w:rsidR="00103DFA" w:rsidRPr="003406E4" w:rsidRDefault="00103DFA" w:rsidP="00103DFA">
      <w:pPr>
        <w:spacing w:line="360" w:lineRule="auto"/>
        <w:contextualSpacing/>
        <w:jc w:val="both"/>
        <w:rPr>
          <w:rFonts w:ascii="Arial" w:eastAsia="Calibri" w:hAnsi="Arial"/>
          <w:noProof w:val="0"/>
          <w:u w:val="single"/>
          <w:rtl/>
        </w:rPr>
      </w:pPr>
      <w:r w:rsidRPr="003406E4">
        <w:rPr>
          <w:rFonts w:ascii="Arial" w:eastAsia="Calibri" w:hAnsi="Arial" w:hint="cs"/>
          <w:noProof w:val="0"/>
          <w:u w:val="single"/>
          <w:rtl/>
        </w:rPr>
        <w:t>טיעוני העותר</w:t>
      </w:r>
    </w:p>
    <w:p w14:paraId="7FC323BD" w14:textId="77777777" w:rsidR="00103DFA" w:rsidRPr="003406E4" w:rsidRDefault="00103DFA" w:rsidP="00103DFA">
      <w:pPr>
        <w:numPr>
          <w:ilvl w:val="0"/>
          <w:numId w:val="1"/>
        </w:numPr>
        <w:spacing w:before="240" w:line="360" w:lineRule="auto"/>
        <w:contextualSpacing/>
        <w:jc w:val="both"/>
        <w:rPr>
          <w:rFonts w:ascii="Arial" w:eastAsia="Calibri" w:hAnsi="Arial"/>
          <w:noProof w:val="0"/>
          <w:rtl/>
        </w:rPr>
      </w:pPr>
      <w:r w:rsidRPr="003406E4">
        <w:rPr>
          <w:rFonts w:ascii="Arial" w:eastAsia="Calibri" w:hAnsi="Arial" w:hint="cs"/>
          <w:noProof w:val="0"/>
          <w:rtl/>
        </w:rPr>
        <w:t xml:space="preserve">העותר טוען כי הוא זכאי לעלות לישראל לפי </w:t>
      </w:r>
      <w:hyperlink r:id="rId36" w:history="1">
        <w:r w:rsidR="00CE7AF3" w:rsidRPr="00CE7AF3">
          <w:rPr>
            <w:rFonts w:ascii="Arial" w:eastAsia="Calibri" w:hAnsi="Arial"/>
            <w:noProof w:val="0"/>
            <w:color w:val="0000FF"/>
            <w:u w:val="single"/>
            <w:rtl/>
          </w:rPr>
          <w:t>חוק השבות</w:t>
        </w:r>
      </w:hyperlink>
      <w:r w:rsidRPr="003406E4">
        <w:rPr>
          <w:rFonts w:ascii="Arial" w:eastAsia="Calibri" w:hAnsi="Arial" w:hint="cs"/>
          <w:noProof w:val="0"/>
          <w:rtl/>
        </w:rPr>
        <w:t xml:space="preserve">, בהיותו בן לאם יהודייה ונכד לסבא ולסבתא יהודים, הורי אמו, בדומה לקרובי משפחתו שעלו לישראל מכח אותה קרבה לאותם סבים. העותר טוען כי פנה מספר פעמים לרשות וביקש להתיר לו לעלות לישראל מכח זכאותו, יחד עם אשתו וילדיו, אך הרשות דוחה אותו בלך ושוב עוד משנת 2018. העותר מדגיש כי אף לשיטת הרשות אין מחלוקת לגבי יהדותה </w:t>
      </w:r>
      <w:r w:rsidRPr="003406E4">
        <w:rPr>
          <w:rFonts w:ascii="Arial" w:hAnsi="Arial" w:hint="cs"/>
          <w:noProof w:val="0"/>
          <w:rtl/>
        </w:rPr>
        <w:t>של</w:t>
      </w:r>
      <w:r w:rsidRPr="003406E4">
        <w:rPr>
          <w:rFonts w:ascii="Arial" w:eastAsia="Calibri" w:hAnsi="Arial" w:hint="cs"/>
          <w:noProof w:val="0"/>
          <w:rtl/>
        </w:rPr>
        <w:t xml:space="preserve"> אמו, וטוען כי הרשות רואה בהטבלתו לנצרות כתינוק כהמרת דת. העותר טוען כי בראיון שנערך לו, הטעו אותו נציגי הרשות שהבטיחו שהצהרתו כי הוטבל כתינוק והודאה כי הוא נוצרי יקלו עליו לקבל מעמד של עולה "במסלול אחר". העותר טוען כי בפניות רבות לנציגי הרשות, הן בשגרירות באוקראינה, הן בישראל כשהגיע לארץ כתייר, הוא סיפר שוב ושוב והדגיש כי נולד כיהודי וחי כיהודי, וכבן לאם יהודייה הכיר וחגג תמיד את חגי ישראל, בצלו של אב נוצרי. לפיכך, לטענת העותר, הוא לכל היותר "תינוק שבוי" שהוטבל בינקות בהתאם למסורת ולדת של אביו, אך אין בטבילה זו, אף אם קרתה, כדי להוות התנצרות או המרת דת, אלא הוא היה מלידתו ועודנו כיום – יהודי וזכאי לשבות.</w:t>
      </w:r>
    </w:p>
    <w:p w14:paraId="7C3F0630" w14:textId="77777777" w:rsidR="00103DFA" w:rsidRPr="003406E4" w:rsidRDefault="00103DFA" w:rsidP="00103DFA">
      <w:pPr>
        <w:spacing w:line="360" w:lineRule="auto"/>
        <w:contextualSpacing/>
        <w:jc w:val="both"/>
        <w:rPr>
          <w:rFonts w:ascii="Arial" w:eastAsia="Calibri" w:hAnsi="Arial"/>
          <w:noProof w:val="0"/>
        </w:rPr>
      </w:pPr>
    </w:p>
    <w:p w14:paraId="18DD5B72"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t xml:space="preserve">העותר טוען, כי החלטת הרשות שלפיה הוא ובני משפחתו יקבלו </w:t>
      </w:r>
      <w:r w:rsidRPr="003406E4">
        <w:rPr>
          <w:rFonts w:ascii="Arial" w:hAnsi="Arial" w:hint="cs"/>
          <w:noProof w:val="0"/>
          <w:rtl/>
        </w:rPr>
        <w:t>אשרה</w:t>
      </w:r>
      <w:r w:rsidRPr="003406E4">
        <w:rPr>
          <w:rFonts w:ascii="Arial" w:eastAsia="Calibri" w:hAnsi="Arial" w:hint="cs"/>
          <w:noProof w:val="0"/>
          <w:rtl/>
        </w:rPr>
        <w:t xml:space="preserve"> זמנית לשנה שבסופה תיבחן דתו האפקטיבית, אינה רלוונטית לבחינת זכאות לעליה כיהודי מכח </w:t>
      </w:r>
      <w:hyperlink r:id="rId37" w:history="1">
        <w:r w:rsidR="00CE7AF3" w:rsidRPr="00CE7AF3">
          <w:rPr>
            <w:rFonts w:ascii="Arial" w:eastAsia="Calibri" w:hAnsi="Arial"/>
            <w:noProof w:val="0"/>
            <w:color w:val="0000FF"/>
            <w:u w:val="single"/>
            <w:rtl/>
          </w:rPr>
          <w:t>חוק השבות</w:t>
        </w:r>
      </w:hyperlink>
      <w:r w:rsidRPr="003406E4">
        <w:rPr>
          <w:rFonts w:ascii="Arial" w:eastAsia="Calibri" w:hAnsi="Arial" w:hint="cs"/>
          <w:noProof w:val="0"/>
          <w:rtl/>
        </w:rPr>
        <w:t xml:space="preserve">. לטענת העותר, ההכרה ביהדות כבסיס למעמד מכח </w:t>
      </w:r>
      <w:hyperlink r:id="rId38" w:history="1">
        <w:r w:rsidR="00CE7AF3" w:rsidRPr="00CE7AF3">
          <w:rPr>
            <w:rFonts w:ascii="Arial" w:eastAsia="Calibri" w:hAnsi="Arial"/>
            <w:noProof w:val="0"/>
            <w:color w:val="0000FF"/>
            <w:u w:val="single"/>
            <w:rtl/>
          </w:rPr>
          <w:t>חוק השבות</w:t>
        </w:r>
      </w:hyperlink>
      <w:r w:rsidRPr="003406E4">
        <w:rPr>
          <w:rFonts w:ascii="Arial" w:eastAsia="Calibri" w:hAnsi="Arial" w:hint="cs"/>
          <w:noProof w:val="0"/>
          <w:rtl/>
        </w:rPr>
        <w:t xml:space="preserve"> היא </w:t>
      </w:r>
      <w:r>
        <w:rPr>
          <w:rFonts w:ascii="Arial" w:eastAsia="Calibri" w:hAnsi="Arial" w:hint="cs"/>
          <w:noProof w:val="0"/>
          <w:rtl/>
        </w:rPr>
        <w:t xml:space="preserve">חד ערכית- הכרה ביהדות או אי הכרה ביהדות </w:t>
      </w:r>
      <w:r w:rsidRPr="003406E4">
        <w:rPr>
          <w:rFonts w:ascii="Arial" w:eastAsia="Calibri" w:hAnsi="Arial" w:hint="cs"/>
          <w:noProof w:val="0"/>
          <w:rtl/>
        </w:rPr>
        <w:t>– ולא ניתן להעמיד אותה לבחינה עתידית שבה ישתנה המצב. משכך, לטענתו, התשובה לשאלת יהדותו אינה יכולה להיות תלויה בבחינה חוזרת עתידית, במיוחד שהרשות לא הבהירה לפי אילו קריטריונים תיבחן בקשתו בעוד שנה. לפיכך, לטענתו, אין לרשות סמכות לדחות את ההכרעה העניינית לגבי יהדותו בשנה ולתלות אותה בבחינה עתידית כלשהי, ולחייבו להעתיק את חייו וחיי משפחתו לישראל במעמד ארעי על כל המשתמע מכך.</w:t>
      </w:r>
    </w:p>
    <w:p w14:paraId="7F09EF90" w14:textId="77777777" w:rsidR="00103DFA" w:rsidRPr="003406E4" w:rsidRDefault="00103DFA" w:rsidP="00103DFA">
      <w:pPr>
        <w:spacing w:line="360" w:lineRule="auto"/>
        <w:contextualSpacing/>
        <w:jc w:val="both"/>
        <w:rPr>
          <w:rFonts w:ascii="Arial" w:eastAsia="Calibri" w:hAnsi="Arial"/>
          <w:noProof w:val="0"/>
        </w:rPr>
      </w:pPr>
    </w:p>
    <w:p w14:paraId="3B386EA2"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t xml:space="preserve">העותר </w:t>
      </w:r>
      <w:r w:rsidRPr="003406E4">
        <w:rPr>
          <w:rFonts w:ascii="Arial" w:hAnsi="Arial" w:hint="cs"/>
          <w:noProof w:val="0"/>
          <w:rtl/>
        </w:rPr>
        <w:t>טוען</w:t>
      </w:r>
      <w:r w:rsidRPr="003406E4">
        <w:rPr>
          <w:rFonts w:ascii="Arial" w:eastAsia="Calibri" w:hAnsi="Arial" w:hint="cs"/>
          <w:noProof w:val="0"/>
          <w:rtl/>
        </w:rPr>
        <w:t xml:space="preserve"> עוד, כי הרשות דוחה אותו בלך ושוב משך שנים רבות, וכי העתירה הקודמת נמחקה ביום 14.11.2023, לאחר שהתקבלה טענת הרשות כי </w:t>
      </w:r>
      <w:r>
        <w:rPr>
          <w:rFonts w:ascii="Arial" w:eastAsia="Calibri" w:hAnsi="Arial" w:hint="cs"/>
          <w:noProof w:val="0"/>
          <w:rtl/>
        </w:rPr>
        <w:t>לאור הגשת העתירה באיחור יש חשיבות לבחינת הנסיבות ומצב הדברים נכון לשנת 2023</w:t>
      </w:r>
      <w:r w:rsidRPr="003406E4">
        <w:rPr>
          <w:rFonts w:ascii="Arial" w:eastAsia="Calibri" w:hAnsi="Arial" w:hint="cs"/>
          <w:noProof w:val="0"/>
          <w:rtl/>
        </w:rPr>
        <w:t xml:space="preserve">, ובית המשפט המנהלי </w:t>
      </w:r>
      <w:r>
        <w:rPr>
          <w:rFonts w:ascii="Arial" w:eastAsia="Calibri" w:hAnsi="Arial" w:hint="cs"/>
          <w:noProof w:val="0"/>
          <w:rtl/>
        </w:rPr>
        <w:t>קיבל טענה זו ו</w:t>
      </w:r>
      <w:r w:rsidRPr="003406E4">
        <w:rPr>
          <w:rFonts w:ascii="Arial" w:eastAsia="Calibri" w:hAnsi="Arial" w:hint="cs"/>
          <w:noProof w:val="0"/>
          <w:rtl/>
        </w:rPr>
        <w:t xml:space="preserve">קבע כי אם היתה נשמעת לגופה, היה נקבע בה ככל הנראה כי על הרשות לבחון את הבקשה שוב ולקבל </w:t>
      </w:r>
      <w:r w:rsidRPr="003406E4">
        <w:rPr>
          <w:rFonts w:ascii="Arial" w:eastAsia="Calibri" w:hAnsi="Arial" w:hint="cs"/>
          <w:noProof w:val="0"/>
          <w:rtl/>
        </w:rPr>
        <w:lastRenderedPageBreak/>
        <w:t>החלטה חדשה. בנוסף, צויין בהחלטה על מחיקת העתירה הקודמת, כי הרשות הביעה נכונות לבחון מחדש את בקשת העותר שתוגש מחדש ולסייע בידו ככל שייתקל בקשיים, וכן לעשות כמיטב היכולת לבחון אותה בהקדם. העותר טוען כי למרות ההסכמה, הוא נדרש להגיש בקשה ל</w:t>
      </w:r>
      <w:r>
        <w:rPr>
          <w:rFonts w:ascii="Arial" w:eastAsia="Calibri" w:hAnsi="Arial" w:hint="cs"/>
          <w:noProof w:val="0"/>
          <w:rtl/>
        </w:rPr>
        <w:t xml:space="preserve">פי פקודת </w:t>
      </w:r>
      <w:r w:rsidRPr="003406E4">
        <w:rPr>
          <w:rFonts w:ascii="Arial" w:eastAsia="Calibri" w:hAnsi="Arial" w:hint="cs"/>
          <w:noProof w:val="0"/>
          <w:rtl/>
        </w:rPr>
        <w:t>ב</w:t>
      </w:r>
      <w:r>
        <w:rPr>
          <w:rFonts w:ascii="Arial" w:eastAsia="Calibri" w:hAnsi="Arial" w:hint="cs"/>
          <w:noProof w:val="0"/>
          <w:rtl/>
        </w:rPr>
        <w:t>י</w:t>
      </w:r>
      <w:r w:rsidRPr="003406E4">
        <w:rPr>
          <w:rFonts w:ascii="Arial" w:eastAsia="Calibri" w:hAnsi="Arial" w:hint="cs"/>
          <w:noProof w:val="0"/>
          <w:rtl/>
        </w:rPr>
        <w:t>זיון בית המשפט כדי לקבל מעמד זמני בלבד, שכן הרשות המשיכה להערים עליו קשיים ולהימנע מטיפול בבקשתו כמובטח, ובכך המשיכה גם להתעלם מפסק הדין בעתירה הקודמת. בהקשר זה, לטענת העותר, קבלת החלטות חוזרות זהות, וחיובו למצות את ההליכים בכל פעם מההתחלה טרם הגשת עתירה לבית המשפט, מבלי שיש התקדמות עניינית בטיפול בבקשתו מהווה התנהלות של הרשות בחוסר סבירות, בחוסר הגינות ובחוסר תום לב.</w:t>
      </w:r>
    </w:p>
    <w:p w14:paraId="7EF9187C" w14:textId="77777777" w:rsidR="00103DFA" w:rsidRDefault="00103DFA" w:rsidP="00103DFA">
      <w:pPr>
        <w:spacing w:line="360" w:lineRule="auto"/>
        <w:contextualSpacing/>
        <w:jc w:val="both"/>
        <w:rPr>
          <w:rFonts w:ascii="Arial" w:hAnsi="Arial"/>
          <w:noProof w:val="0"/>
          <w:u w:val="single"/>
          <w:rtl/>
        </w:rPr>
      </w:pPr>
    </w:p>
    <w:p w14:paraId="352D52DF" w14:textId="77777777" w:rsidR="00103DFA" w:rsidRDefault="00103DFA" w:rsidP="00103DFA">
      <w:pPr>
        <w:spacing w:line="360" w:lineRule="auto"/>
        <w:contextualSpacing/>
        <w:jc w:val="both"/>
        <w:rPr>
          <w:rFonts w:ascii="Arial" w:hAnsi="Arial"/>
          <w:noProof w:val="0"/>
          <w:u w:val="single"/>
          <w:rtl/>
        </w:rPr>
      </w:pPr>
    </w:p>
    <w:p w14:paraId="26D0F860" w14:textId="77777777" w:rsidR="00103DFA" w:rsidRDefault="00103DFA" w:rsidP="00103DFA">
      <w:pPr>
        <w:spacing w:line="360" w:lineRule="auto"/>
        <w:contextualSpacing/>
        <w:jc w:val="both"/>
        <w:rPr>
          <w:rFonts w:ascii="Arial" w:hAnsi="Arial"/>
          <w:noProof w:val="0"/>
          <w:u w:val="single"/>
          <w:rtl/>
        </w:rPr>
      </w:pPr>
    </w:p>
    <w:p w14:paraId="39D539AA" w14:textId="77777777" w:rsidR="00103DFA" w:rsidRDefault="00103DFA" w:rsidP="00103DFA">
      <w:pPr>
        <w:spacing w:line="360" w:lineRule="auto"/>
        <w:contextualSpacing/>
        <w:jc w:val="both"/>
        <w:rPr>
          <w:rFonts w:ascii="Arial" w:hAnsi="Arial"/>
          <w:noProof w:val="0"/>
          <w:u w:val="single"/>
          <w:rtl/>
        </w:rPr>
      </w:pPr>
    </w:p>
    <w:p w14:paraId="441210D7" w14:textId="77777777" w:rsidR="00103DFA" w:rsidRPr="003406E4" w:rsidRDefault="00103DFA" w:rsidP="00103DFA">
      <w:pPr>
        <w:spacing w:line="360" w:lineRule="auto"/>
        <w:contextualSpacing/>
        <w:jc w:val="both"/>
        <w:rPr>
          <w:rFonts w:ascii="Arial" w:hAnsi="Arial"/>
          <w:noProof w:val="0"/>
          <w:u w:val="single"/>
          <w:rtl/>
        </w:rPr>
      </w:pPr>
      <w:r w:rsidRPr="003406E4">
        <w:rPr>
          <w:rFonts w:ascii="Arial" w:hAnsi="Arial"/>
          <w:noProof w:val="0"/>
          <w:u w:val="single"/>
          <w:rtl/>
        </w:rPr>
        <w:t>טיעוני הרשות</w:t>
      </w:r>
    </w:p>
    <w:p w14:paraId="041CD908"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t>בהודעה ו</w:t>
      </w:r>
      <w:r>
        <w:rPr>
          <w:rFonts w:ascii="Arial" w:eastAsia="Calibri" w:hAnsi="Arial" w:hint="cs"/>
          <w:noProof w:val="0"/>
          <w:rtl/>
        </w:rPr>
        <w:t>ב</w:t>
      </w:r>
      <w:r w:rsidRPr="003406E4">
        <w:rPr>
          <w:rFonts w:ascii="Arial" w:eastAsia="Calibri" w:hAnsi="Arial" w:hint="cs"/>
          <w:noProof w:val="0"/>
          <w:rtl/>
        </w:rPr>
        <w:t xml:space="preserve">בקשה שהגישה הרשות למחיקת העתירה מחמת התייתרותה, טענה רק כי ביום 26.12.2024 התקבלה החלטה חדשה, </w:t>
      </w:r>
      <w:r>
        <w:rPr>
          <w:rFonts w:ascii="Arial" w:eastAsia="Calibri" w:hAnsi="Arial" w:hint="cs"/>
          <w:noProof w:val="0"/>
          <w:rtl/>
        </w:rPr>
        <w:t xml:space="preserve">כלשונה </w:t>
      </w:r>
      <w:r>
        <w:rPr>
          <w:rFonts w:ascii="Arial" w:eastAsia="Calibri" w:hAnsi="Arial"/>
          <w:noProof w:val="0"/>
          <w:rtl/>
        </w:rPr>
        <w:t>–</w:t>
      </w:r>
      <w:r>
        <w:rPr>
          <w:rFonts w:ascii="Arial" w:eastAsia="Calibri" w:hAnsi="Arial" w:hint="cs"/>
          <w:noProof w:val="0"/>
          <w:rtl/>
        </w:rPr>
        <w:t xml:space="preserve"> שהיא החלטת דצמבר 24 </w:t>
      </w:r>
      <w:r>
        <w:rPr>
          <w:rFonts w:ascii="Arial" w:eastAsia="Calibri" w:hAnsi="Arial"/>
          <w:noProof w:val="0"/>
          <w:rtl/>
        </w:rPr>
        <w:t>–</w:t>
      </w:r>
      <w:r>
        <w:rPr>
          <w:rFonts w:ascii="Arial" w:eastAsia="Calibri" w:hAnsi="Arial" w:hint="cs"/>
          <w:noProof w:val="0"/>
          <w:rtl/>
        </w:rPr>
        <w:t xml:space="preserve"> </w:t>
      </w:r>
      <w:r w:rsidRPr="003406E4">
        <w:rPr>
          <w:rFonts w:ascii="Arial" w:eastAsia="Calibri" w:hAnsi="Arial" w:hint="cs"/>
          <w:noProof w:val="0"/>
          <w:rtl/>
        </w:rPr>
        <w:t>וכי לפיכך על העותר למצות את ההליכים לפניה ולהגיש ערר פנימי דרך הקונסוליה במדינת מוצאו. בדיון שהתקיים בעתירה חזרה ב"כ הרשות על טענתה, והוסיפה כי הדרישה למיצוי הליכים אינה מהווה סחבת, וכי גם בתום שנה לאחר בחינה מחודשת של בקשתו, יידרש העותר למצות את ההליכים ולהגיש ערר פנימי אם ירצה לתקוף את ההחלטה העתידית (עמ' 12 לפר' ש' 25-28).</w:t>
      </w:r>
    </w:p>
    <w:p w14:paraId="61BEC1F9" w14:textId="77777777" w:rsidR="00103DFA" w:rsidRPr="003406E4" w:rsidRDefault="00103DFA" w:rsidP="00103DFA">
      <w:pPr>
        <w:spacing w:line="360" w:lineRule="auto"/>
        <w:contextualSpacing/>
        <w:jc w:val="both"/>
        <w:rPr>
          <w:rFonts w:ascii="Arial" w:eastAsia="Calibri" w:hAnsi="Arial"/>
          <w:noProof w:val="0"/>
        </w:rPr>
      </w:pPr>
    </w:p>
    <w:p w14:paraId="6E2464E4" w14:textId="77777777" w:rsidR="00103DFA" w:rsidRDefault="00103DFA" w:rsidP="00103DFA">
      <w:pPr>
        <w:numPr>
          <w:ilvl w:val="0"/>
          <w:numId w:val="1"/>
        </w:numPr>
        <w:spacing w:before="240" w:line="360" w:lineRule="auto"/>
        <w:contextualSpacing/>
        <w:jc w:val="both"/>
        <w:rPr>
          <w:rFonts w:ascii="Arial" w:eastAsia="Calibri" w:hAnsi="Arial"/>
          <w:noProof w:val="0"/>
        </w:rPr>
      </w:pPr>
      <w:r w:rsidRPr="007335CA">
        <w:rPr>
          <w:rFonts w:ascii="Arial" w:eastAsia="Calibri" w:hAnsi="Arial" w:hint="cs"/>
          <w:noProof w:val="0"/>
          <w:rtl/>
        </w:rPr>
        <w:t>כאמור לעיל, החלטת דצמבר 24, הזהה במהותה להחלטה הקודמת ואף מביאה אותה לכאורה במלואה, קובעת כי בקשת העותר נדחתה "</w:t>
      </w:r>
      <w:r w:rsidRPr="007335CA">
        <w:rPr>
          <w:rFonts w:ascii="Arial" w:eastAsia="Calibri" w:hAnsi="Arial" w:hint="cs"/>
          <w:b/>
          <w:bCs/>
          <w:noProof w:val="0"/>
          <w:rtl/>
        </w:rPr>
        <w:t>נוכח המרת דת</w:t>
      </w:r>
      <w:r w:rsidRPr="007335CA">
        <w:rPr>
          <w:rFonts w:ascii="Arial" w:eastAsia="Calibri" w:hAnsi="Arial" w:hint="cs"/>
          <w:noProof w:val="0"/>
          <w:rtl/>
        </w:rPr>
        <w:t xml:space="preserve">", ולאור הצהרתו כי הוטבל כתינוק וכי מבקר בכנסייה פעם בשנה וחוגג חגים נוצריים עיקריים. בנוסף צויין שם, כי העותר טען גם שאמו וסבתו היהודיות לא פקדו כנסיות וחגגו את חגי ישראל, והמציא תימוכין לכך שהוא משתייך לקהילה יהודית במדינת מוצאו. לפיכך הוחלט להעניק לו </w:t>
      </w:r>
      <w:r w:rsidRPr="007335CA">
        <w:rPr>
          <w:rFonts w:ascii="Arial" w:hAnsi="Arial" w:hint="cs"/>
          <w:noProof w:val="0"/>
          <w:rtl/>
        </w:rPr>
        <w:t>רשיון תושב ארעי מסוג א/5 למשך שנה</w:t>
      </w:r>
      <w:r w:rsidRPr="007335CA">
        <w:rPr>
          <w:rFonts w:ascii="Arial" w:eastAsia="Calibri" w:hAnsi="Arial" w:hint="cs"/>
          <w:noProof w:val="0"/>
          <w:rtl/>
        </w:rPr>
        <w:t xml:space="preserve"> לשם בחינת דתו האפקטיבית</w:t>
      </w:r>
      <w:r w:rsidRPr="007335CA">
        <w:rPr>
          <w:rFonts w:ascii="Arial" w:hAnsi="Arial" w:hint="cs"/>
          <w:noProof w:val="0"/>
          <w:rtl/>
        </w:rPr>
        <w:t>, ולאשר לרעייתו ולילדיו רשיון זהה בכפוף לרשיונו שלו, ובתום התקופה בקשתו תיבחן בשנית בהתאם לנסיבות ולעריכת ראיון עדכני בעניין דתו האפקטיבית</w:t>
      </w:r>
      <w:r w:rsidRPr="007335CA">
        <w:rPr>
          <w:rFonts w:ascii="Arial" w:eastAsia="Calibri" w:hAnsi="Arial" w:hint="cs"/>
          <w:noProof w:val="0"/>
          <w:rtl/>
        </w:rPr>
        <w:t xml:space="preserve">. </w:t>
      </w:r>
    </w:p>
    <w:p w14:paraId="053F6D34" w14:textId="77777777" w:rsidR="00103DFA" w:rsidRPr="007335CA" w:rsidRDefault="00103DFA" w:rsidP="00103DFA">
      <w:pPr>
        <w:spacing w:before="240" w:line="360" w:lineRule="auto"/>
        <w:contextualSpacing/>
        <w:jc w:val="both"/>
        <w:rPr>
          <w:rFonts w:ascii="Arial" w:eastAsia="Calibri" w:hAnsi="Arial"/>
          <w:noProof w:val="0"/>
          <w:rtl/>
        </w:rPr>
      </w:pPr>
    </w:p>
    <w:p w14:paraId="6D4D066E" w14:textId="77777777" w:rsidR="00103DFA" w:rsidRPr="003406E4" w:rsidRDefault="00103DFA" w:rsidP="00103DFA">
      <w:pPr>
        <w:numPr>
          <w:ilvl w:val="0"/>
          <w:numId w:val="1"/>
        </w:numPr>
        <w:spacing w:before="240" w:line="360" w:lineRule="auto"/>
        <w:contextualSpacing/>
        <w:jc w:val="both"/>
        <w:rPr>
          <w:rFonts w:ascii="David" w:hAnsi="David"/>
          <w:noProof w:val="0"/>
        </w:rPr>
      </w:pPr>
      <w:r w:rsidRPr="003406E4">
        <w:rPr>
          <w:rFonts w:ascii="Arial" w:hAnsi="Arial" w:hint="cs"/>
          <w:noProof w:val="0"/>
          <w:rtl/>
        </w:rPr>
        <w:t xml:space="preserve">בדיון, </w:t>
      </w:r>
      <w:r w:rsidRPr="003406E4">
        <w:rPr>
          <w:rFonts w:ascii="Arial" w:eastAsia="Calibri" w:hAnsi="Arial" w:hint="cs"/>
          <w:noProof w:val="0"/>
          <w:rtl/>
        </w:rPr>
        <w:t>הוסיפה ב"כ הרשות וטענה כי הסכמת הרשות שניתנה במסגרת החלטת בית המשפט המנהלי בעתירה הקודמת, התייחסה רק לעצם האפשרות להגיש בקשה חדשה (עמ' 11 לפר' ש' 1-2). לטענתה, הבקשה אכן נבחנה שוב כמובטח, "</w:t>
      </w:r>
      <w:r w:rsidRPr="003406E4">
        <w:rPr>
          <w:rFonts w:ascii="David" w:hAnsi="David" w:hint="cs"/>
          <w:b/>
          <w:bCs/>
          <w:noProof w:val="0"/>
          <w:rtl/>
        </w:rPr>
        <w:t xml:space="preserve">ובשלב הזה ... המשיב לא יכול להתעלם מהעובדה שיש פניה אחת שבה היו לו טענות אחדות ופניה נוספת בשלב מאוחר יותר עם טענות אחרות, אז במקום לדחות על הסף ולהגיד יש לנו כאן חשש שהוא לא עומד בכללים שקבועים לעניין </w:t>
      </w:r>
      <w:hyperlink r:id="rId39" w:history="1">
        <w:r w:rsidR="00CE7AF3" w:rsidRPr="00CE7AF3">
          <w:rPr>
            <w:rFonts w:ascii="David" w:hAnsi="David"/>
            <w:b/>
            <w:bCs/>
            <w:noProof w:val="0"/>
            <w:color w:val="0000FF"/>
            <w:u w:val="single"/>
            <w:rtl/>
          </w:rPr>
          <w:t>חוק השבות</w:t>
        </w:r>
      </w:hyperlink>
      <w:r w:rsidRPr="003406E4">
        <w:rPr>
          <w:rFonts w:ascii="David" w:hAnsi="David" w:hint="cs"/>
          <w:b/>
          <w:bCs/>
          <w:noProof w:val="0"/>
          <w:rtl/>
        </w:rPr>
        <w:t xml:space="preserve"> במקום זה אומר המשיב אני לא דוחה את זה אני נותן א'5 ואני אבוא לבחון את זה עוד שנה כדי לראות שאכן הם כך פני הדברים</w:t>
      </w:r>
      <w:r w:rsidRPr="003406E4">
        <w:rPr>
          <w:rFonts w:ascii="David" w:hAnsi="David" w:hint="cs"/>
          <w:noProof w:val="0"/>
          <w:rtl/>
        </w:rPr>
        <w:t xml:space="preserve">" (עמ' 11 לפר' ש' 15-10). </w:t>
      </w:r>
    </w:p>
    <w:p w14:paraId="3EFCA00C" w14:textId="77777777" w:rsidR="00103DFA" w:rsidRPr="003406E4" w:rsidRDefault="00103DFA" w:rsidP="00103DFA">
      <w:pPr>
        <w:spacing w:line="360" w:lineRule="auto"/>
        <w:contextualSpacing/>
        <w:jc w:val="both"/>
        <w:rPr>
          <w:rFonts w:ascii="Arial" w:eastAsia="Calibri" w:hAnsi="Arial"/>
          <w:noProof w:val="0"/>
        </w:rPr>
      </w:pPr>
    </w:p>
    <w:p w14:paraId="7C94D063" w14:textId="77777777" w:rsidR="00103DFA" w:rsidRPr="003406E4" w:rsidRDefault="00103DFA" w:rsidP="00103DFA">
      <w:pPr>
        <w:numPr>
          <w:ilvl w:val="0"/>
          <w:numId w:val="1"/>
        </w:numPr>
        <w:spacing w:before="240" w:line="360" w:lineRule="auto"/>
        <w:contextualSpacing/>
        <w:jc w:val="both"/>
        <w:rPr>
          <w:rFonts w:ascii="Arial" w:eastAsia="Calibri" w:hAnsi="Arial"/>
          <w:noProof w:val="0"/>
        </w:rPr>
      </w:pPr>
      <w:r w:rsidRPr="003406E4">
        <w:rPr>
          <w:rFonts w:ascii="Arial" w:eastAsia="Calibri" w:hAnsi="Arial" w:hint="cs"/>
          <w:noProof w:val="0"/>
          <w:rtl/>
        </w:rPr>
        <w:lastRenderedPageBreak/>
        <w:t xml:space="preserve">לשאלת בית המשפט </w:t>
      </w:r>
      <w:r w:rsidRPr="003406E4">
        <w:rPr>
          <w:rFonts w:ascii="Arial" w:hAnsi="Arial" w:hint="cs"/>
          <w:noProof w:val="0"/>
          <w:rtl/>
        </w:rPr>
        <w:t>בדיון מה</w:t>
      </w:r>
      <w:r w:rsidRPr="003406E4">
        <w:rPr>
          <w:rFonts w:ascii="Arial" w:eastAsia="Calibri" w:hAnsi="Arial" w:hint="cs"/>
          <w:noProof w:val="0"/>
          <w:rtl/>
        </w:rPr>
        <w:t xml:space="preserve"> מבקשת הרשות לבחון בתום שנה ולפי אילו קריטריונים תתקבל החלטתה בעתיד, התקשתה ב"כ הרשות לספק תשובה, והיא שבה וציינה כי אם העותר יבקש לתקוף את ההחלטה העתידית, הוא יידרש למצות הליכים מולה באמצעות הגשת ערר פנימי עתידי. אביא את הדברים מתוך הפרוטוקול כלשונם למען שלמות התמונה:</w:t>
      </w:r>
    </w:p>
    <w:p w14:paraId="740B529C"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 אני שואלת שאלה אחרת, נניח הוא מקבל את ההצעה שלכם את ההחלטה שלכם בסדר? הוא מגיע לפה והוא חי פה שנה, ...נגמרת השנה מה אתם בודקים אני צריכה לדעת את זה בשביל לראות אם ההחלטה שלכם סבירה או לא סבירה.</w:t>
      </w:r>
    </w:p>
    <w:p w14:paraId="716D1332"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הבדיקה היא לבחון את השייכות שלו,</w:t>
      </w:r>
    </w:p>
    <w:p w14:paraId="00864DFE"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שייכות למה?</w:t>
      </w:r>
    </w:p>
    <w:p w14:paraId="3B6AC13F"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לבחון שוב את הטענה שהוא לא נוצרי.</w:t>
      </w:r>
    </w:p>
    <w:p w14:paraId="09845BAB"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עוד הפעם, אבל מה, הוא פה בארץ, אבל הוא לא ילך פה לכנסייה הוא כנראה גם לא ילך לבית כנסת אז מה אתם בוחנים?</w:t>
      </w:r>
    </w:p>
    <w:p w14:paraId="35BD5C87"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אז אני אסביר כמו שהעותר הציג השתייכות לקהילה, שוב זאת לא רשימה סגורה של דברים אבל כמו שהוא הציג השתייכות לקהילה בבקשה השנייה בניגוד לבקשה הראשונה ששמה הוצגו נתונים אחרים אז אותם פרמטרים ייבדקו גם בעוד שנה, לבחון שאכן הדבר עקבי אם אין לך שום בעיה ואם אכן הדברים הם כך פני הדברים,</w:t>
      </w:r>
    </w:p>
    <w:p w14:paraId="3C9383BB"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מה הוא צריך לעשות בארץ? אני שואלת לתרום, ללכת לבית כנסת, לא ללכת לכנסייה, מה עוד צריך לעשות?</w:t>
      </w:r>
    </w:p>
    <w:p w14:paraId="02316ADD"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אין ציפייה שהאדם, אין ציפייה שאדם יקבל על עצמו מצוות זה ממש לא הנקודה</w:t>
      </w:r>
    </w:p>
    <w:p w14:paraId="3CDD502A"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אז מה אתם בוחנים בעוד שנה מה זה שייכות? תתרגמי לי</w:t>
      </w:r>
    </w:p>
    <w:p w14:paraId="115937BA"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שייכות, אם בעוד שנה לצורך העניין,</w:t>
      </w:r>
    </w:p>
    <w:p w14:paraId="26BB843B"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תרגמי לי לא מה לא, אלא מה כן מה אתם בוחנים? הוא בא יש ראיון אחרי שנה מה שואלים אותו? מה שואלים אותו?</w:t>
      </w:r>
    </w:p>
    <w:p w14:paraId="02CCA4FA"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אם בעוד שנה יבואו וישאלו אותו אם ישו בן האלוהים והוא יגיד כן אז יהיה פה קושי.</w:t>
      </w:r>
    </w:p>
    <w:p w14:paraId="7FE1C09E"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בסדר אז בואי נניח, שהרי הוא יגיד לא,</w:t>
      </w:r>
    </w:p>
    <w:p w14:paraId="12A75747"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אז בעוד שנה,</w:t>
      </w:r>
    </w:p>
    <w:p w14:paraId="38CBFC29"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והוא לא ילך לכנסייה,</w:t>
      </w:r>
    </w:p>
    <w:p w14:paraId="049581AC"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אז אנחנו נצטרך לבחון את הדבר הזה.</w:t>
      </w:r>
    </w:p>
    <w:p w14:paraId="769C4F9D"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לשם מה השנה הזו?</w:t>
      </w:r>
    </w:p>
    <w:p w14:paraId="65A739B6"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אז השנה כדי לבחון אם,</w:t>
      </w:r>
    </w:p>
    <w:p w14:paraId="5B5DE8BC"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אם אתם אבל עוד הפעם אם הוא אומר כבר עכשיו שהוא לא נוצרי ושהוא לא הולך לכנסייה אז מה ייתן לכם השנה? אני רוצה להבין, שנה בארץ בסופה מה אתם מה אתם בודקים? יש ראיון...אבל הוא לא אומר שום דבר שמעיד על השתתפויות ועל זה והוא גם לא הולך לבית כנסת, הוא קם כל בוקר הולך לעבודה חוזר הביתה, יוצא עם אשתו למלון ולמסעדות זה מה שהוא עושה שנה שלמה, מה מה? אז למה זה נועד? זה צריך בשביל לבדוק אם ההחלטה סבירה אני צריכה להבין מה תעשו בשנה הזו?</w:t>
      </w:r>
    </w:p>
    <w:p w14:paraId="3CB66A89"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אז זה חוזר לנקודה אז זה חוזר לאותה נקודה שאמנם חברי אומר בירוקרטיה מיותרת סרבול הליכים אבל לא ככל שיש לחברי טענות בדיוק כפי שכבודה כרגע שואלת ומציפה ככל שיש לחברי טענות בנוגע לנקודה הזאת, זה מקום להגשת ערר פנימי..."</w:t>
      </w:r>
    </w:p>
    <w:p w14:paraId="3D21D55F" w14:textId="77777777" w:rsidR="00103DFA" w:rsidRPr="003406E4" w:rsidRDefault="00103DFA" w:rsidP="00103DFA">
      <w:pPr>
        <w:ind w:left="567" w:right="567"/>
        <w:jc w:val="both"/>
        <w:rPr>
          <w:rFonts w:ascii="Arial" w:hAnsi="Arial"/>
          <w:noProof w:val="0"/>
          <w:rtl/>
          <w:lang w:eastAsia="he-IL"/>
        </w:rPr>
      </w:pPr>
      <w:r w:rsidRPr="003406E4">
        <w:rPr>
          <w:rFonts w:ascii="Arial" w:hAnsi="Arial"/>
          <w:noProof w:val="0"/>
          <w:rtl/>
          <w:lang w:eastAsia="he-IL"/>
        </w:rPr>
        <w:t xml:space="preserve">(עמ' 11 לפר' ש' 25 עד עמ' 12 ש' 28). </w:t>
      </w:r>
    </w:p>
    <w:p w14:paraId="560381EA" w14:textId="77777777" w:rsidR="00103DFA" w:rsidRPr="003406E4" w:rsidRDefault="00103DFA" w:rsidP="00103DFA">
      <w:pPr>
        <w:spacing w:line="360" w:lineRule="auto"/>
        <w:ind w:left="1985" w:hanging="1985"/>
        <w:jc w:val="both"/>
        <w:rPr>
          <w:rFonts w:ascii="Arial" w:hAnsi="Arial"/>
          <w:noProof w:val="0"/>
          <w:rtl/>
          <w:lang w:eastAsia="he-IL"/>
        </w:rPr>
      </w:pPr>
    </w:p>
    <w:p w14:paraId="5F9BD721" w14:textId="77777777" w:rsidR="00103DFA" w:rsidRPr="003406E4" w:rsidRDefault="00103DFA" w:rsidP="00103DFA">
      <w:pPr>
        <w:spacing w:line="360" w:lineRule="auto"/>
        <w:ind w:left="1985" w:hanging="1985"/>
        <w:jc w:val="both"/>
        <w:rPr>
          <w:rFonts w:ascii="David" w:hAnsi="David"/>
          <w:noProof w:val="0"/>
          <w:rtl/>
          <w:lang w:eastAsia="he-IL"/>
        </w:rPr>
      </w:pPr>
      <w:r w:rsidRPr="003406E4">
        <w:rPr>
          <w:rFonts w:ascii="Arial" w:hAnsi="Arial"/>
          <w:noProof w:val="0"/>
          <w:rtl/>
          <w:lang w:eastAsia="he-IL"/>
        </w:rPr>
        <w:t xml:space="preserve">ובהמשך: </w:t>
      </w:r>
    </w:p>
    <w:p w14:paraId="7899071E"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או-קיי אז אתם נתתם החלטה שאתם לא יודעים מה המשמעות שלה?</w:t>
      </w:r>
    </w:p>
    <w:p w14:paraId="21B30CF3"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עו"ד ארבל: </w:t>
      </w:r>
      <w:r w:rsidRPr="003406E4">
        <w:rPr>
          <w:rFonts w:ascii="David" w:eastAsia="David" w:hAnsi="David" w:hint="cs"/>
          <w:b/>
          <w:bCs/>
          <w:noProof w:val="0"/>
          <w:rtl/>
        </w:rPr>
        <w:tab/>
        <w:t>לא אמרתי את זה,</w:t>
      </w:r>
    </w:p>
    <w:p w14:paraId="6D049446"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כב' הש' אגמון-גונן: </w:t>
      </w:r>
      <w:r w:rsidRPr="003406E4">
        <w:rPr>
          <w:rFonts w:ascii="David" w:eastAsia="David" w:hAnsi="David" w:hint="cs"/>
          <w:b/>
          <w:bCs/>
          <w:noProof w:val="0"/>
          <w:rtl/>
        </w:rPr>
        <w:tab/>
        <w:t>אבל את לא מצליחה לומר לי אחרי 10 דקות מה המשמעות שלה?</w:t>
      </w:r>
    </w:p>
    <w:p w14:paraId="63B94500"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lastRenderedPageBreak/>
        <w:t xml:space="preserve">עו"ד ארבל: </w:t>
      </w:r>
      <w:r w:rsidRPr="003406E4">
        <w:rPr>
          <w:rFonts w:ascii="David" w:eastAsia="David" w:hAnsi="David" w:hint="cs"/>
          <w:b/>
          <w:bCs/>
          <w:noProof w:val="0"/>
          <w:rtl/>
        </w:rPr>
        <w:tab/>
        <w:t>אז אני אומרת אז אני שוב חוזרת שהמשמעות שלה זה לבדוק שוב את העובדה שהוא לא משתייך לנצרות וככל שיש לו טענות לגופה של אותה דרישה של בחינה כעבור שנה, ראוי שהטענות האלה יופנו כנגד מול הגורמים המקצועיים במסגרת הערר הפנימי כפי שקורה גם בהליכים אחרים וזאת במקביל לעובדה שבסוף זה בגלל שמדובר בעותר שהגיש את הבקשה מחוץ לישראל ההליכים בעניינו נבחנים במטה ובהתאם לכך גם ההחלטות ניתנות שם.</w:t>
      </w:r>
    </w:p>
    <w:p w14:paraId="55990FB4" w14:textId="77777777" w:rsidR="00103DFA" w:rsidRPr="003406E4" w:rsidRDefault="00103DFA" w:rsidP="00103DFA">
      <w:pPr>
        <w:spacing w:line="360" w:lineRule="auto"/>
        <w:ind w:left="1985" w:hanging="1418"/>
        <w:jc w:val="both"/>
        <w:rPr>
          <w:rFonts w:ascii="Arial" w:hAnsi="Arial"/>
          <w:noProof w:val="0"/>
          <w:rtl/>
          <w:lang w:eastAsia="he-IL"/>
        </w:rPr>
      </w:pPr>
      <w:r w:rsidRPr="003406E4">
        <w:rPr>
          <w:rFonts w:ascii="Arial" w:hAnsi="Arial"/>
          <w:noProof w:val="0"/>
          <w:rtl/>
          <w:lang w:eastAsia="he-IL"/>
        </w:rPr>
        <w:t>(עמ' 13 לפר' ש' 27-36)</w:t>
      </w:r>
    </w:p>
    <w:p w14:paraId="6BFC4C26" w14:textId="77777777" w:rsidR="00103DFA" w:rsidRPr="003406E4" w:rsidRDefault="00103DFA" w:rsidP="00103DFA">
      <w:pPr>
        <w:spacing w:line="360" w:lineRule="auto"/>
        <w:contextualSpacing/>
        <w:jc w:val="both"/>
        <w:rPr>
          <w:rFonts w:ascii="Arial" w:hAnsi="Arial"/>
          <w:noProof w:val="0"/>
          <w:rtl/>
        </w:rPr>
      </w:pPr>
    </w:p>
    <w:p w14:paraId="49022CE3" w14:textId="77777777" w:rsidR="00103DFA" w:rsidRPr="00BD406E" w:rsidRDefault="00103DFA" w:rsidP="00103DFA">
      <w:pPr>
        <w:spacing w:line="360" w:lineRule="auto"/>
        <w:contextualSpacing/>
        <w:jc w:val="both"/>
        <w:rPr>
          <w:rFonts w:ascii="Arial" w:hAnsi="Arial"/>
          <w:noProof w:val="0"/>
          <w:rtl/>
        </w:rPr>
      </w:pPr>
      <w:r w:rsidRPr="00BD406E">
        <w:rPr>
          <w:rFonts w:ascii="Arial" w:hAnsi="Arial" w:hint="cs"/>
          <w:noProof w:val="0"/>
          <w:rtl/>
        </w:rPr>
        <w:t>כאמור, תשובה אין.</w:t>
      </w:r>
      <w:r>
        <w:rPr>
          <w:rFonts w:ascii="Arial" w:hAnsi="Arial" w:hint="cs"/>
          <w:noProof w:val="0"/>
          <w:rtl/>
        </w:rPr>
        <w:t xml:space="preserve"> על רקע זה אבחן להלן תחילה את התנהלות הרשות, ולאחר מכן את שאלת זכאות העותר לקבלת מעמד עולה מכוח </w:t>
      </w:r>
      <w:hyperlink r:id="rId40" w:history="1">
        <w:r w:rsidR="00CE7AF3" w:rsidRPr="00CE7AF3">
          <w:rPr>
            <w:rFonts w:ascii="Arial" w:hAnsi="Arial"/>
            <w:noProof w:val="0"/>
            <w:color w:val="0000FF"/>
            <w:u w:val="single"/>
            <w:rtl/>
          </w:rPr>
          <w:t>חוק השבות</w:t>
        </w:r>
      </w:hyperlink>
      <w:r>
        <w:rPr>
          <w:rFonts w:ascii="Arial" w:hAnsi="Arial" w:hint="cs"/>
          <w:noProof w:val="0"/>
          <w:rtl/>
        </w:rPr>
        <w:t xml:space="preserve">. </w:t>
      </w:r>
    </w:p>
    <w:p w14:paraId="7380EDA2" w14:textId="77777777" w:rsidR="00103DFA" w:rsidRDefault="00103DFA" w:rsidP="00103DFA">
      <w:pPr>
        <w:spacing w:line="360" w:lineRule="auto"/>
        <w:contextualSpacing/>
        <w:jc w:val="both"/>
        <w:rPr>
          <w:rFonts w:ascii="Arial" w:hAnsi="Arial"/>
          <w:b/>
          <w:bCs/>
          <w:noProof w:val="0"/>
          <w:u w:val="single"/>
          <w:rtl/>
        </w:rPr>
      </w:pPr>
    </w:p>
    <w:p w14:paraId="342952A5" w14:textId="77777777" w:rsidR="00103DFA" w:rsidRPr="003406E4" w:rsidRDefault="00103DFA" w:rsidP="00103DFA">
      <w:pPr>
        <w:spacing w:line="360" w:lineRule="auto"/>
        <w:contextualSpacing/>
        <w:jc w:val="both"/>
        <w:rPr>
          <w:rFonts w:ascii="Arial" w:hAnsi="Arial"/>
          <w:b/>
          <w:bCs/>
          <w:noProof w:val="0"/>
          <w:u w:val="single"/>
          <w:rtl/>
        </w:rPr>
      </w:pPr>
      <w:r w:rsidRPr="003406E4">
        <w:rPr>
          <w:rFonts w:ascii="Arial" w:hAnsi="Arial" w:hint="cs"/>
          <w:b/>
          <w:bCs/>
          <w:noProof w:val="0"/>
          <w:u w:val="single"/>
          <w:rtl/>
        </w:rPr>
        <w:t>דיון והכרעה</w:t>
      </w:r>
    </w:p>
    <w:p w14:paraId="305441E9"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טענתה המרכזית  של הרשות בהודעה ובבקשה למחיקת העתירה שהגישה לכתחילה, הסתכמה בכך שהתקבלה החלטה</w:t>
      </w:r>
      <w:r>
        <w:rPr>
          <w:rFonts w:ascii="Arial" w:hAnsi="Arial" w:hint="cs"/>
          <w:noProof w:val="0"/>
          <w:rtl/>
        </w:rPr>
        <w:t>, שהינה לטענת הרשות החלטה</w:t>
      </w:r>
      <w:r w:rsidRPr="003406E4">
        <w:rPr>
          <w:rFonts w:ascii="Arial" w:hAnsi="Arial" w:hint="cs"/>
          <w:noProof w:val="0"/>
          <w:rtl/>
        </w:rPr>
        <w:t xml:space="preserve"> חדשה בעניינו של העותר, ולפיכך נטען כי עליו למצות את ההליכים מולה ולהגיש ערר פנימי על ההחלטה החדשה. זאת, לאחר שבעבר </w:t>
      </w:r>
      <w:r>
        <w:rPr>
          <w:rFonts w:ascii="Arial" w:hAnsi="Arial" w:hint="cs"/>
          <w:noProof w:val="0"/>
          <w:rtl/>
        </w:rPr>
        <w:t>ביקשה הרשות בקשה דומה למחוק את העתירה הקודמת כדי לבחון את נסיבותיו העדכניות של העותר ולקבל החלטה חדשה. העתירה הקודמת נמחקה תוך שבהחלטה צויינה התחייבות</w:t>
      </w:r>
      <w:r w:rsidRPr="003406E4">
        <w:rPr>
          <w:rFonts w:ascii="Arial" w:hAnsi="Arial" w:hint="cs"/>
          <w:noProof w:val="0"/>
          <w:rtl/>
        </w:rPr>
        <w:t xml:space="preserve"> הרשות כי הוא יוכל להגיש בקשה חוזרת שתיבחן, ויקבל ממנה את הסיוע הנדרש לכך במקרה הצורך</w:t>
      </w:r>
      <w:r>
        <w:rPr>
          <w:rFonts w:ascii="Arial" w:hAnsi="Arial" w:hint="cs"/>
          <w:noProof w:val="0"/>
          <w:rtl/>
        </w:rPr>
        <w:t>.</w:t>
      </w:r>
      <w:r w:rsidRPr="003406E4">
        <w:rPr>
          <w:rFonts w:ascii="Arial" w:hAnsi="Arial" w:hint="cs"/>
          <w:noProof w:val="0"/>
          <w:rtl/>
        </w:rPr>
        <w:t xml:space="preserve"> אפתח בדיון בטענה זו. אקדים מסקנה לדיון ואומר שלאור התנהלות הרשות במקרה זה, לא ניתן לקבל טיעון זה. ואפרט.</w:t>
      </w:r>
    </w:p>
    <w:p w14:paraId="2B714370" w14:textId="77777777" w:rsidR="00103DFA" w:rsidRPr="003406E4" w:rsidRDefault="00103DFA" w:rsidP="00103DFA">
      <w:pPr>
        <w:spacing w:line="360" w:lineRule="auto"/>
        <w:contextualSpacing/>
        <w:jc w:val="both"/>
        <w:rPr>
          <w:rFonts w:ascii="Arial" w:hAnsi="Arial"/>
          <w:noProof w:val="0"/>
          <w:rtl/>
        </w:rPr>
      </w:pPr>
    </w:p>
    <w:p w14:paraId="3334F794" w14:textId="77777777" w:rsidR="00103DFA" w:rsidRPr="003406E4" w:rsidRDefault="00103DFA" w:rsidP="00103DFA">
      <w:pPr>
        <w:spacing w:line="360" w:lineRule="auto"/>
        <w:contextualSpacing/>
        <w:jc w:val="both"/>
        <w:rPr>
          <w:rFonts w:ascii="Arial" w:hAnsi="Arial"/>
          <w:b/>
          <w:bCs/>
          <w:noProof w:val="0"/>
          <w:u w:val="single"/>
          <w:rtl/>
        </w:rPr>
      </w:pPr>
      <w:r w:rsidRPr="003406E4">
        <w:rPr>
          <w:rFonts w:ascii="Arial" w:hAnsi="Arial" w:hint="cs"/>
          <w:b/>
          <w:bCs/>
          <w:noProof w:val="0"/>
          <w:u w:val="single"/>
          <w:rtl/>
        </w:rPr>
        <w:t>חובות הרשות המנהלית בקבלת החלטות חדשות</w:t>
      </w:r>
    </w:p>
    <w:p w14:paraId="120AC515" w14:textId="77777777" w:rsidR="00103DFA" w:rsidRPr="003406E4" w:rsidRDefault="00103DFA" w:rsidP="00103DFA">
      <w:pPr>
        <w:numPr>
          <w:ilvl w:val="0"/>
          <w:numId w:val="1"/>
        </w:numPr>
        <w:spacing w:before="240" w:line="360" w:lineRule="auto"/>
        <w:contextualSpacing/>
        <w:jc w:val="both"/>
        <w:rPr>
          <w:rFonts w:ascii="David" w:hAnsi="David"/>
          <w:noProof w:val="0"/>
          <w:rtl/>
        </w:rPr>
      </w:pPr>
      <w:r w:rsidRPr="003406E4">
        <w:rPr>
          <w:rFonts w:ascii="David" w:hAnsi="David" w:hint="cs"/>
          <w:noProof w:val="0"/>
          <w:rtl/>
        </w:rPr>
        <w:t>אכן, רשות מנהלית רשאית, ובנסיבות מסוימות אף חייבת, לקבל החלטה חדשה, בעניין שהתקבלה בו החלטה קודמת, בהתאם לעקרון אי-הסופיות החל על החלטות של רשות מנהלית. לעיתים היא עושה כן כתוצאה מהליכים משפטיים המתקיימים, כפי שהיה במקרה שלפניי בעקבות הגשת העתירה הקודמת. קבלת החלטה מינהלית חדשה, בין אם היא משנה החלטה קודמת, בין אם היא מגיעה לאותה החלטה עצמה, חייבת להיות מבוססת על שיקולים ענייניים, תוך הבהרת הצורך בקבלת ההחלטה החדשה, והאם ההחלטה החדשה ניתנה לאחר שנשקלו עניינים חדשים או שונים. קבלת החלטה חדשה צריכה להתבסס בראש ובראשונה על טעמים ענייניים, כבדי משקל, ולהתקבל תוך בחינה מעמיקה של הנסיבות, ותוך איזון בין אינטרס הפרט לבין האינטרס הציבורי. כך בעיקר, כאשר ההחלטה החדשה משנה החלטה קודמת, אך כך גם במקרה כמו המקרה שלפניי, בו ניתנה לרשות הזדמנות לשקול שוב את הבקשה במסגרת מחיק</w:t>
      </w:r>
      <w:r>
        <w:rPr>
          <w:rFonts w:ascii="David" w:hAnsi="David" w:hint="cs"/>
          <w:noProof w:val="0"/>
          <w:rtl/>
        </w:rPr>
        <w:t>ת העתירה הקודמת, לאור חלוף הזמן, והתחייבות הרשות לעשות כן.</w:t>
      </w:r>
      <w:r w:rsidRPr="003406E4">
        <w:rPr>
          <w:rFonts w:ascii="David" w:hAnsi="David" w:hint="cs"/>
          <w:noProof w:val="0"/>
          <w:rtl/>
        </w:rPr>
        <w:t xml:space="preserve"> </w:t>
      </w:r>
    </w:p>
    <w:p w14:paraId="423761B6" w14:textId="77777777" w:rsidR="00103DFA" w:rsidRPr="003406E4" w:rsidRDefault="00103DFA" w:rsidP="00103DFA">
      <w:pPr>
        <w:spacing w:line="360" w:lineRule="auto"/>
        <w:contextualSpacing/>
        <w:jc w:val="both"/>
        <w:rPr>
          <w:rFonts w:ascii="David" w:hAnsi="David"/>
          <w:noProof w:val="0"/>
        </w:rPr>
      </w:pPr>
    </w:p>
    <w:p w14:paraId="61AC6DF7" w14:textId="77777777" w:rsidR="00103DFA" w:rsidRPr="00ED3F61" w:rsidRDefault="00103DFA" w:rsidP="00103DFA">
      <w:pPr>
        <w:numPr>
          <w:ilvl w:val="0"/>
          <w:numId w:val="1"/>
        </w:numPr>
        <w:spacing w:before="240" w:line="360" w:lineRule="auto"/>
        <w:contextualSpacing/>
        <w:jc w:val="both"/>
        <w:rPr>
          <w:rFonts w:ascii="Arial" w:hAnsi="Arial"/>
          <w:noProof w:val="0"/>
        </w:rPr>
      </w:pPr>
      <w:r w:rsidRPr="00CD4751">
        <w:rPr>
          <w:rFonts w:ascii="Arial" w:hAnsi="Arial" w:hint="cs"/>
          <w:noProof w:val="0"/>
          <w:rtl/>
        </w:rPr>
        <w:t>ב</w:t>
      </w:r>
      <w:hyperlink r:id="rId41" w:history="1">
        <w:r w:rsidR="00CE7AF3" w:rsidRPr="00CE7AF3">
          <w:rPr>
            <w:rFonts w:ascii="Arial" w:hAnsi="Arial"/>
            <w:noProof w:val="0"/>
            <w:color w:val="0000FF"/>
            <w:u w:val="single"/>
            <w:rtl/>
          </w:rPr>
          <w:t>רע"מ  (מינהליים ת"א) 52595-03-23</w:t>
        </w:r>
      </w:hyperlink>
      <w:r w:rsidRPr="00CD4751">
        <w:rPr>
          <w:rFonts w:ascii="David" w:hAnsi="David"/>
          <w:b/>
          <w:bCs/>
          <w:noProof w:val="0"/>
        </w:rPr>
        <w:t xml:space="preserve">Liudmila Lob </w:t>
      </w:r>
      <w:r w:rsidRPr="00CD4751">
        <w:rPr>
          <w:rFonts w:ascii="David" w:hAnsi="David"/>
          <w:b/>
          <w:bCs/>
          <w:noProof w:val="0"/>
          <w:rtl/>
        </w:rPr>
        <w:t xml:space="preserve"> נ' </w:t>
      </w:r>
      <w:r w:rsidRPr="00CD4751">
        <w:rPr>
          <w:rFonts w:ascii="Arial" w:hAnsi="Arial" w:hint="cs"/>
          <w:b/>
          <w:bCs/>
          <w:noProof w:val="0"/>
          <w:rtl/>
        </w:rPr>
        <w:t>רשות האוכלוסין וההגירה</w:t>
      </w:r>
      <w:r w:rsidRPr="00CD4751">
        <w:rPr>
          <w:rFonts w:ascii="Arial" w:hAnsi="Arial" w:hint="cs"/>
          <w:noProof w:val="0"/>
          <w:rtl/>
        </w:rPr>
        <w:t xml:space="preserve">, </w:t>
      </w:r>
      <w:r w:rsidRPr="00CD4751">
        <w:rPr>
          <w:rFonts w:ascii="Arial" w:hAnsi="Arial" w:hint="cs"/>
          <w:b/>
          <w:bCs/>
          <w:noProof w:val="0"/>
          <w:rtl/>
        </w:rPr>
        <w:t>משרד הפנים</w:t>
      </w:r>
      <w:r w:rsidRPr="00CD4751">
        <w:rPr>
          <w:rFonts w:ascii="Arial" w:hAnsi="Arial" w:hint="cs"/>
          <w:noProof w:val="0"/>
          <w:rtl/>
        </w:rPr>
        <w:t xml:space="preserve"> (נבו</w:t>
      </w:r>
      <w:r w:rsidRPr="00CD4751">
        <w:rPr>
          <w:rFonts w:ascii="David" w:hAnsi="David" w:hint="cs"/>
          <w:noProof w:val="0"/>
          <w:rtl/>
        </w:rPr>
        <w:t xml:space="preserve"> 07.08.2023 להלן:</w:t>
      </w:r>
      <w:r w:rsidRPr="00CD4751">
        <w:rPr>
          <w:rFonts w:ascii="David" w:hAnsi="David" w:hint="cs"/>
          <w:b/>
          <w:bCs/>
          <w:noProof w:val="0"/>
          <w:rtl/>
        </w:rPr>
        <w:t xml:space="preserve"> עניין </w:t>
      </w:r>
      <w:r w:rsidRPr="00CD4751">
        <w:rPr>
          <w:rFonts w:ascii="David" w:hAnsi="David"/>
          <w:b/>
          <w:bCs/>
          <w:noProof w:val="0"/>
        </w:rPr>
        <w:t>Lob</w:t>
      </w:r>
      <w:r w:rsidRPr="00CD4751">
        <w:rPr>
          <w:rFonts w:ascii="David" w:hAnsi="David" w:hint="cs"/>
          <w:b/>
          <w:bCs/>
          <w:noProof w:val="0"/>
          <w:rtl/>
        </w:rPr>
        <w:t xml:space="preserve">), </w:t>
      </w:r>
      <w:r w:rsidRPr="00CD4751">
        <w:rPr>
          <w:rFonts w:ascii="Arial" w:hAnsi="Arial" w:hint="cs"/>
          <w:noProof w:val="0"/>
          <w:rtl/>
        </w:rPr>
        <w:t xml:space="preserve">דנתי בנסיבות שבהן רשות האוכלוסין קיבלה החלטה חדשה וטענה כי די בכך כדי להוביל את העותרות לתחילת המסלול לצורך מיצוי ההליכים מולה שוב מלכתחילה. עמדתי על ההלכה שלפיה </w:t>
      </w:r>
      <w:r w:rsidRPr="00CD4751">
        <w:rPr>
          <w:rFonts w:ascii="David" w:hAnsi="David" w:hint="cs"/>
          <w:noProof w:val="0"/>
          <w:rtl/>
        </w:rPr>
        <w:t>אכן, רשות מנהלית רשאית, ובנסיבות מסוימות אף חייבת, לקבל החלטה חדשה בעניין שהתקבלה בו החלטה קודמת. אולם, ככל שמתקבלת החלטה חדשה עליה להתקבל מטעמים ענייניים, באותה רצינות, "</w:t>
      </w:r>
      <w:r w:rsidRPr="00CD4751">
        <w:rPr>
          <w:rFonts w:ascii="David" w:hAnsi="David" w:hint="cs"/>
          <w:b/>
          <w:bCs/>
          <w:noProof w:val="0"/>
          <w:rtl/>
        </w:rPr>
        <w:t>תוך הפעלת שיקול דעת מלא ובחינה מקיפה, לא פחות מההחלטה המקורית בנושא, ואף יותר מכך</w:t>
      </w:r>
      <w:r w:rsidRPr="00CD4751">
        <w:rPr>
          <w:rFonts w:ascii="David" w:hAnsi="David" w:hint="cs"/>
          <w:noProof w:val="0"/>
          <w:rtl/>
        </w:rPr>
        <w:t xml:space="preserve">" (ראו: דפנה ברק-ארז </w:t>
      </w:r>
      <w:hyperlink r:id="rId42" w:history="1">
        <w:r w:rsidR="00CE7AF3" w:rsidRPr="00CE7AF3">
          <w:rPr>
            <w:rFonts w:ascii="David" w:hAnsi="David"/>
            <w:b/>
            <w:bCs/>
            <w:noProof w:val="0"/>
            <w:color w:val="0000FF"/>
            <w:u w:val="single"/>
            <w:rtl/>
          </w:rPr>
          <w:t>משפט מינהלי</w:t>
        </w:r>
      </w:hyperlink>
      <w:r w:rsidRPr="00CD4751">
        <w:rPr>
          <w:rFonts w:ascii="David" w:hAnsi="David" w:hint="cs"/>
          <w:noProof w:val="0"/>
          <w:rtl/>
        </w:rPr>
        <w:t xml:space="preserve"> כרך א' 371-4 382-38 (2010 להלן: </w:t>
      </w:r>
      <w:r w:rsidRPr="00CD4751">
        <w:rPr>
          <w:rFonts w:ascii="David" w:hAnsi="David" w:hint="cs"/>
          <w:b/>
          <w:bCs/>
          <w:noProof w:val="0"/>
          <w:rtl/>
        </w:rPr>
        <w:t xml:space="preserve">ברק-ארז, </w:t>
      </w:r>
      <w:hyperlink r:id="rId43" w:history="1">
        <w:r w:rsidR="00CE7AF3" w:rsidRPr="00CE7AF3">
          <w:rPr>
            <w:rFonts w:ascii="David" w:hAnsi="David"/>
            <w:b/>
            <w:bCs/>
            <w:noProof w:val="0"/>
            <w:color w:val="0000FF"/>
            <w:u w:val="single"/>
            <w:rtl/>
          </w:rPr>
          <w:t>משפט מינהלי</w:t>
        </w:r>
      </w:hyperlink>
      <w:r w:rsidRPr="00CD4751">
        <w:rPr>
          <w:rFonts w:ascii="David" w:hAnsi="David" w:hint="cs"/>
          <w:b/>
          <w:bCs/>
          <w:noProof w:val="0"/>
          <w:rtl/>
        </w:rPr>
        <w:t>)</w:t>
      </w:r>
      <w:r w:rsidRPr="00CD4751">
        <w:rPr>
          <w:rFonts w:ascii="David" w:hAnsi="David" w:hint="cs"/>
          <w:noProof w:val="0"/>
          <w:rtl/>
        </w:rPr>
        <w:t xml:space="preserve">; </w:t>
      </w:r>
      <w:hyperlink r:id="rId44" w:history="1">
        <w:r w:rsidR="00CE7AF3" w:rsidRPr="00CE7AF3">
          <w:rPr>
            <w:rFonts w:ascii="David" w:hAnsi="David"/>
            <w:noProof w:val="0"/>
            <w:color w:val="0000FF"/>
            <w:u w:val="single"/>
            <w:rtl/>
          </w:rPr>
          <w:t>בגץ 3070/17</w:t>
        </w:r>
      </w:hyperlink>
      <w:r w:rsidRPr="00CD4751">
        <w:rPr>
          <w:rFonts w:ascii="David" w:hAnsi="David" w:hint="cs"/>
          <w:noProof w:val="0"/>
          <w:rtl/>
        </w:rPr>
        <w:t xml:space="preserve"> </w:t>
      </w:r>
      <w:r w:rsidRPr="00CD4751">
        <w:rPr>
          <w:rFonts w:ascii="David" w:hAnsi="David" w:hint="cs"/>
          <w:b/>
          <w:bCs/>
          <w:noProof w:val="0"/>
          <w:rtl/>
        </w:rPr>
        <w:t>פלוני נ' היועץ המשפטי לממשלה</w:t>
      </w:r>
      <w:r w:rsidRPr="00CD4751">
        <w:rPr>
          <w:rFonts w:ascii="David" w:hAnsi="David" w:hint="cs"/>
          <w:noProof w:val="0"/>
          <w:rtl/>
        </w:rPr>
        <w:t xml:space="preserve"> (נבו 28.02.18 פסקאות 17-19)). יצחק זמיר </w:t>
      </w:r>
      <w:hyperlink r:id="rId45" w:history="1">
        <w:r w:rsidR="00CE7AF3" w:rsidRPr="00CE7AF3">
          <w:rPr>
            <w:rFonts w:ascii="David" w:hAnsi="David"/>
            <w:b/>
            <w:bCs/>
            <w:noProof w:val="0"/>
            <w:color w:val="0000FF"/>
            <w:u w:val="single"/>
            <w:rtl/>
          </w:rPr>
          <w:t>הסמכות המינהלית</w:t>
        </w:r>
      </w:hyperlink>
      <w:r w:rsidRPr="00CD4751">
        <w:rPr>
          <w:rFonts w:ascii="David" w:hAnsi="David" w:hint="cs"/>
          <w:noProof w:val="0"/>
          <w:rtl/>
        </w:rPr>
        <w:t xml:space="preserve"> 1383-92 (מהדורה שניה, 2011, להלן: </w:t>
      </w:r>
      <w:r w:rsidRPr="00CD4751">
        <w:rPr>
          <w:rFonts w:ascii="David" w:hAnsi="David" w:hint="cs"/>
          <w:b/>
          <w:bCs/>
          <w:noProof w:val="0"/>
          <w:rtl/>
        </w:rPr>
        <w:t xml:space="preserve">זמיר, </w:t>
      </w:r>
      <w:hyperlink r:id="rId46" w:history="1">
        <w:r w:rsidR="00CE7AF3" w:rsidRPr="00CE7AF3">
          <w:rPr>
            <w:rFonts w:ascii="David" w:hAnsi="David"/>
            <w:b/>
            <w:bCs/>
            <w:noProof w:val="0"/>
            <w:color w:val="0000FF"/>
            <w:u w:val="single"/>
            <w:rtl/>
          </w:rPr>
          <w:t>הסמכות המינהלית</w:t>
        </w:r>
      </w:hyperlink>
      <w:r w:rsidRPr="00CD4751">
        <w:rPr>
          <w:rFonts w:ascii="David" w:hAnsi="David" w:hint="cs"/>
          <w:b/>
          <w:bCs/>
          <w:noProof w:val="0"/>
          <w:rtl/>
        </w:rPr>
        <w:t>,</w:t>
      </w:r>
      <w:r w:rsidRPr="00CD4751">
        <w:rPr>
          <w:rFonts w:ascii="David" w:hAnsi="David" w:hint="cs"/>
          <w:noProof w:val="0"/>
          <w:rtl/>
        </w:rPr>
        <w:t xml:space="preserve"> סיכם כי (עמ' 1375): "</w:t>
      </w:r>
      <w:r w:rsidRPr="00CD4751">
        <w:rPr>
          <w:rFonts w:ascii="David" w:hAnsi="David" w:hint="cs"/>
          <w:b/>
          <w:bCs/>
          <w:noProof w:val="0"/>
          <w:rtl/>
        </w:rPr>
        <w:t xml:space="preserve">בסופו של דבר המבחן העיקרי בשאלה אם רשות מינהלית רשאית לשנות או לבטל החלטה קודמת של אותה רשות נעוץ באיזון אינטרסים. </w:t>
      </w:r>
      <w:r w:rsidRPr="00CD4751">
        <w:rPr>
          <w:rFonts w:ascii="David" w:hAnsi="David" w:hint="cs"/>
          <w:b/>
          <w:bCs/>
          <w:noProof w:val="0"/>
          <w:u w:val="single"/>
          <w:rtl/>
        </w:rPr>
        <w:t>האיזון הנדרש מחייב לשקול את האינטרס הפרטי כנגד האינטרס הציבורי, תוך התחשבות במהות ההחלטה ובנסיבות המקרה, לאור עקרונות יסוד כמו מינהל תקין והגינות מינהלית</w:t>
      </w:r>
      <w:r w:rsidRPr="00CD4751">
        <w:rPr>
          <w:rFonts w:ascii="David" w:hAnsi="David" w:hint="cs"/>
          <w:noProof w:val="0"/>
          <w:rtl/>
        </w:rPr>
        <w:t>" (</w:t>
      </w:r>
      <w:r w:rsidRPr="00ED3F61">
        <w:rPr>
          <w:rFonts w:ascii="David" w:hAnsi="David" w:hint="cs"/>
          <w:noProof w:val="0"/>
          <w:rtl/>
        </w:rPr>
        <w:t xml:space="preserve">הדגשה שלי - מ' א' ג'). מכאן, שקבלת החלטה חדשה בעניין שכבר ניתנה בו החלטה קודמת של הרשות היא החריג השמור למקרים של טעות או של שינוי נסיבות, ואינה דרך המלך. במקרה זה שתי ההחלטות, הן החלטת יולי 24, הן ההחלטה שהרשות הכתירה כ"החלטה חדשה", התקבלו שתיהן לאחר מחיקת העתירה הקודמת, </w:t>
      </w:r>
      <w:r>
        <w:rPr>
          <w:rFonts w:ascii="David" w:hAnsi="David" w:hint="cs"/>
          <w:noProof w:val="0"/>
          <w:rtl/>
        </w:rPr>
        <w:t>בה טענה הרשות כי החלטה חדשה מתחייבת לאור הזמן שחלף. למרות זאת, הרשות קיבלה החלטה חדשה מ</w:t>
      </w:r>
      <w:r w:rsidRPr="00ED3F61">
        <w:rPr>
          <w:rFonts w:ascii="David" w:hAnsi="David" w:hint="cs"/>
          <w:noProof w:val="0"/>
          <w:rtl/>
        </w:rPr>
        <w:t>בלי שערכה בדיקה עדכנית כפי שהתחייבה לעשות</w:t>
      </w:r>
      <w:r>
        <w:rPr>
          <w:rFonts w:ascii="David" w:hAnsi="David" w:hint="cs"/>
          <w:noProof w:val="0"/>
          <w:rtl/>
        </w:rPr>
        <w:t>.</w:t>
      </w:r>
    </w:p>
    <w:p w14:paraId="2F037752" w14:textId="77777777" w:rsidR="00103DFA" w:rsidRPr="00ED3F61" w:rsidRDefault="00103DFA" w:rsidP="00103DFA">
      <w:pPr>
        <w:spacing w:before="240" w:line="360" w:lineRule="auto"/>
        <w:contextualSpacing/>
        <w:jc w:val="both"/>
        <w:rPr>
          <w:rFonts w:ascii="Arial" w:hAnsi="Arial"/>
          <w:noProof w:val="0"/>
        </w:rPr>
      </w:pPr>
      <w:r w:rsidRPr="00ED3F61">
        <w:rPr>
          <w:rFonts w:ascii="David" w:hAnsi="David" w:hint="cs"/>
          <w:noProof w:val="0"/>
          <w:rtl/>
        </w:rPr>
        <w:t xml:space="preserve"> </w:t>
      </w:r>
    </w:p>
    <w:p w14:paraId="33054F6B"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ED3F61">
        <w:rPr>
          <w:rFonts w:ascii="Arial" w:hAnsi="Arial" w:hint="cs"/>
          <w:noProof w:val="0"/>
          <w:rtl/>
        </w:rPr>
        <w:t>בנוסף, כאשר מתקבלת החלטה</w:t>
      </w:r>
      <w:r w:rsidRPr="003406E4">
        <w:rPr>
          <w:rFonts w:ascii="Arial" w:hAnsi="Arial" w:hint="cs"/>
          <w:noProof w:val="0"/>
          <w:rtl/>
        </w:rPr>
        <w:t xml:space="preserve"> חדשה במסגרת הליך משפטי שכבר מצוי בבית המשפט לעניינים מנהליים, הרי שמי שהגיש את ההליך, כבר נקט בהליך קודם, אם ערר פנימי וערר לבית הדין או ערר פנימי ולאחריו  הגשת עתירה לבית המשפט (במקרה שלפניי הוגשה עתירה קודמת שנמחקה תוך הסכמה כי הרשות תקבל החלטה חדשה). במרבית המקרים ההליכים מוגשים ומנוהלים בסיוע בא-כוח, מה שמצריך ממון רב. קבלת החלטה חדשה בשלב זה, מחייבת, ככלל, בהתחלת כל ההליך המנהלי מהתחלה, וגם לכך יש לתת את הדעת בבחינת הגינות הרשות וסבירות ההחלטה. </w:t>
      </w:r>
    </w:p>
    <w:p w14:paraId="6DC49269" w14:textId="77777777" w:rsidR="00103DFA" w:rsidRPr="003406E4" w:rsidRDefault="00103DFA" w:rsidP="00103DFA">
      <w:pPr>
        <w:spacing w:before="240" w:line="360" w:lineRule="auto"/>
        <w:contextualSpacing/>
        <w:jc w:val="both"/>
        <w:rPr>
          <w:rFonts w:ascii="Arial" w:hAnsi="Arial"/>
          <w:noProof w:val="0"/>
        </w:rPr>
      </w:pPr>
    </w:p>
    <w:p w14:paraId="2931BE7B" w14:textId="77777777" w:rsidR="00103DFA" w:rsidRPr="003406E4" w:rsidRDefault="00103DFA" w:rsidP="00103DFA">
      <w:pPr>
        <w:spacing w:before="240" w:line="360" w:lineRule="auto"/>
        <w:contextualSpacing/>
        <w:jc w:val="both"/>
        <w:rPr>
          <w:rFonts w:ascii="Arial" w:hAnsi="Arial"/>
          <w:b/>
          <w:bCs/>
          <w:noProof w:val="0"/>
          <w:u w:val="single"/>
          <w:rtl/>
        </w:rPr>
      </w:pPr>
      <w:r w:rsidRPr="003406E4">
        <w:rPr>
          <w:rFonts w:ascii="Arial" w:hAnsi="Arial" w:hint="cs"/>
          <w:b/>
          <w:bCs/>
          <w:noProof w:val="0"/>
          <w:u w:val="single"/>
          <w:rtl/>
        </w:rPr>
        <w:t>חובת ההגינות של הרשות</w:t>
      </w:r>
    </w:p>
    <w:p w14:paraId="746543BB" w14:textId="77777777" w:rsidR="00103DFA" w:rsidRDefault="00103DFA" w:rsidP="00103DFA">
      <w:pPr>
        <w:numPr>
          <w:ilvl w:val="0"/>
          <w:numId w:val="1"/>
        </w:numPr>
        <w:spacing w:before="240" w:line="360" w:lineRule="auto"/>
        <w:contextualSpacing/>
        <w:jc w:val="both"/>
        <w:rPr>
          <w:rFonts w:ascii="David" w:hAnsi="David"/>
          <w:noProof w:val="0"/>
        </w:rPr>
      </w:pPr>
      <w:r w:rsidRPr="003406E4">
        <w:rPr>
          <w:rFonts w:ascii="David" w:hAnsi="David" w:hint="cs"/>
          <w:noProof w:val="0"/>
          <w:rtl/>
        </w:rPr>
        <w:t xml:space="preserve">קבלת החלטה חדשה </w:t>
      </w:r>
      <w:r>
        <w:rPr>
          <w:rFonts w:ascii="David" w:hAnsi="David" w:hint="cs"/>
          <w:noProof w:val="0"/>
          <w:rtl/>
        </w:rPr>
        <w:t>מחייבת את</w:t>
      </w:r>
      <w:r w:rsidRPr="003406E4">
        <w:rPr>
          <w:rFonts w:ascii="David" w:hAnsi="David" w:hint="cs"/>
          <w:noProof w:val="0"/>
          <w:rtl/>
        </w:rPr>
        <w:t xml:space="preserve"> הרשות לעמוד בחובת ההגינות המוטלת עליה כרשות מנהלית.</w:t>
      </w:r>
      <w:r w:rsidRPr="00BD406E">
        <w:rPr>
          <w:rFonts w:ascii="Arial" w:hAnsi="Arial" w:hint="cs"/>
          <w:noProof w:val="0"/>
          <w:rtl/>
        </w:rPr>
        <w:t xml:space="preserve"> </w:t>
      </w:r>
      <w:r w:rsidRPr="003406E4">
        <w:rPr>
          <w:rFonts w:ascii="David" w:hAnsi="David" w:hint="cs"/>
          <w:noProof w:val="0"/>
          <w:rtl/>
        </w:rPr>
        <w:t xml:space="preserve">פערי הכוחות בין הרשות לבין הפונים והנזקקים לשירותיה, משפיעים על חובת ההגינות של הרשות ככלל, ובעת קבלת החלטות חדשות בפרט. עמדת הכוח של הרשות המינהלית ביחס לפרט היא מקיפה וכמעט טוטלית בתחומים מסוימים, ובתוך כך החלטותיה משפיעות על הגישה למשאבים, על השימוש בהם ועל ההנאה המופקת מהם, ומוקנה לה שיקול דעת רחב בתחום תפקידה (ראו לעניין זה: דפנה ברק </w:t>
      </w:r>
      <w:hyperlink r:id="rId47" w:history="1">
        <w:r w:rsidR="00CE7AF3" w:rsidRPr="00CE7AF3">
          <w:rPr>
            <w:rFonts w:ascii="David" w:hAnsi="David"/>
            <w:noProof w:val="0"/>
            <w:color w:val="0000FF"/>
            <w:u w:val="single"/>
            <w:rtl/>
          </w:rPr>
          <w:t xml:space="preserve">ארז, "נאמנות, אמון והגינות במשפט </w:t>
        </w:r>
      </w:hyperlink>
      <w:r w:rsidRPr="003406E4">
        <w:rPr>
          <w:rFonts w:ascii="David" w:hAnsi="David" w:hint="cs"/>
          <w:noProof w:val="0"/>
          <w:rtl/>
        </w:rPr>
        <w:t xml:space="preserve"> המינהלי", בתוך: </w:t>
      </w:r>
      <w:r w:rsidRPr="003406E4">
        <w:rPr>
          <w:rFonts w:ascii="David" w:hAnsi="David" w:hint="cs"/>
          <w:b/>
          <w:bCs/>
          <w:noProof w:val="0"/>
          <w:rtl/>
        </w:rPr>
        <w:t>חובות אמון בדין הישראלי</w:t>
      </w:r>
      <w:r w:rsidRPr="003406E4">
        <w:rPr>
          <w:rFonts w:ascii="David" w:hAnsi="David" w:hint="cs"/>
          <w:noProof w:val="0"/>
          <w:rtl/>
        </w:rPr>
        <w:t xml:space="preserve">, 171 (רות פלאטו-שנער ויהושע (שוקי) שגב, עורכים, 2016). בהתאם לכך, נדרשת מכל רשות מנהלית, וודאי מרשויות המדינה עצמה, הגינות כלפי כל אדם ובכל תחומי פעילותה, במטרת למנוע שרירות, להגן על זכויות אדם, לטפח יחסי אמון בין המינהל הציבורי לבין האזרח, ובסופו של דבר לשפר את ההליך המנהלי ולקדם את המינהל הציבורי (ראו: </w:t>
      </w:r>
      <w:r>
        <w:rPr>
          <w:rFonts w:ascii="David" w:hAnsi="David"/>
          <w:noProof w:val="0"/>
          <w:rtl/>
        </w:rPr>
        <w:t>זמיר</w:t>
      </w:r>
      <w:r>
        <w:rPr>
          <w:rFonts w:ascii="David" w:hAnsi="David" w:hint="cs"/>
          <w:noProof w:val="0"/>
          <w:rtl/>
        </w:rPr>
        <w:t xml:space="preserve">, </w:t>
      </w:r>
      <w:hyperlink r:id="rId48" w:history="1">
        <w:r w:rsidR="00CE7AF3" w:rsidRPr="00CE7AF3">
          <w:rPr>
            <w:rFonts w:ascii="David" w:hAnsi="David"/>
            <w:b/>
            <w:bCs/>
            <w:noProof w:val="0"/>
            <w:color w:val="0000FF"/>
            <w:u w:val="single"/>
            <w:rtl/>
          </w:rPr>
          <w:t>הסמכות המינהלית</w:t>
        </w:r>
      </w:hyperlink>
      <w:r>
        <w:rPr>
          <w:rFonts w:ascii="David" w:hAnsi="David" w:hint="cs"/>
          <w:b/>
          <w:bCs/>
          <w:noProof w:val="0"/>
          <w:rtl/>
        </w:rPr>
        <w:t>,</w:t>
      </w:r>
      <w:r>
        <w:rPr>
          <w:rFonts w:ascii="David" w:hAnsi="David" w:hint="cs"/>
          <w:noProof w:val="0"/>
          <w:rtl/>
        </w:rPr>
        <w:t xml:space="preserve"> שם, בעמ'</w:t>
      </w:r>
      <w:r w:rsidRPr="00D91858">
        <w:rPr>
          <w:rFonts w:ascii="David" w:hAnsi="David"/>
          <w:noProof w:val="0"/>
          <w:rtl/>
        </w:rPr>
        <w:t xml:space="preserve"> </w:t>
      </w:r>
      <w:r>
        <w:rPr>
          <w:rFonts w:ascii="David" w:hAnsi="David" w:hint="cs"/>
          <w:noProof w:val="0"/>
          <w:rtl/>
        </w:rPr>
        <w:t>998</w:t>
      </w:r>
      <w:r>
        <w:rPr>
          <w:rFonts w:ascii="David" w:hAnsi="David"/>
          <w:noProof w:val="0"/>
          <w:rtl/>
        </w:rPr>
        <w:t>)</w:t>
      </w:r>
      <w:r>
        <w:rPr>
          <w:rFonts w:ascii="David" w:hAnsi="David" w:hint="cs"/>
          <w:noProof w:val="0"/>
          <w:rtl/>
        </w:rPr>
        <w:t>.</w:t>
      </w:r>
    </w:p>
    <w:p w14:paraId="6BE44EF9" w14:textId="77777777" w:rsidR="00103DFA" w:rsidRDefault="00103DFA" w:rsidP="00103DFA">
      <w:pPr>
        <w:spacing w:before="240" w:line="360" w:lineRule="auto"/>
        <w:contextualSpacing/>
        <w:jc w:val="both"/>
        <w:rPr>
          <w:rFonts w:ascii="David" w:hAnsi="David"/>
          <w:noProof w:val="0"/>
        </w:rPr>
      </w:pPr>
    </w:p>
    <w:p w14:paraId="30B691FB" w14:textId="77777777" w:rsidR="00103DFA" w:rsidRDefault="00103DFA" w:rsidP="00103DFA">
      <w:pPr>
        <w:numPr>
          <w:ilvl w:val="0"/>
          <w:numId w:val="1"/>
        </w:numPr>
        <w:spacing w:before="240" w:line="360" w:lineRule="auto"/>
        <w:contextualSpacing/>
        <w:jc w:val="both"/>
        <w:rPr>
          <w:rFonts w:ascii="David" w:eastAsia="Calibri" w:hAnsi="David"/>
          <w:noProof w:val="0"/>
        </w:rPr>
      </w:pPr>
      <w:r w:rsidRPr="00BD406E">
        <w:rPr>
          <w:rFonts w:ascii="David" w:hAnsi="David" w:hint="cs"/>
          <w:noProof w:val="0"/>
          <w:rtl/>
        </w:rPr>
        <w:t xml:space="preserve">בהתאם </w:t>
      </w:r>
      <w:r w:rsidRPr="00BD406E">
        <w:rPr>
          <w:rFonts w:ascii="David" w:eastAsia="Calibri" w:hAnsi="David"/>
          <w:noProof w:val="0"/>
          <w:rtl/>
        </w:rPr>
        <w:t>לעקרונות אלה, נקבע ב</w:t>
      </w:r>
      <w:hyperlink r:id="rId49" w:history="1">
        <w:r w:rsidR="00CE7AF3" w:rsidRPr="00CE7AF3">
          <w:rPr>
            <w:rFonts w:ascii="David" w:eastAsia="Calibri" w:hAnsi="David"/>
            <w:noProof w:val="0"/>
            <w:color w:val="0000FF"/>
            <w:u w:val="single"/>
            <w:rtl/>
          </w:rPr>
          <w:t>בג"ץ 164/97</w:t>
        </w:r>
      </w:hyperlink>
      <w:r w:rsidRPr="00BD406E">
        <w:rPr>
          <w:rFonts w:ascii="David" w:eastAsia="Calibri" w:hAnsi="David"/>
          <w:noProof w:val="0"/>
          <w:rtl/>
        </w:rPr>
        <w:t xml:space="preserve"> </w:t>
      </w:r>
      <w:r w:rsidRPr="00BD406E">
        <w:rPr>
          <w:rFonts w:ascii="David" w:eastAsia="Calibri" w:hAnsi="David"/>
          <w:b/>
          <w:bCs/>
          <w:noProof w:val="0"/>
          <w:rtl/>
        </w:rPr>
        <w:t>קונטרם בע"מ נ' משרד האוצר, אגף המכס והמע"מ</w:t>
      </w:r>
      <w:r w:rsidRPr="00BD406E">
        <w:rPr>
          <w:rFonts w:ascii="David" w:eastAsia="Calibri" w:hAnsi="David"/>
          <w:noProof w:val="0"/>
          <w:rtl/>
        </w:rPr>
        <w:t xml:space="preserve">, פ"ד נב(1) 289, 347 (1998, להלן: </w:t>
      </w:r>
      <w:r w:rsidRPr="00BD406E">
        <w:rPr>
          <w:rFonts w:ascii="David" w:eastAsia="Calibri" w:hAnsi="David"/>
          <w:b/>
          <w:bCs/>
          <w:noProof w:val="0"/>
          <w:rtl/>
        </w:rPr>
        <w:t>עניין קונטרם</w:t>
      </w:r>
      <w:r w:rsidRPr="00BD406E">
        <w:rPr>
          <w:rFonts w:ascii="David" w:eastAsia="Calibri" w:hAnsi="David"/>
          <w:noProof w:val="0"/>
          <w:rtl/>
        </w:rPr>
        <w:t>) כי: "</w:t>
      </w:r>
      <w:r w:rsidRPr="00BD406E">
        <w:rPr>
          <w:rFonts w:ascii="David" w:eastAsia="Calibri" w:hAnsi="David"/>
          <w:b/>
          <w:bCs/>
          <w:noProof w:val="0"/>
          <w:rtl/>
        </w:rPr>
        <w:t>חובת ההגינות הכללית באה להבטיח כי השלטון לא יגשים 'אינטרס עצמי משלו', אלא יגשים את אינטרס הכלל. חובת ההגינות לא באה לקבוע 'כללי משחק' בין 'יריבים'. היא באה לקבוע כללי התנהגות של 'ידידים'</w:t>
      </w:r>
      <w:r w:rsidRPr="00BD406E">
        <w:rPr>
          <w:rFonts w:ascii="David" w:eastAsia="Calibri" w:hAnsi="David"/>
          <w:noProof w:val="0"/>
          <w:rtl/>
        </w:rPr>
        <w:t xml:space="preserve">." </w:t>
      </w:r>
      <w:r w:rsidRPr="00BD406E">
        <w:rPr>
          <w:rFonts w:ascii="David" w:eastAsia="Calibri" w:hAnsi="David"/>
          <w:noProof w:val="0"/>
          <w:rtl/>
        </w:rPr>
        <w:lastRenderedPageBreak/>
        <w:t>ובהמשך נקבע: "</w:t>
      </w:r>
      <w:r w:rsidRPr="00BD406E">
        <w:rPr>
          <w:rFonts w:ascii="David" w:eastAsia="Calibri" w:hAnsi="David"/>
          <w:b/>
          <w:bCs/>
          <w:noProof w:val="0"/>
          <w:rtl/>
        </w:rPr>
        <w:t>חובת ההגינות נועדה לשמש – בצדם של אמצעים אחרים – בלם לכוח ורסן לעוצמה</w:t>
      </w:r>
      <w:r w:rsidRPr="00BD406E">
        <w:rPr>
          <w:rFonts w:ascii="David" w:eastAsia="Calibri" w:hAnsi="David"/>
          <w:noProof w:val="0"/>
          <w:rtl/>
        </w:rPr>
        <w:t xml:space="preserve">" (שם, בעמ' 368, וראו גם </w:t>
      </w:r>
      <w:r w:rsidRPr="00BD406E">
        <w:rPr>
          <w:rFonts w:ascii="David" w:eastAsia="Calibri" w:hAnsi="David"/>
          <w:b/>
          <w:bCs/>
          <w:noProof w:val="0"/>
          <w:rtl/>
        </w:rPr>
        <w:t xml:space="preserve">ברק-ארז, </w:t>
      </w:r>
      <w:hyperlink r:id="rId50" w:history="1">
        <w:r w:rsidR="00CE7AF3" w:rsidRPr="00CE7AF3">
          <w:rPr>
            <w:rFonts w:ascii="David" w:eastAsia="Calibri" w:hAnsi="David"/>
            <w:b/>
            <w:bCs/>
            <w:noProof w:val="0"/>
            <w:color w:val="0000FF"/>
            <w:u w:val="single"/>
            <w:rtl/>
          </w:rPr>
          <w:t>משפט מינהלי</w:t>
        </w:r>
      </w:hyperlink>
      <w:r w:rsidRPr="00BD406E">
        <w:rPr>
          <w:rFonts w:ascii="David" w:eastAsia="Calibri" w:hAnsi="David"/>
          <w:noProof w:val="0"/>
          <w:rtl/>
        </w:rPr>
        <w:t xml:space="preserve"> 276, וגם </w:t>
      </w:r>
      <w:hyperlink r:id="rId51" w:history="1">
        <w:r w:rsidR="00D93CD0" w:rsidRPr="00D93CD0">
          <w:rPr>
            <w:rStyle w:val="Hyperlink"/>
            <w:rFonts w:ascii="David" w:eastAsia="Calibri" w:hAnsi="David"/>
            <w:noProof w:val="0"/>
            <w:rtl/>
          </w:rPr>
          <w:t>אייל פלג "ההליך המנהלי בצלו של שיקול הדעת",</w:t>
        </w:r>
      </w:hyperlink>
      <w:r w:rsidRPr="00BD406E">
        <w:rPr>
          <w:rFonts w:ascii="David" w:eastAsia="Calibri" w:hAnsi="David"/>
          <w:noProof w:val="0"/>
          <w:rtl/>
        </w:rPr>
        <w:t xml:space="preserve"> </w:t>
      </w:r>
      <w:r w:rsidRPr="00BD406E">
        <w:rPr>
          <w:rFonts w:ascii="David" w:eastAsia="Calibri" w:hAnsi="David"/>
          <w:b/>
          <w:bCs/>
          <w:noProof w:val="0"/>
          <w:rtl/>
        </w:rPr>
        <w:t>עיוני משפט</w:t>
      </w:r>
      <w:r w:rsidRPr="00BD406E">
        <w:rPr>
          <w:rFonts w:ascii="David" w:eastAsia="Calibri" w:hAnsi="David"/>
          <w:noProof w:val="0"/>
          <w:rtl/>
        </w:rPr>
        <w:t xml:space="preserve"> מב, עמ' 136, להלן: </w:t>
      </w:r>
      <w:r w:rsidRPr="00984204">
        <w:rPr>
          <w:rFonts w:ascii="David" w:eastAsia="Calibri" w:hAnsi="David"/>
          <w:b/>
          <w:bCs/>
          <w:noProof w:val="0"/>
          <w:rtl/>
        </w:rPr>
        <w:t>פלג, ההליך המנהלי</w:t>
      </w:r>
      <w:r>
        <w:rPr>
          <w:rFonts w:ascii="David" w:eastAsia="Calibri" w:hAnsi="David" w:hint="cs"/>
          <w:noProof w:val="0"/>
          <w:rtl/>
        </w:rPr>
        <w:t>).</w:t>
      </w:r>
    </w:p>
    <w:p w14:paraId="670B16D5" w14:textId="77777777" w:rsidR="00103DFA" w:rsidRPr="00984204" w:rsidRDefault="00103DFA" w:rsidP="00103DFA">
      <w:pPr>
        <w:pStyle w:val="ListParagraph"/>
        <w:numPr>
          <w:ilvl w:val="0"/>
          <w:numId w:val="1"/>
        </w:numPr>
        <w:spacing w:before="240" w:line="360" w:lineRule="auto"/>
        <w:jc w:val="both"/>
        <w:rPr>
          <w:rFonts w:ascii="David" w:eastAsia="Calibri" w:hAnsi="David"/>
          <w:noProof w:val="0"/>
        </w:rPr>
      </w:pPr>
      <w:r w:rsidRPr="00984204">
        <w:rPr>
          <w:rFonts w:ascii="David" w:eastAsia="Calibri" w:hAnsi="David" w:hint="cs"/>
          <w:noProof w:val="0"/>
          <w:rtl/>
        </w:rPr>
        <w:t xml:space="preserve">כן יפים לעניין זה דברי כב' המשנה לנשיא, השופט מישאל חשין </w:t>
      </w:r>
      <w:r w:rsidRPr="00984204">
        <w:rPr>
          <w:rFonts w:ascii="David" w:eastAsia="Calibri" w:hAnsi="David" w:hint="cs"/>
          <w:b/>
          <w:bCs/>
          <w:noProof w:val="0"/>
          <w:rtl/>
        </w:rPr>
        <w:t>בעניין קונטרם</w:t>
      </w:r>
      <w:r w:rsidRPr="00984204">
        <w:rPr>
          <w:rFonts w:ascii="David" w:eastAsia="Calibri" w:hAnsi="David" w:hint="cs"/>
          <w:noProof w:val="0"/>
          <w:rtl/>
        </w:rPr>
        <w:t xml:space="preserve"> (בעמ' 367):</w:t>
      </w:r>
    </w:p>
    <w:p w14:paraId="2F77E29D" w14:textId="77777777" w:rsidR="00103DFA" w:rsidRPr="003406E4" w:rsidRDefault="00103DFA" w:rsidP="00103DFA">
      <w:pPr>
        <w:spacing w:before="240"/>
        <w:ind w:left="567" w:right="567"/>
        <w:contextualSpacing/>
        <w:jc w:val="both"/>
        <w:rPr>
          <w:rFonts w:ascii="David" w:eastAsia="David" w:hAnsi="David"/>
          <w:noProof w:val="0"/>
        </w:rPr>
      </w:pPr>
      <w:r w:rsidRPr="003406E4">
        <w:rPr>
          <w:rFonts w:ascii="David" w:eastAsia="David" w:hAnsi="David" w:hint="cs"/>
          <w:b/>
          <w:bCs/>
          <w:noProof w:val="0"/>
          <w:rtl/>
        </w:rPr>
        <w:t>"יתר-על-כן: היחיד והשלטון אין הם שווי-זכויות, אין הם שווי-כוחות ואין הם שווי-מעמד. הם גם אינם ידידים זה לזה. השלטון מחזיק בידו רוב כוח, רוב עוצמה ורוב עושר, עד שהיחיד – יהיו כוחו, עוצמתו ועושרו רבים ככל שיהיו – לא ישווה לו ולא ידמה לו.... התופעה שאנו עדים לה יום-יום, שעה-שעה, שהיחיד עומד בתור לפני דלפק-השלטון, והתור משתרך ומתפתל עוד ועוד. יש המכנים תופעה זו "ביורוקרטיה" ויש המכנים אותה אחרת. יהא כינויה של התופעה אשר יהא, התופעה ידועה ומוכרת לכולנו, ולא לטוב. מטעם זה אף נחלצו בתי-המשפט בעבר לעזרו של היחיד בעומדו מול אותה מכונת-ענק – נחלצו בעבר, ממשיכים הם להיחלץ כיום וימשיכו להיחלץ בעתיד. מטעם זה אף קבעו בתי-המשפט את עקרון הנאמנות שהשלטון חב ליחיד. מאותו טעם קבעה ההלכה את חובת ההגינות שהשלטון חב ליחיד. עיקרון וחובה אלה מקורם בסמכותה היתרה של הרשות, בכוחה-היתר, ביכולתה למנוע מן היחיד טובה שלולא נאסרה עליו יכול היה ליהנות ממנה...חובת ההגינות שהשלטון חב בה כלפי יחידי החברה נגזרת מהכוח היתר שהשלטון מחזיק בו, מעוצמתו של השלטון כי-רבה. חובת ההגינות נועדה לשמש – בצדם של אמצעים אחרים – בלם לכוח ורסן לעוצמה....</w:t>
      </w:r>
      <w:r w:rsidRPr="003406E4">
        <w:rPr>
          <w:rFonts w:ascii="David" w:eastAsia="David" w:hAnsi="David" w:hint="cs"/>
          <w:b/>
          <w:bCs/>
          <w:noProof w:val="0"/>
          <w:u w:val="single"/>
          <w:rtl/>
        </w:rPr>
        <w:t>הנה הוא גוליבר בארץ הענקים: הענקים מסבים לסעודה וגוליבר עומד על שולחן-האוכל מלוא-קומתו הזעירה וכל עצמותיו רוחפות מיראה. כמִלחיָה היה בעיניהם, כזנב-גזר. נשיפת פה מצויה וגוליבר היה-כלא-היה</w:t>
      </w:r>
      <w:r w:rsidRPr="003406E4">
        <w:rPr>
          <w:rFonts w:ascii="David" w:eastAsia="David" w:hAnsi="David" w:hint="cs"/>
          <w:noProof w:val="0"/>
          <w:u w:val="single"/>
          <w:rtl/>
        </w:rPr>
        <w:t>.</w:t>
      </w:r>
      <w:r w:rsidRPr="003406E4">
        <w:rPr>
          <w:rFonts w:ascii="David" w:eastAsia="David" w:hAnsi="David" w:hint="cs"/>
          <w:noProof w:val="0"/>
          <w:rtl/>
        </w:rPr>
        <w:t>"</w:t>
      </w:r>
    </w:p>
    <w:p w14:paraId="253D76D4" w14:textId="77777777" w:rsidR="00103DFA" w:rsidRPr="003406E4" w:rsidRDefault="00103DFA" w:rsidP="00103DFA">
      <w:pPr>
        <w:spacing w:before="240"/>
        <w:ind w:left="567" w:right="567"/>
        <w:contextualSpacing/>
        <w:jc w:val="both"/>
        <w:rPr>
          <w:rFonts w:ascii="David" w:eastAsia="David" w:hAnsi="David"/>
          <w:noProof w:val="0"/>
        </w:rPr>
      </w:pPr>
      <w:r w:rsidRPr="003406E4">
        <w:rPr>
          <w:rFonts w:ascii="David" w:eastAsia="David" w:hAnsi="David" w:hint="cs"/>
          <w:noProof w:val="0"/>
          <w:rtl/>
        </w:rPr>
        <w:t>(הדגשה שלי - מ' א' ג').</w:t>
      </w:r>
    </w:p>
    <w:p w14:paraId="42047C08" w14:textId="77777777" w:rsidR="00103DFA" w:rsidRPr="003406E4" w:rsidRDefault="00103DFA" w:rsidP="00103DFA">
      <w:pPr>
        <w:spacing w:before="240" w:line="360" w:lineRule="auto"/>
        <w:ind w:left="360"/>
        <w:contextualSpacing/>
        <w:jc w:val="both"/>
        <w:rPr>
          <w:rFonts w:ascii="David" w:eastAsia="Calibri" w:hAnsi="David"/>
          <w:rtl/>
        </w:rPr>
      </w:pPr>
    </w:p>
    <w:p w14:paraId="411710A7" w14:textId="77777777" w:rsidR="00103DFA" w:rsidRPr="003406E4" w:rsidRDefault="00103DFA" w:rsidP="00103DFA">
      <w:pPr>
        <w:numPr>
          <w:ilvl w:val="0"/>
          <w:numId w:val="1"/>
        </w:numPr>
        <w:spacing w:before="240" w:line="360" w:lineRule="auto"/>
        <w:ind w:left="360" w:hanging="360"/>
        <w:contextualSpacing/>
        <w:jc w:val="both"/>
        <w:rPr>
          <w:rFonts w:eastAsia="Calibri"/>
          <w:noProof w:val="0"/>
          <w:rtl/>
        </w:rPr>
      </w:pPr>
      <w:r w:rsidRPr="003406E4">
        <w:rPr>
          <w:rFonts w:ascii="David" w:eastAsia="Calibri" w:hAnsi="David" w:hint="cs"/>
          <w:noProof w:val="0"/>
          <w:rtl/>
        </w:rPr>
        <w:t xml:space="preserve">תוכנה של חובת ההגינות משתנה ממקרה למקרה ובהתאם לנסיבות, ויחד עם היותו רחב - הוא עמום. פסיקת בית המשפט העליון והספרות המשפטית כוללת התייחסות לכך, כפי שתיאר </w:t>
      </w:r>
      <w:r w:rsidRPr="003406E4">
        <w:rPr>
          <w:rFonts w:ascii="David" w:eastAsia="Calibri" w:hAnsi="David" w:hint="cs"/>
          <w:b/>
          <w:bCs/>
          <w:noProof w:val="0"/>
          <w:rtl/>
        </w:rPr>
        <w:t xml:space="preserve">זמיר, </w:t>
      </w:r>
      <w:hyperlink r:id="rId52" w:history="1">
        <w:r w:rsidR="00CE7AF3" w:rsidRPr="00CE7AF3">
          <w:rPr>
            <w:rFonts w:ascii="David" w:eastAsia="Calibri" w:hAnsi="David"/>
            <w:b/>
            <w:bCs/>
            <w:noProof w:val="0"/>
            <w:color w:val="0000FF"/>
            <w:u w:val="single"/>
            <w:rtl/>
          </w:rPr>
          <w:t>הסמכות המינהלית</w:t>
        </w:r>
      </w:hyperlink>
      <w:r w:rsidRPr="003406E4">
        <w:rPr>
          <w:rFonts w:ascii="David" w:eastAsia="Calibri" w:hAnsi="David" w:hint="cs"/>
          <w:noProof w:val="0"/>
          <w:rtl/>
        </w:rPr>
        <w:t xml:space="preserve">, בעמ' 999: </w:t>
      </w:r>
    </w:p>
    <w:p w14:paraId="2CE6B707" w14:textId="77777777" w:rsidR="00103DFA" w:rsidRPr="003406E4" w:rsidRDefault="00103DFA" w:rsidP="00103DFA">
      <w:pPr>
        <w:ind w:left="567" w:right="567"/>
        <w:contextualSpacing/>
        <w:jc w:val="both"/>
        <w:rPr>
          <w:rFonts w:ascii="David" w:eastAsia="David" w:hAnsi="David"/>
          <w:b/>
          <w:bCs/>
          <w:noProof w:val="0"/>
          <w:rtl/>
        </w:rPr>
      </w:pPr>
      <w:r w:rsidRPr="003406E4">
        <w:rPr>
          <w:rFonts w:ascii="David" w:eastAsia="David" w:hAnsi="David" w:hint="cs"/>
          <w:b/>
          <w:bCs/>
          <w:noProof w:val="0"/>
          <w:rtl/>
        </w:rPr>
        <w:t>"הגינות מנהלית היא יחס הנובע מתפיסה ראויה של התפקיד הציבורי. מהי תפיסה זאת? עובד הציבור צריך להיות מודע לכך, שבהיותו נאמן הציבור, הוא חייב, במילוי תפקידו, לשרת את הציבור; שהציבור מורכב מבני אדם ולכן עובד הציבור חייב לשרת את האדם; שלכל אדם מוקנית, מטבע ברייתו, וגם על פי החוק, זכות לכבוד; ומכאן שעובד הציבור חייב, במילוי התפקיד הציבורי בכבוד האדם.... אין צורה אחת להגינות אלא פנים רבות המשתנות לפי נסיבות המקרה, אולם אפשר לומר שקיים מתחם של הגינות... ועובד ציבור אמור להפעיל את סמכותו בתוך מתחם זה."</w:t>
      </w:r>
    </w:p>
    <w:p w14:paraId="2A0851A6" w14:textId="77777777" w:rsidR="00103DFA" w:rsidRPr="003406E4" w:rsidRDefault="00103DFA" w:rsidP="00103DFA">
      <w:pPr>
        <w:spacing w:before="240" w:line="360" w:lineRule="auto"/>
        <w:ind w:left="360"/>
        <w:contextualSpacing/>
        <w:jc w:val="both"/>
        <w:rPr>
          <w:rFonts w:eastAsia="Calibri"/>
          <w:rtl/>
        </w:rPr>
      </w:pPr>
    </w:p>
    <w:p w14:paraId="1C31196F" w14:textId="77777777" w:rsidR="00103DFA" w:rsidRPr="003406E4" w:rsidRDefault="00103DFA" w:rsidP="00103DFA">
      <w:pPr>
        <w:spacing w:before="240" w:line="360" w:lineRule="auto"/>
        <w:ind w:left="360"/>
        <w:contextualSpacing/>
        <w:jc w:val="both"/>
        <w:rPr>
          <w:rFonts w:ascii="David" w:eastAsia="Calibri" w:hAnsi="David"/>
          <w:noProof w:val="0"/>
          <w:rtl/>
        </w:rPr>
      </w:pPr>
      <w:r w:rsidRPr="003406E4">
        <w:rPr>
          <w:rFonts w:ascii="David" w:eastAsia="Calibri" w:hAnsi="David" w:hint="cs"/>
          <w:noProof w:val="0"/>
          <w:rtl/>
        </w:rPr>
        <w:t>ובהמשך:</w:t>
      </w:r>
    </w:p>
    <w:p w14:paraId="22A97FC8" w14:textId="77777777" w:rsidR="00103DFA" w:rsidRPr="003406E4" w:rsidRDefault="00103DFA" w:rsidP="00103DFA">
      <w:pPr>
        <w:ind w:left="567" w:right="567"/>
        <w:contextualSpacing/>
        <w:jc w:val="both"/>
        <w:rPr>
          <w:rFonts w:ascii="David" w:eastAsia="David" w:hAnsi="David"/>
          <w:b/>
          <w:bCs/>
          <w:noProof w:val="0"/>
        </w:rPr>
      </w:pPr>
      <w:r w:rsidRPr="003406E4">
        <w:rPr>
          <w:rFonts w:ascii="David" w:eastAsia="David" w:hAnsi="David" w:hint="cs"/>
          <w:b/>
          <w:bCs/>
          <w:noProof w:val="0"/>
          <w:rtl/>
        </w:rPr>
        <w:t>"ההגינות באה לידי ביטוי בעיקר בתחום ההליך (כלומר הפרוצדורה) המנהלי. בתחום זה היא דורשת מן הרשות המנהלית להתנהל בדרך לקבלת ההחלטה באופן שמכבד את האדם....</w:t>
      </w:r>
      <w:r w:rsidRPr="003406E4">
        <w:rPr>
          <w:rFonts w:ascii="David" w:eastAsia="David" w:hAnsi="David" w:hint="cs"/>
          <w:b/>
          <w:bCs/>
          <w:noProof w:val="0"/>
          <w:u w:val="single"/>
          <w:rtl/>
        </w:rPr>
        <w:t>אולם ההגינות יכולה לבוא לידי ביטוי גם בתחום שיקול הדעת..... במובן זה קשה להגדיר את ההגינות, אך קל להבחין בה. היא כרוכה במושג של יושר ונוגדת את המושג של עוול, היא דורשת התחשבות וכבוד ודוחה התנשאות וזלזול.</w:t>
      </w:r>
      <w:r w:rsidRPr="003406E4">
        <w:rPr>
          <w:rFonts w:ascii="David" w:eastAsia="David" w:hAnsi="David" w:hint="cs"/>
          <w:b/>
          <w:bCs/>
          <w:noProof w:val="0"/>
          <w:rtl/>
        </w:rPr>
        <w:t xml:space="preserve">...". </w:t>
      </w:r>
    </w:p>
    <w:p w14:paraId="5B97E7EF" w14:textId="77777777" w:rsidR="00103DFA" w:rsidRPr="003406E4" w:rsidRDefault="00103DFA" w:rsidP="00103DFA">
      <w:pPr>
        <w:ind w:left="567" w:right="567" w:firstLine="207"/>
        <w:contextualSpacing/>
        <w:jc w:val="both"/>
        <w:rPr>
          <w:rFonts w:eastAsia="Calibri"/>
          <w:rtl/>
        </w:rPr>
      </w:pPr>
      <w:r w:rsidRPr="003406E4">
        <w:rPr>
          <w:rFonts w:ascii="David" w:eastAsia="Calibri" w:hAnsi="David" w:hint="cs"/>
          <w:noProof w:val="0"/>
          <w:rtl/>
        </w:rPr>
        <w:t>(ההדגשה שלי – מ' א' ג').</w:t>
      </w:r>
    </w:p>
    <w:p w14:paraId="6DA99237" w14:textId="77777777" w:rsidR="00103DFA" w:rsidRPr="003406E4" w:rsidRDefault="00103DFA" w:rsidP="00103DFA">
      <w:pPr>
        <w:spacing w:line="360" w:lineRule="auto"/>
        <w:contextualSpacing/>
        <w:jc w:val="both"/>
        <w:rPr>
          <w:rFonts w:ascii="Arial" w:hAnsi="Arial"/>
          <w:noProof w:val="0"/>
          <w:rtl/>
        </w:rPr>
      </w:pPr>
    </w:p>
    <w:p w14:paraId="1D5B3262"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 xml:space="preserve">הגינות דיונית נבחנת באמצעות דיני ההליך עצמו, כדוגמת: זכות הטיעון, חובת בחינת התשתית העובדתית, זכות העיון וכיו"ב, ואילו ההגינות המהותית נבחנת באמצעות כללים רחבים כדוגמת הפעלת שיקול דעת בעת קבלת החלטות, והימנעות מניגוד עניינים ושקילת שיקולים זרים. חובות הרשות, כגון הפעלת סמכותה במהירות ועמידה בהתחייבויותיה, ממלאות את חובת ההגינות </w:t>
      </w:r>
      <w:r w:rsidRPr="003406E4">
        <w:rPr>
          <w:rFonts w:ascii="Arial" w:hAnsi="Arial" w:hint="cs"/>
          <w:noProof w:val="0"/>
          <w:rtl/>
        </w:rPr>
        <w:lastRenderedPageBreak/>
        <w:t>הדיונית בתוכן קונקרטי (וראו הדגמות גם בפסקי דיני ב</w:t>
      </w:r>
      <w:hyperlink r:id="rId53" w:history="1">
        <w:r w:rsidR="00CE7AF3" w:rsidRPr="00CE7AF3">
          <w:rPr>
            <w:rFonts w:ascii="Arial" w:hAnsi="Arial"/>
            <w:noProof w:val="0"/>
            <w:color w:val="0000FF"/>
            <w:u w:val="single"/>
            <w:rtl/>
          </w:rPr>
          <w:t>עמ"נ 22493-02-20</w:t>
        </w:r>
      </w:hyperlink>
      <w:r w:rsidRPr="003406E4">
        <w:rPr>
          <w:rFonts w:ascii="Arial" w:hAnsi="Arial" w:hint="cs"/>
          <w:noProof w:val="0"/>
          <w:rtl/>
        </w:rPr>
        <w:t xml:space="preserve"> </w:t>
      </w:r>
      <w:r w:rsidRPr="003406E4">
        <w:rPr>
          <w:rFonts w:ascii="Arial" w:hAnsi="Arial" w:hint="cs"/>
          <w:b/>
          <w:bCs/>
          <w:noProof w:val="0"/>
          <w:rtl/>
        </w:rPr>
        <w:t>רשידה מסימי נ' רשות האוכלוסין וההגירה - משרד הפנים</w:t>
      </w:r>
      <w:r w:rsidRPr="003406E4">
        <w:rPr>
          <w:rFonts w:ascii="Arial" w:hAnsi="Arial" w:hint="cs"/>
          <w:noProof w:val="0"/>
          <w:rtl/>
        </w:rPr>
        <w:t xml:space="preserve"> (נבו, 26.09.2021) וב</w:t>
      </w:r>
      <w:hyperlink r:id="rId54" w:history="1">
        <w:r w:rsidR="00CE7AF3" w:rsidRPr="00CE7AF3">
          <w:rPr>
            <w:rFonts w:ascii="Arial" w:hAnsi="Arial"/>
            <w:noProof w:val="0"/>
            <w:color w:val="0000FF"/>
            <w:u w:val="single"/>
            <w:rtl/>
          </w:rPr>
          <w:t>עמ"נ 26443-07-21</w:t>
        </w:r>
      </w:hyperlink>
      <w:r w:rsidRPr="003406E4">
        <w:rPr>
          <w:rFonts w:ascii="Arial" w:hAnsi="Arial" w:hint="cs"/>
          <w:noProof w:val="0"/>
          <w:rtl/>
        </w:rPr>
        <w:t xml:space="preserve"> </w:t>
      </w:r>
      <w:r w:rsidRPr="003406E4">
        <w:rPr>
          <w:rFonts w:ascii="Arial" w:hAnsi="Arial" w:hint="cs"/>
          <w:b/>
          <w:bCs/>
          <w:noProof w:val="0"/>
          <w:rtl/>
        </w:rPr>
        <w:t>דוד דהן וסילביה סקורחדובה נ' רשות האוכלוסין וההגירה</w:t>
      </w:r>
      <w:r w:rsidRPr="003406E4">
        <w:rPr>
          <w:rFonts w:ascii="Arial" w:hAnsi="Arial" w:hint="cs"/>
          <w:noProof w:val="0"/>
          <w:rtl/>
        </w:rPr>
        <w:t xml:space="preserve"> (נבו, 4.5.22)). אולם, החובות הספציפיות הללו אינן ממצות את חובת ההגינות הכללית,</w:t>
      </w:r>
      <w:r w:rsidRPr="003406E4">
        <w:rPr>
          <w:rFonts w:ascii="Arial" w:hAnsi="Arial"/>
          <w:noProof w:val="0"/>
        </w:rPr>
        <w:t xml:space="preserve"> </w:t>
      </w:r>
      <w:r w:rsidRPr="003406E4">
        <w:rPr>
          <w:rFonts w:ascii="Arial" w:hAnsi="Arial" w:hint="cs"/>
          <w:noProof w:val="0"/>
          <w:rtl/>
        </w:rPr>
        <w:t xml:space="preserve">וגם לאחריהן נותר מתחם שיורי שבו על הרשות לפעול ב"הגינות", כפי שמציין </w:t>
      </w:r>
      <w:r w:rsidRPr="003406E4">
        <w:rPr>
          <w:rFonts w:ascii="Arial" w:hAnsi="Arial" w:hint="cs"/>
          <w:b/>
          <w:bCs/>
          <w:noProof w:val="0"/>
          <w:rtl/>
        </w:rPr>
        <w:t>פלג, ההליך המנהלי</w:t>
      </w:r>
      <w:r w:rsidRPr="003406E4">
        <w:rPr>
          <w:rFonts w:ascii="Arial" w:hAnsi="Arial" w:hint="cs"/>
          <w:noProof w:val="0"/>
          <w:rtl/>
        </w:rPr>
        <w:t xml:space="preserve">, בעמ' 137: </w:t>
      </w:r>
      <w:r w:rsidRPr="003406E4">
        <w:rPr>
          <w:rFonts w:ascii="Arial" w:hAnsi="Arial"/>
          <w:noProof w:val="0"/>
        </w:rPr>
        <w:t>"</w:t>
      </w:r>
      <w:r w:rsidRPr="003406E4">
        <w:rPr>
          <w:rFonts w:ascii="Arial" w:hAnsi="Arial" w:hint="cs"/>
          <w:b/>
          <w:bCs/>
          <w:noProof w:val="0"/>
          <w:rtl/>
        </w:rPr>
        <w:t>מתחם זה הוא מתחם מובהק של שיקול־דעת מנהלי, שבו מוטלת על הרשות חובה לשאול את עצמה אם במקרה הנוכחי שבו היא מטפלת ההגינות מחייבת אותה להתנהל באופן מסוים</w:t>
      </w:r>
      <w:r w:rsidRPr="003406E4">
        <w:rPr>
          <w:rFonts w:ascii="Arial" w:hAnsi="Arial" w:hint="cs"/>
          <w:noProof w:val="0"/>
          <w:rtl/>
        </w:rPr>
        <w:t>".</w:t>
      </w:r>
    </w:p>
    <w:p w14:paraId="4EA88A61" w14:textId="77777777" w:rsidR="00103DFA" w:rsidRPr="003406E4" w:rsidRDefault="00103DFA" w:rsidP="00103DFA">
      <w:pPr>
        <w:spacing w:line="360" w:lineRule="auto"/>
        <w:contextualSpacing/>
        <w:jc w:val="both"/>
        <w:rPr>
          <w:rFonts w:ascii="Arial" w:hAnsi="Arial"/>
          <w:noProof w:val="0"/>
        </w:rPr>
      </w:pPr>
    </w:p>
    <w:p w14:paraId="32D18E98"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מכאן אעבור לבחון את התנהלות הרשות במקרה שלפניי. לעניין זה יש ליתן את הדעת גם להשלכות קבלת ההחלטה החדשה על השלב בו נמצא ההליך המנהלי ועל המשמעויות כתוצאה מכך.</w:t>
      </w:r>
    </w:p>
    <w:p w14:paraId="2C583184" w14:textId="77777777" w:rsidR="00103DFA" w:rsidRPr="003406E4" w:rsidRDefault="00103DFA" w:rsidP="00103DFA">
      <w:pPr>
        <w:spacing w:line="360" w:lineRule="auto"/>
        <w:contextualSpacing/>
        <w:jc w:val="both"/>
        <w:rPr>
          <w:rFonts w:ascii="Arial" w:hAnsi="Arial"/>
          <w:noProof w:val="0"/>
          <w:rtl/>
        </w:rPr>
      </w:pPr>
    </w:p>
    <w:p w14:paraId="4E7055B1" w14:textId="77777777" w:rsidR="00103DFA" w:rsidRPr="003406E4" w:rsidRDefault="00103DFA" w:rsidP="00103DFA">
      <w:pPr>
        <w:spacing w:line="360" w:lineRule="auto"/>
        <w:contextualSpacing/>
        <w:jc w:val="both"/>
        <w:rPr>
          <w:rFonts w:ascii="Arial" w:hAnsi="Arial"/>
          <w:b/>
          <w:bCs/>
          <w:noProof w:val="0"/>
          <w:u w:val="single"/>
          <w:rtl/>
        </w:rPr>
      </w:pPr>
      <w:r w:rsidRPr="003406E4">
        <w:rPr>
          <w:rFonts w:ascii="Arial" w:hAnsi="Arial" w:hint="cs"/>
          <w:b/>
          <w:bCs/>
          <w:noProof w:val="0"/>
          <w:u w:val="single"/>
          <w:rtl/>
        </w:rPr>
        <w:t xml:space="preserve">קבלת ההחלטה </w:t>
      </w:r>
      <w:r>
        <w:rPr>
          <w:rFonts w:ascii="Arial" w:hAnsi="Arial" w:hint="cs"/>
          <w:b/>
          <w:bCs/>
          <w:noProof w:val="0"/>
          <w:u w:val="single"/>
          <w:rtl/>
        </w:rPr>
        <w:t xml:space="preserve">במהלך הדיון בעתירה </w:t>
      </w:r>
      <w:r w:rsidRPr="003406E4">
        <w:rPr>
          <w:rFonts w:ascii="Arial" w:hAnsi="Arial" w:hint="cs"/>
          <w:b/>
          <w:bCs/>
          <w:noProof w:val="0"/>
          <w:u w:val="single"/>
          <w:rtl/>
        </w:rPr>
        <w:t>במקרה שלפניי</w:t>
      </w:r>
    </w:p>
    <w:p w14:paraId="46943EBE"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Arial" w:hAnsi="Arial" w:hint="cs"/>
          <w:noProof w:val="0"/>
          <w:rtl/>
        </w:rPr>
        <w:t xml:space="preserve">כאמור, העותר פנה לראשונה לרשות כדי לקבל מעמד מכוח </w:t>
      </w:r>
      <w:hyperlink r:id="rId55" w:history="1">
        <w:r w:rsidR="00CE7AF3" w:rsidRPr="00CE7AF3">
          <w:rPr>
            <w:rFonts w:ascii="Arial" w:hAnsi="Arial"/>
            <w:noProof w:val="0"/>
            <w:color w:val="0000FF"/>
            <w:u w:val="single"/>
            <w:rtl/>
          </w:rPr>
          <w:t>חוק השבות</w:t>
        </w:r>
      </w:hyperlink>
      <w:r w:rsidRPr="003406E4">
        <w:rPr>
          <w:rFonts w:ascii="Arial" w:hAnsi="Arial" w:hint="cs"/>
          <w:noProof w:val="0"/>
          <w:rtl/>
        </w:rPr>
        <w:t xml:space="preserve"> בשנת 2018, אך בקשתו נדחתה כיון שנקבע, בהחלטת הרשות מיום 21.3.18, כך (ההחלטה צורפה כנספח ג' לעתירה הקודמת): "</w:t>
      </w:r>
      <w:r w:rsidRPr="003406E4">
        <w:rPr>
          <w:rFonts w:ascii="Arial" w:hAnsi="Arial" w:hint="cs"/>
          <w:b/>
          <w:bCs/>
          <w:noProof w:val="0"/>
          <w:rtl/>
        </w:rPr>
        <w:t>בהמשך לבקשתך לקבל אשרה לפי חוק השבות, התש"י-1950, הרינו להודיעך, כי בקשתך מסורבת משום שנולדת לאם יהודיה והנך בן/בת דת אחרת</w:t>
      </w:r>
      <w:r w:rsidRPr="003406E4">
        <w:rPr>
          <w:rFonts w:ascii="Arial" w:hAnsi="Arial" w:hint="cs"/>
          <w:noProof w:val="0"/>
          <w:rtl/>
        </w:rPr>
        <w:t xml:space="preserve">". זו לשון ההחלטה במלואה, ללא כל הנמקה, או בסיס להחלטה זו. העותר טוען כי להחלטה זו קדם שימוע, תוקפני כלשונו, בו הבהיר כי אמו הייתה יהודיה ואביו נוצרי, ובו אף הבהיר כי הוא בחר לחיות כיהודי. </w:t>
      </w:r>
      <w:r>
        <w:rPr>
          <w:rFonts w:ascii="Arial" w:hAnsi="Arial" w:hint="cs"/>
          <w:noProof w:val="0"/>
          <w:rtl/>
        </w:rPr>
        <w:t>ההחלטה אינה מפרטת מה בדיוק נאמר בריאיון.</w:t>
      </w:r>
    </w:p>
    <w:p w14:paraId="4037D7E4" w14:textId="77777777" w:rsidR="00103DFA" w:rsidRPr="003406E4" w:rsidRDefault="00103DFA" w:rsidP="00103DFA">
      <w:pPr>
        <w:spacing w:line="360" w:lineRule="auto"/>
        <w:contextualSpacing/>
        <w:jc w:val="both"/>
        <w:rPr>
          <w:rFonts w:ascii="Arial" w:hAnsi="Arial"/>
          <w:noProof w:val="0"/>
        </w:rPr>
      </w:pPr>
    </w:p>
    <w:p w14:paraId="396209A4"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Arial" w:hAnsi="Arial" w:hint="cs"/>
          <w:noProof w:val="0"/>
          <w:rtl/>
        </w:rPr>
        <w:t xml:space="preserve">ביום 29.6.23 הגיש העותר את העתירה </w:t>
      </w:r>
      <w:r>
        <w:rPr>
          <w:rFonts w:ascii="Arial" w:hAnsi="Arial" w:hint="cs"/>
          <w:noProof w:val="0"/>
          <w:rtl/>
        </w:rPr>
        <w:t xml:space="preserve"> הקודמת (</w:t>
      </w:r>
      <w:hyperlink r:id="rId56" w:history="1">
        <w:r w:rsidR="00CE7AF3" w:rsidRPr="00CE7AF3">
          <w:rPr>
            <w:rFonts w:ascii="Arial" w:hAnsi="Arial"/>
            <w:noProof w:val="0"/>
            <w:color w:val="0000FF"/>
            <w:u w:val="single"/>
            <w:rtl/>
          </w:rPr>
          <w:t>עת"מ 62160-06-23</w:t>
        </w:r>
      </w:hyperlink>
      <w:r w:rsidRPr="003406E4">
        <w:rPr>
          <w:rFonts w:ascii="Arial" w:hAnsi="Arial" w:hint="cs"/>
          <w:noProof w:val="0"/>
          <w:rtl/>
        </w:rPr>
        <w:t>)</w:t>
      </w:r>
      <w:r w:rsidR="00D93CD0">
        <w:rPr>
          <w:rFonts w:ascii="Arial" w:hAnsi="Arial" w:hint="cs"/>
          <w:noProof w:val="0"/>
          <w:rtl/>
        </w:rPr>
        <w:t xml:space="preserve">, </w:t>
      </w:r>
      <w:r w:rsidR="00D93CD0">
        <w:rPr>
          <w:rFonts w:ascii="Arial" w:hAnsi="Arial"/>
          <w:noProof w:val="0"/>
          <w:rtl/>
        </w:rPr>
        <w:t>[נבו]</w:t>
      </w:r>
      <w:r w:rsidRPr="003406E4">
        <w:rPr>
          <w:rFonts w:ascii="Arial" w:hAnsi="Arial" w:hint="cs"/>
          <w:noProof w:val="0"/>
          <w:rtl/>
        </w:rPr>
        <w:t xml:space="preserve">, אך זאת, רק מספר שנים לאחר דחיית בקשתו המקורית בשנת 2018. העותר טוען כי במועד הריאיון בשנת 2018 נמסרה לו אותה החלטה בעל פה, ורק כשהגיע לישראל ופנה למשרד הפנים, ביום 25.6.23, נמסרה לו ההחלטה הכתובה משנת 2018. </w:t>
      </w:r>
    </w:p>
    <w:p w14:paraId="01189AD2" w14:textId="77777777" w:rsidR="00103DFA" w:rsidRPr="003406E4" w:rsidRDefault="00103DFA" w:rsidP="00103DFA">
      <w:pPr>
        <w:spacing w:before="240"/>
        <w:ind w:left="720"/>
        <w:contextualSpacing/>
        <w:jc w:val="both"/>
        <w:rPr>
          <w:rFonts w:ascii="Arial" w:hAnsi="Arial"/>
          <w:noProof w:val="0"/>
        </w:rPr>
      </w:pPr>
    </w:p>
    <w:p w14:paraId="27F80D48"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בית המשפט</w:t>
      </w:r>
      <w:r>
        <w:rPr>
          <w:rFonts w:ascii="Arial" w:hAnsi="Arial" w:hint="cs"/>
          <w:noProof w:val="0"/>
          <w:rtl/>
        </w:rPr>
        <w:t xml:space="preserve"> בעתירה הקודמת</w:t>
      </w:r>
      <w:r w:rsidRPr="003406E4">
        <w:rPr>
          <w:rFonts w:ascii="Arial" w:hAnsi="Arial" w:hint="cs"/>
          <w:noProof w:val="0"/>
          <w:rtl/>
        </w:rPr>
        <w:t xml:space="preserve"> הורה לרשות להגיש תגובה לעתירה. הרשות, </w:t>
      </w:r>
      <w:r w:rsidRPr="00E457D9">
        <w:rPr>
          <w:rFonts w:ascii="Arial" w:hAnsi="Arial" w:hint="cs"/>
          <w:b/>
          <w:bCs/>
          <w:noProof w:val="0"/>
          <w:rtl/>
        </w:rPr>
        <w:t>חלף הגשת תגובה לבית המשפט בעתירה הקודמת</w:t>
      </w:r>
      <w:r w:rsidRPr="003406E4">
        <w:rPr>
          <w:rFonts w:ascii="Arial" w:hAnsi="Arial" w:hint="cs"/>
          <w:noProof w:val="0"/>
          <w:rtl/>
        </w:rPr>
        <w:t>, על פי החלטת</w:t>
      </w:r>
      <w:r>
        <w:rPr>
          <w:rFonts w:ascii="Arial" w:hAnsi="Arial" w:hint="cs"/>
          <w:noProof w:val="0"/>
          <w:rtl/>
        </w:rPr>
        <w:t xml:space="preserve"> בית המשפט</w:t>
      </w:r>
      <w:r w:rsidRPr="003406E4">
        <w:rPr>
          <w:rFonts w:ascii="Arial" w:hAnsi="Arial" w:hint="cs"/>
          <w:noProof w:val="0"/>
          <w:rtl/>
        </w:rPr>
        <w:t xml:space="preserve">, הגישה "הודעה" ובה </w:t>
      </w:r>
      <w:r>
        <w:rPr>
          <w:rFonts w:ascii="Arial" w:hAnsi="Arial" w:hint="cs"/>
          <w:noProof w:val="0"/>
          <w:rtl/>
        </w:rPr>
        <w:t>טענה שיש למחוק את העתירה כיון שהוגשה בשיהוי, ויש לבחון את מצב הדברים בעקבות הזמן שחלף. היינו, הרשות ביקשה למחוק את העתירה הקודמת לצורך קבלת החלטה חדשה על ידי הרשות. וזה נוסח הבקשה</w:t>
      </w:r>
      <w:r w:rsidRPr="003406E4">
        <w:rPr>
          <w:rFonts w:ascii="Arial" w:hAnsi="Arial" w:hint="cs"/>
          <w:noProof w:val="0"/>
          <w:rtl/>
        </w:rPr>
        <w:t xml:space="preserve"> (הודעת הרשות מיום  1.11.23 בעתירה הקודמת):</w:t>
      </w:r>
    </w:p>
    <w:p w14:paraId="72225653" w14:textId="77777777" w:rsidR="00103DFA" w:rsidRPr="003406E4" w:rsidRDefault="00103DFA" w:rsidP="00103DFA">
      <w:pPr>
        <w:ind w:left="567" w:right="567"/>
        <w:contextualSpacing/>
        <w:jc w:val="both"/>
        <w:rPr>
          <w:rFonts w:ascii="Arial" w:hAnsi="Arial"/>
          <w:b/>
          <w:bCs/>
          <w:noProof w:val="0"/>
          <w:u w:val="single"/>
        </w:rPr>
      </w:pPr>
      <w:r w:rsidRPr="003406E4">
        <w:rPr>
          <w:rFonts w:ascii="Arial" w:hAnsi="Arial"/>
          <w:noProof w:val="0"/>
          <w:rtl/>
        </w:rPr>
        <w:t xml:space="preserve"> </w:t>
      </w:r>
      <w:r w:rsidRPr="003406E4">
        <w:rPr>
          <w:rFonts w:ascii="Arial" w:hAnsi="Arial" w:hint="cs"/>
          <w:b/>
          <w:bCs/>
          <w:noProof w:val="0"/>
          <w:rtl/>
        </w:rPr>
        <w:t xml:space="preserve">"1.עניינה של העתירה הוא </w:t>
      </w:r>
      <w:r w:rsidRPr="003406E4">
        <w:rPr>
          <w:rFonts w:ascii="Arial" w:hAnsi="Arial" w:hint="cs"/>
          <w:b/>
          <w:bCs/>
          <w:noProof w:val="0"/>
          <w:u w:val="single"/>
          <w:rtl/>
        </w:rPr>
        <w:t xml:space="preserve">בהחלטת המשיבה  מיום 21.3.18, לדחות את בקשת העותר לקבל מעמד בישראל מכוח </w:t>
      </w:r>
      <w:hyperlink r:id="rId57" w:history="1">
        <w:r w:rsidR="00CE7AF3" w:rsidRPr="00CE7AF3">
          <w:rPr>
            <w:rFonts w:ascii="Arial" w:hAnsi="Arial"/>
            <w:b/>
            <w:bCs/>
            <w:noProof w:val="0"/>
            <w:color w:val="0000FF"/>
            <w:u w:val="single"/>
            <w:rtl/>
          </w:rPr>
          <w:t>חוק השבות</w:t>
        </w:r>
      </w:hyperlink>
      <w:r w:rsidRPr="003406E4">
        <w:rPr>
          <w:rFonts w:ascii="Arial" w:hAnsi="Arial" w:hint="cs"/>
          <w:b/>
          <w:bCs/>
          <w:noProof w:val="0"/>
          <w:u w:val="single"/>
          <w:rtl/>
        </w:rPr>
        <w:t xml:space="preserve"> וזאת לאחר שנמצא כי הוא בן דת אחרת.</w:t>
      </w:r>
    </w:p>
    <w:p w14:paraId="2A56AB52"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2.החלטה אשר התקבלה לפני למעלה מחמש שנים. כך שדי בכך היה להביא לסילוק העתירה מחמת שיהוי כבד.</w:t>
      </w:r>
    </w:p>
    <w:p w14:paraId="59F74014"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3 ]נוגע לבקשה לצו ביניים – הושמט]</w:t>
      </w:r>
    </w:p>
    <w:p w14:paraId="7D62308E"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 xml:space="preserve">4.עם זאת מבלי להודות בטענות העותר ומבלי לגרוע מאף לא אחת מטענות המשיבים, </w:t>
      </w:r>
      <w:r w:rsidRPr="003406E4">
        <w:rPr>
          <w:rFonts w:ascii="Arial" w:hAnsi="Arial" w:hint="cs"/>
          <w:b/>
          <w:bCs/>
          <w:noProof w:val="0"/>
          <w:u w:val="single"/>
          <w:rtl/>
        </w:rPr>
        <w:t>מאחר שבהחלטות מסוג זה העומדת במרכז העתירה יש משמעות לזמן שחלף, ככל שהעותר יבקש להגיש בקשה חדשה היא לא תידחה</w:t>
      </w:r>
      <w:r w:rsidRPr="003406E4">
        <w:rPr>
          <w:rFonts w:ascii="Arial" w:hAnsi="Arial" w:hint="cs"/>
          <w:b/>
          <w:bCs/>
          <w:noProof w:val="0"/>
          <w:rtl/>
        </w:rPr>
        <w:t xml:space="preserve">. ויובהר כי הסכמה זו נוגעת רק לעצם האפשרות להגיש בקשה. </w:t>
      </w:r>
    </w:p>
    <w:p w14:paraId="3AEDAA01"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5. [הושמט – בקשת ב"כ העותר להגיש תגובה]</w:t>
      </w:r>
    </w:p>
    <w:p w14:paraId="4A9FA9ED"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lastRenderedPageBreak/>
        <w:t>6. בנסיבות אלה סבורים המשיבים כי דיון בעתירה במתכונתה הנוכחית תהיה השחתת זמן שיפוטי יקר"</w:t>
      </w:r>
    </w:p>
    <w:p w14:paraId="6A46C076" w14:textId="77777777" w:rsidR="00103DFA" w:rsidRPr="003406E4" w:rsidRDefault="00103DFA" w:rsidP="00103DFA">
      <w:pPr>
        <w:ind w:left="567" w:right="567"/>
        <w:contextualSpacing/>
        <w:jc w:val="both"/>
        <w:rPr>
          <w:rFonts w:ascii="Arial" w:hAnsi="Arial"/>
          <w:noProof w:val="0"/>
          <w:rtl/>
        </w:rPr>
      </w:pPr>
      <w:r w:rsidRPr="003406E4">
        <w:rPr>
          <w:rFonts w:ascii="Arial" w:hAnsi="Arial" w:hint="cs"/>
          <w:noProof w:val="0"/>
          <w:rtl/>
        </w:rPr>
        <w:t xml:space="preserve">(הדגשות שלי – מ' א' ג'). </w:t>
      </w:r>
    </w:p>
    <w:p w14:paraId="37526721" w14:textId="77777777" w:rsidR="00103DFA" w:rsidRPr="003406E4" w:rsidRDefault="00103DFA" w:rsidP="00103DFA">
      <w:pPr>
        <w:spacing w:line="360" w:lineRule="auto"/>
        <w:contextualSpacing/>
        <w:jc w:val="both"/>
        <w:rPr>
          <w:rFonts w:ascii="Arial" w:hAnsi="Arial"/>
          <w:noProof w:val="0"/>
          <w:rtl/>
        </w:rPr>
      </w:pPr>
    </w:p>
    <w:p w14:paraId="6F4B24EB"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העותר הגיש תגובה וטען כי לא היה כל בסיס לאותה החלטה, כי הוא ומשפחתו פליטים באוקראינה בשל המלחמה, והוסיף (פס' 15 לתגובת העותר מיום 5.11.23 בעתירה הקודמת):</w:t>
      </w:r>
    </w:p>
    <w:p w14:paraId="30D43399"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"על פניו נוצר הרושם כי המשיבה משחיתה את זמנו של בית המשפט ושל העותרים, בהעדר כל בסיס לטענה לדחיית בקשתו של העותר, וכי מה תועיל בקשה חדשה? שמא העובדות ישתנו? כלום אין, כל שכן נסיון לשלח את העותרים כלעומת שבאו, ולמנוע מהם את יומם בבית המשפט".</w:t>
      </w:r>
    </w:p>
    <w:p w14:paraId="57CC4188" w14:textId="77777777" w:rsidR="00103DFA" w:rsidRPr="003406E4" w:rsidRDefault="00103DFA" w:rsidP="00103DFA">
      <w:pPr>
        <w:spacing w:line="360" w:lineRule="auto"/>
        <w:contextualSpacing/>
        <w:jc w:val="both"/>
        <w:rPr>
          <w:rFonts w:ascii="Arial" w:hAnsi="Arial"/>
          <w:noProof w:val="0"/>
          <w:rtl/>
        </w:rPr>
      </w:pPr>
    </w:p>
    <w:p w14:paraId="51FAED26"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המשיבה הגיבה לדברי העותר (תגובת המשיבה מיום 14.11.23 בעתירה הקודמת), וציינה, בין השאר, כך:</w:t>
      </w:r>
    </w:p>
    <w:p w14:paraId="2268B67B"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 xml:space="preserve">"לגופם של דברים, המשיבים שבים  על עמדתם כי דיון בעתירה שבכותרת תהיה השחתת זמן שיפוטי יקר והשחתת זמנם של הצדדים..... </w:t>
      </w:r>
      <w:r w:rsidRPr="003406E4">
        <w:rPr>
          <w:rFonts w:ascii="Arial" w:hAnsi="Arial" w:hint="cs"/>
          <w:b/>
          <w:bCs/>
          <w:noProof w:val="0"/>
          <w:u w:val="single"/>
          <w:rtl/>
        </w:rPr>
        <w:t>ויודגש כי בסוגיה העומדת במרכז ההליך (החלטה בהיות העותר בן דת אחרת), יש משמעות מהותית לזמן שחולף.</w:t>
      </w:r>
      <w:r w:rsidRPr="003406E4">
        <w:rPr>
          <w:rFonts w:ascii="Arial" w:hAnsi="Arial" w:hint="cs"/>
          <w:b/>
          <w:bCs/>
          <w:noProof w:val="0"/>
          <w:rtl/>
        </w:rPr>
        <w:t xml:space="preserve"> לנתון הזמן יש משמעות, והוא פועל במקרה שלפנינו לכיוונם של שני הצדדים. </w:t>
      </w:r>
      <w:r w:rsidRPr="003406E4">
        <w:rPr>
          <w:rFonts w:ascii="Arial" w:hAnsi="Arial" w:hint="cs"/>
          <w:b/>
          <w:bCs/>
          <w:noProof w:val="0"/>
          <w:u w:val="single"/>
          <w:rtl/>
        </w:rPr>
        <w:t>לכן גם מבחינה מעשית אין כל טעם לנהל דיון על החלטה שהתקבלה על בסיס עובדתי שהתקיים לפני למעלה מחמש שנים....</w:t>
      </w:r>
    </w:p>
    <w:p w14:paraId="262D40D6"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בנסיבות אלה כאשר המשיבים נכונים לשוב ולתת החלטה חדשה וזאת, כאמור מבלי להודות בטענות העותרים או לגרוע מכל טענה העומדת למשיבים, שבים המשיבים על טענתם כי דיון בעתירה במתכונתה הנוכחית תהיה השחתת זמן שיפוטי יקר...."</w:t>
      </w:r>
    </w:p>
    <w:p w14:paraId="311D1567" w14:textId="77777777" w:rsidR="00103DFA" w:rsidRPr="003406E4" w:rsidRDefault="00103DFA" w:rsidP="00103DFA">
      <w:pPr>
        <w:ind w:left="567" w:right="567"/>
        <w:contextualSpacing/>
        <w:jc w:val="both"/>
        <w:rPr>
          <w:rFonts w:ascii="Arial" w:hAnsi="Arial"/>
          <w:noProof w:val="0"/>
          <w:rtl/>
        </w:rPr>
      </w:pPr>
      <w:r w:rsidRPr="003406E4">
        <w:rPr>
          <w:rFonts w:ascii="Arial" w:hAnsi="Arial" w:hint="cs"/>
          <w:noProof w:val="0"/>
          <w:rtl/>
        </w:rPr>
        <w:t>(הדגשה שלי – מ' א' ג').</w:t>
      </w:r>
    </w:p>
    <w:p w14:paraId="43CAEB15" w14:textId="77777777" w:rsidR="00103DFA" w:rsidRDefault="00103DFA" w:rsidP="00103DFA">
      <w:pPr>
        <w:spacing w:line="360" w:lineRule="auto"/>
        <w:contextualSpacing/>
        <w:jc w:val="both"/>
        <w:rPr>
          <w:rFonts w:ascii="Arial" w:hAnsi="Arial"/>
          <w:noProof w:val="0"/>
          <w:rtl/>
        </w:rPr>
      </w:pPr>
    </w:p>
    <w:p w14:paraId="5AA95639" w14:textId="77777777" w:rsidR="00103DFA" w:rsidRDefault="00103DFA" w:rsidP="00103DFA">
      <w:pPr>
        <w:spacing w:line="360" w:lineRule="auto"/>
        <w:contextualSpacing/>
        <w:jc w:val="both"/>
        <w:rPr>
          <w:rFonts w:ascii="Arial" w:hAnsi="Arial"/>
          <w:noProof w:val="0"/>
          <w:rtl/>
        </w:rPr>
      </w:pPr>
      <w:r>
        <w:rPr>
          <w:rFonts w:ascii="Arial" w:hAnsi="Arial" w:hint="cs"/>
          <w:noProof w:val="0"/>
          <w:rtl/>
        </w:rPr>
        <w:t>היינו, הרשות סברה שכיון שדחיית הבקשה המקורית נעשתה בשל המרת דת, יש לבחון את מצב הדברים העדכני נכון לשנת 2023. אולם, כפי שיפורט בהרחבה להלן, על אף שבקשתה התקבלה, הרשות לא נהגה כך.</w:t>
      </w:r>
    </w:p>
    <w:p w14:paraId="2D5DC17E" w14:textId="77777777" w:rsidR="00103DFA" w:rsidRPr="003406E4" w:rsidRDefault="00103DFA" w:rsidP="00103DFA">
      <w:pPr>
        <w:spacing w:line="360" w:lineRule="auto"/>
        <w:contextualSpacing/>
        <w:jc w:val="both"/>
        <w:rPr>
          <w:rFonts w:ascii="Arial" w:hAnsi="Arial"/>
          <w:noProof w:val="0"/>
          <w:rtl/>
        </w:rPr>
      </w:pPr>
    </w:p>
    <w:p w14:paraId="00D4D120"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בעקבות זאת, ניתן, ביום 14.11.23 פסק דין בעתירה הקודמת בו הורה בית המשפט על מחיקת העתירה ללא צו להוצאות. כב' השופטת עינת זינגר ציינה בין היתר בהחלטה כי: "</w:t>
      </w:r>
      <w:r w:rsidRPr="003406E4">
        <w:rPr>
          <w:rFonts w:ascii="Arial" w:hAnsi="Arial" w:hint="cs"/>
          <w:b/>
          <w:bCs/>
          <w:noProof w:val="0"/>
          <w:rtl/>
        </w:rPr>
        <w:t>יוער, כי אף אם הייתה העתירה נשמעת לגופה, הרי שבין השאר, לנוכח חלוף הזמן – יש סבירות להנחה כי ככל שזו הייתה מתקבלת, כל שהיה נקבע הוא כי על הרשות לשוב ולבחון שוב עמדתה</w:t>
      </w:r>
      <w:r w:rsidRPr="003406E4">
        <w:rPr>
          <w:rFonts w:ascii="Arial" w:hAnsi="Arial" w:hint="cs"/>
          <w:noProof w:val="0"/>
          <w:rtl/>
        </w:rPr>
        <w:t>". והוסיפה: "</w:t>
      </w:r>
      <w:r w:rsidRPr="003406E4">
        <w:rPr>
          <w:rFonts w:ascii="Arial" w:hAnsi="Arial" w:hint="cs"/>
          <w:b/>
          <w:bCs/>
          <w:noProof w:val="0"/>
          <w:rtl/>
        </w:rPr>
        <w:t>עת תוגש הבקשה החדשה, מתבקשים המשיבים לעשות כמיטב יכולתם לבוחנה בהקדם</w:t>
      </w:r>
      <w:r w:rsidRPr="003406E4">
        <w:rPr>
          <w:rFonts w:ascii="Arial" w:hAnsi="Arial" w:hint="cs"/>
          <w:noProof w:val="0"/>
          <w:rtl/>
        </w:rPr>
        <w:t>".</w:t>
      </w:r>
    </w:p>
    <w:p w14:paraId="7F675DA3" w14:textId="77777777" w:rsidR="00103DFA" w:rsidRPr="003406E4" w:rsidRDefault="00103DFA" w:rsidP="00103DFA">
      <w:pPr>
        <w:spacing w:line="360" w:lineRule="auto"/>
        <w:contextualSpacing/>
        <w:jc w:val="both"/>
        <w:rPr>
          <w:rFonts w:ascii="Arial" w:hAnsi="Arial"/>
          <w:noProof w:val="0"/>
          <w:rtl/>
        </w:rPr>
      </w:pPr>
    </w:p>
    <w:p w14:paraId="3B802C14"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היינו, העתירה הקודמת נמחקה לאור הודעת הרשות כי לאור חלוף הזמן היא נכונה לבחון בשנית את עניינם של העותרים, והחלטת בית המשפט לפיה על הרשות לבחון את המסד העובדתי העדכני, והנסיבות לאחר כחמש שנים. ניתן היה לצפות, לאור חובת ההגינות של הרשות</w:t>
      </w:r>
      <w:r>
        <w:rPr>
          <w:rFonts w:ascii="Arial" w:hAnsi="Arial" w:hint="cs"/>
          <w:noProof w:val="0"/>
          <w:rtl/>
        </w:rPr>
        <w:t>,</w:t>
      </w:r>
      <w:r w:rsidRPr="003406E4">
        <w:rPr>
          <w:rFonts w:ascii="Arial" w:hAnsi="Arial" w:hint="cs"/>
          <w:noProof w:val="0"/>
          <w:rtl/>
        </w:rPr>
        <w:t xml:space="preserve"> כי אכן תתייחס לנסיבות חדשות, או לכל הפחות תתייחס לטיעוני העותר בעתירה הקודמת שנמחקה, בכל הנוגע לכך שאינו בן דת אחרת. לא כך נהגה הרשות. </w:t>
      </w:r>
    </w:p>
    <w:p w14:paraId="3F27D601" w14:textId="77777777" w:rsidR="00103DFA" w:rsidRPr="003406E4" w:rsidRDefault="00103DFA" w:rsidP="00103DFA">
      <w:pPr>
        <w:spacing w:line="360" w:lineRule="auto"/>
        <w:contextualSpacing/>
        <w:jc w:val="both"/>
        <w:rPr>
          <w:rFonts w:ascii="Arial" w:hAnsi="Arial"/>
          <w:noProof w:val="0"/>
        </w:rPr>
      </w:pPr>
    </w:p>
    <w:p w14:paraId="7649BCED"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 xml:space="preserve">ביום 10.7.24, כשמונה חודשים לאחר מתן פסק הדין בעתירה הקודמת, הוגשה במסגרתה בקשה לפי </w:t>
      </w:r>
      <w:hyperlink r:id="rId58" w:history="1">
        <w:r w:rsidR="0055401E" w:rsidRPr="0055401E">
          <w:rPr>
            <w:rStyle w:val="Hyperlink"/>
            <w:rFonts w:ascii="Arial" w:hAnsi="Arial" w:hint="eastAsia"/>
            <w:noProof w:val="0"/>
            <w:rtl/>
          </w:rPr>
          <w:t>ס</w:t>
        </w:r>
        <w:r w:rsidR="0055401E" w:rsidRPr="0055401E">
          <w:rPr>
            <w:rStyle w:val="Hyperlink"/>
            <w:rFonts w:ascii="Arial" w:hAnsi="Arial"/>
            <w:noProof w:val="0"/>
            <w:rtl/>
          </w:rPr>
          <w:t>' 6</w:t>
        </w:r>
      </w:hyperlink>
      <w:r w:rsidRPr="003406E4">
        <w:rPr>
          <w:rFonts w:ascii="Arial" w:hAnsi="Arial" w:hint="cs"/>
          <w:noProof w:val="0"/>
          <w:rtl/>
        </w:rPr>
        <w:t xml:space="preserve"> ל</w:t>
      </w:r>
      <w:hyperlink r:id="rId59" w:history="1">
        <w:r w:rsidR="00CE7AF3" w:rsidRPr="00CE7AF3">
          <w:rPr>
            <w:rFonts w:ascii="Arial" w:hAnsi="Arial"/>
            <w:noProof w:val="0"/>
            <w:color w:val="0000FF"/>
            <w:u w:val="single"/>
            <w:rtl/>
          </w:rPr>
          <w:t>פקודת בזיון בית המשפט</w:t>
        </w:r>
      </w:hyperlink>
      <w:r w:rsidRPr="003406E4">
        <w:rPr>
          <w:rFonts w:ascii="Arial" w:hAnsi="Arial" w:hint="cs"/>
          <w:noProof w:val="0"/>
          <w:rtl/>
        </w:rPr>
        <w:t xml:space="preserve"> (להלן: </w:t>
      </w:r>
      <w:r w:rsidRPr="00830F76">
        <w:rPr>
          <w:rFonts w:ascii="Arial" w:hAnsi="Arial" w:hint="cs"/>
          <w:b/>
          <w:bCs/>
          <w:noProof w:val="0"/>
          <w:rtl/>
        </w:rPr>
        <w:t>הבקשה לפי פקודת הבזיון</w:t>
      </w:r>
      <w:r w:rsidRPr="003406E4">
        <w:rPr>
          <w:rFonts w:ascii="Arial" w:hAnsi="Arial" w:hint="cs"/>
          <w:noProof w:val="0"/>
          <w:rtl/>
        </w:rPr>
        <w:t>). בבקשה מתאר העותר כך את השתלשלות העניינים לאחר מתן פסק דינו של בית המשפט בעתירה הקודמת:</w:t>
      </w:r>
    </w:p>
    <w:p w14:paraId="05E1C4C4"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lastRenderedPageBreak/>
        <w:t>"למרבה הצער, חששו של העותר כפי שהובא בכתבי הטענות כי המשיבה תייצר סחבת מלאכותית התממש.....בפועל חלפה יותר משנה מאז הוגשה העתירה ו-8 חודשים מאז ניתן פסק הדין, המשיבה עושה ככל שביכולתה כדי להתיש את העותר ולסקל [כך במקור] ולמ</w:t>
      </w:r>
      <w:r>
        <w:rPr>
          <w:rFonts w:ascii="Arial" w:hAnsi="Arial" w:hint="cs"/>
          <w:b/>
          <w:bCs/>
          <w:noProof w:val="0"/>
          <w:rtl/>
        </w:rPr>
        <w:t>נ</w:t>
      </w:r>
      <w:r w:rsidRPr="003406E4">
        <w:rPr>
          <w:rFonts w:ascii="Arial" w:hAnsi="Arial" w:hint="cs"/>
          <w:b/>
          <w:bCs/>
          <w:noProof w:val="0"/>
          <w:rtl/>
        </w:rPr>
        <w:t xml:space="preserve">וע את זכותו לפי </w:t>
      </w:r>
      <w:hyperlink r:id="rId60" w:history="1">
        <w:r w:rsidR="00CE7AF3" w:rsidRPr="00CE7AF3">
          <w:rPr>
            <w:rFonts w:ascii="Arial" w:hAnsi="Arial"/>
            <w:b/>
            <w:bCs/>
            <w:noProof w:val="0"/>
            <w:color w:val="0000FF"/>
            <w:u w:val="single"/>
            <w:rtl/>
          </w:rPr>
          <w:t>חוק השבות</w:t>
        </w:r>
      </w:hyperlink>
      <w:r w:rsidRPr="003406E4">
        <w:rPr>
          <w:rFonts w:ascii="Arial" w:hAnsi="Arial" w:hint="cs"/>
          <w:b/>
          <w:bCs/>
          <w:noProof w:val="0"/>
          <w:rtl/>
        </w:rPr>
        <w:t xml:space="preserve"> בהיותו יהודי, משחלפו 8 חודשים מאז מתן פסק הדין, והעותר מילא בדוקנות את דרישות המשיבה לא הניבו כלום, זאת באותה עת שהעותר מבקש לנוס על נפשו לישראל.....</w:t>
      </w:r>
    </w:p>
    <w:p w14:paraId="41463FA3"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זאת ועוד, ניסיונות רבים מספור לפנות את המשיבה וב"כ לא נענים כלל, או לכל היותר נענים כי בודקים, בפועל כלום אין! העותר לא יכול לעלות לישראל משתשובה אין..... העתירה נמחקה רק בשל טענתו של המשיב כי נדרשת בקשה חדשה, וכי היא תפעל לבירורה במהירות, תוך התחייבות לבית המשפט לסייע ולקדם ההליך מהר ככל הניתן, בפועל העתירה נמחקה ע"ס הצהרת המשיבה, ומאז כלום אין."</w:t>
      </w:r>
    </w:p>
    <w:p w14:paraId="3F041F0A" w14:textId="77777777" w:rsidR="00103DFA" w:rsidRPr="003406E4" w:rsidRDefault="00103DFA" w:rsidP="00103DFA">
      <w:pPr>
        <w:spacing w:line="360" w:lineRule="auto"/>
        <w:contextualSpacing/>
        <w:jc w:val="both"/>
        <w:rPr>
          <w:rFonts w:ascii="Arial" w:hAnsi="Arial"/>
          <w:noProof w:val="0"/>
          <w:rtl/>
        </w:rPr>
      </w:pPr>
    </w:p>
    <w:p w14:paraId="1C279FC5"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העותר ממשיך ומפרט שם את הפניות שנאלץ לפנות לב"כ הרשות, תחילה לצורך הגשת בקשה חדשה, שרק בשל התערבות ב"כ המשיבה הצליח להגישה. כן מפרט כי זומן להתייצב לפגישה ביום 4.1.24, ואז לראיון ביום 13.2.24. לטענת העותר בבקשה לפי פקודת הביזיון, בסוף הראיון: "</w:t>
      </w:r>
      <w:r w:rsidRPr="003406E4">
        <w:rPr>
          <w:rFonts w:ascii="Arial" w:hAnsi="Arial" w:hint="cs"/>
          <w:b/>
          <w:bCs/>
          <w:noProof w:val="0"/>
          <w:rtl/>
        </w:rPr>
        <w:t>הוסבר לו כי לא ברור מדוע פנה שוב, החלטה זו ניתנה זה מכבר לפני מספר שנים ואין ולא תהיה אחרת</w:t>
      </w:r>
      <w:r w:rsidRPr="003406E4">
        <w:rPr>
          <w:rFonts w:ascii="Arial" w:hAnsi="Arial" w:hint="cs"/>
          <w:noProof w:val="0"/>
          <w:rtl/>
        </w:rPr>
        <w:t>." כן צוין כי בסוף הראיון נאמר לעותר כי החלטה זהה לקודמת תתקבל תוך ימים ספורים. עוד מפרט העותר בבקשה לפי פקודת הביזיון בעתירה הקודמת כי לאחר פניות חוזרות ונשנות לשגרירות ישראל בריגה שבלטביה ולב"כ המשיבה</w:t>
      </w:r>
      <w:r>
        <w:rPr>
          <w:rFonts w:ascii="Arial" w:hAnsi="Arial" w:hint="cs"/>
          <w:noProof w:val="0"/>
          <w:rtl/>
        </w:rPr>
        <w:t>,</w:t>
      </w:r>
      <w:r w:rsidRPr="003406E4">
        <w:rPr>
          <w:rFonts w:ascii="Arial" w:hAnsi="Arial" w:hint="cs"/>
          <w:noProof w:val="0"/>
          <w:rtl/>
        </w:rPr>
        <w:t xml:space="preserve"> הוא זומן שוב לשגרירות בלטביה, וביום 23.5.24, לאחר שהגיע במיוחד ללטביה, נשאל </w:t>
      </w:r>
      <w:r>
        <w:rPr>
          <w:rFonts w:ascii="Arial" w:hAnsi="Arial" w:hint="cs"/>
          <w:noProof w:val="0"/>
          <w:rtl/>
        </w:rPr>
        <w:t xml:space="preserve">שוב </w:t>
      </w:r>
      <w:r w:rsidRPr="003406E4">
        <w:rPr>
          <w:rFonts w:ascii="Arial" w:hAnsi="Arial" w:hint="cs"/>
          <w:noProof w:val="0"/>
          <w:rtl/>
        </w:rPr>
        <w:t>את אותן שאלות בדיוק. כששאל לאיזה צורך זומן שוב נענה, כך לפי דבריו, כי: "</w:t>
      </w:r>
      <w:r w:rsidRPr="003406E4">
        <w:rPr>
          <w:rFonts w:ascii="Arial" w:hAnsi="Arial" w:hint="cs"/>
          <w:b/>
          <w:bCs/>
          <w:noProof w:val="0"/>
          <w:rtl/>
        </w:rPr>
        <w:t>לא מוצאים את החומר, וכי יש לעבור שוב את הריאיון. בהמשך הביע נציג השגרירות תסכול והסביר כי לא ברור מדוע נפתח שוב התיק, משהחלטה ניתנה זה מכבר, וכי שום דבר לא יכול להשתנות. לדברי הנציג נדרשו ע"י משרד הפנים לפתוח התיק בשנית, ואולם התשובה היא אותה תשובה, וההחלטה אשר ניתנה עומדת בעינה, משהעובדות הן אותן עובדות ולא ברור לנציג כלל מדוע זומן העותר שוב"</w:t>
      </w:r>
      <w:r w:rsidRPr="003406E4">
        <w:rPr>
          <w:rFonts w:ascii="Arial" w:hAnsi="Arial" w:hint="cs"/>
          <w:noProof w:val="0"/>
          <w:rtl/>
        </w:rPr>
        <w:t xml:space="preserve"> (פס' 4 לבקשה לפי פקודת הבזיון). </w:t>
      </w:r>
    </w:p>
    <w:p w14:paraId="372919F0" w14:textId="77777777" w:rsidR="00103DFA" w:rsidRPr="003406E4" w:rsidRDefault="00103DFA" w:rsidP="00103DFA">
      <w:pPr>
        <w:spacing w:line="360" w:lineRule="auto"/>
        <w:contextualSpacing/>
        <w:jc w:val="both"/>
        <w:rPr>
          <w:rFonts w:ascii="Arial" w:hAnsi="Arial"/>
          <w:noProof w:val="0"/>
          <w:rtl/>
        </w:rPr>
      </w:pPr>
    </w:p>
    <w:p w14:paraId="3ED4F011"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עוד הוסיף, בפס' 6, דברים החשובים לענייננו, כאילו צפה את הנולד:</w:t>
      </w:r>
    </w:p>
    <w:p w14:paraId="0A0A9AE4"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noProof w:val="0"/>
          <w:rtl/>
        </w:rPr>
        <w:t>"</w:t>
      </w:r>
      <w:r w:rsidRPr="003406E4">
        <w:rPr>
          <w:rFonts w:ascii="Arial" w:hAnsi="Arial" w:hint="cs"/>
          <w:b/>
          <w:bCs/>
          <w:noProof w:val="0"/>
          <w:rtl/>
        </w:rPr>
        <w:t>למרבה הצער, העותר מותש, עתירה חדשה אין טעם להגיש משהמשיבה תטען כי יש להמתין להחלטה, ולמצות ההליך, וכי לא ניתן לברר העתירה, מנגד המשיבה עיקשת שלא לטפל בעותר, לגרור את עניינו בלי סוף, תוך עינוי דין ממשי, עת העותר נותר תלוי באוויר...."</w:t>
      </w:r>
    </w:p>
    <w:p w14:paraId="53E4C0B8" w14:textId="77777777" w:rsidR="00103DFA" w:rsidRPr="003406E4" w:rsidRDefault="00103DFA" w:rsidP="00103DFA">
      <w:pPr>
        <w:spacing w:line="360" w:lineRule="auto"/>
        <w:contextualSpacing/>
        <w:jc w:val="both"/>
        <w:rPr>
          <w:rFonts w:ascii="Arial" w:hAnsi="Arial"/>
          <w:noProof w:val="0"/>
          <w:rtl/>
        </w:rPr>
      </w:pPr>
    </w:p>
    <w:p w14:paraId="09C22CE9" w14:textId="77777777" w:rsidR="00103DFA" w:rsidRDefault="00103DFA" w:rsidP="00103DFA">
      <w:pPr>
        <w:spacing w:line="360" w:lineRule="auto"/>
        <w:contextualSpacing/>
        <w:jc w:val="both"/>
        <w:rPr>
          <w:rFonts w:ascii="Arial" w:hAnsi="Arial"/>
          <w:noProof w:val="0"/>
          <w:rtl/>
        </w:rPr>
      </w:pPr>
      <w:r w:rsidRPr="003406E4">
        <w:rPr>
          <w:rFonts w:ascii="Arial" w:hAnsi="Arial" w:hint="cs"/>
          <w:noProof w:val="0"/>
          <w:rtl/>
        </w:rPr>
        <w:t>עוד ציין ב"כ העותר כי גם לאחר ראיון שני זה פנה שוב ושוב לב"כ המשיבה, אך נענה כי העניין יבדק, אך החלטה אין.</w:t>
      </w:r>
    </w:p>
    <w:p w14:paraId="7941A6DB" w14:textId="77777777" w:rsidR="00103DFA" w:rsidRDefault="00103DFA" w:rsidP="00103DFA">
      <w:pPr>
        <w:spacing w:line="360" w:lineRule="auto"/>
        <w:contextualSpacing/>
        <w:jc w:val="both"/>
        <w:rPr>
          <w:rFonts w:ascii="Arial" w:hAnsi="Arial"/>
          <w:noProof w:val="0"/>
          <w:rtl/>
        </w:rPr>
      </w:pPr>
    </w:p>
    <w:p w14:paraId="66AB12F2" w14:textId="77777777" w:rsidR="00103DFA" w:rsidRPr="003406E4" w:rsidRDefault="00103DFA" w:rsidP="00103DFA">
      <w:pPr>
        <w:spacing w:line="360" w:lineRule="auto"/>
        <w:contextualSpacing/>
        <w:jc w:val="both"/>
        <w:rPr>
          <w:rFonts w:ascii="Arial" w:hAnsi="Arial"/>
          <w:noProof w:val="0"/>
          <w:rtl/>
        </w:rPr>
      </w:pPr>
      <w:r w:rsidRPr="00ED3F61">
        <w:rPr>
          <w:rFonts w:ascii="Arial" w:hAnsi="Arial" w:hint="cs"/>
          <w:noProof w:val="0"/>
          <w:rtl/>
        </w:rPr>
        <w:t>כלומר, לאחר מחיקת העתירה הקודמת וטרם הגשת העתירה שלפניי, העותר</w:t>
      </w:r>
      <w:r>
        <w:rPr>
          <w:rFonts w:ascii="Arial" w:hAnsi="Arial" w:hint="cs"/>
          <w:noProof w:val="0"/>
          <w:rtl/>
        </w:rPr>
        <w:t xml:space="preserve"> היה בשני ריאיונות, נשאל שאלות לגבי העבר, תוך שהובהר לו כי החלטת הרשות לא תשתנה, זאת, בניגוד גמור להתחייבות הרשות לפני בית המשפט בעתירה הקודמת. </w:t>
      </w:r>
    </w:p>
    <w:p w14:paraId="4C02C3A0"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 xml:space="preserve"> </w:t>
      </w:r>
    </w:p>
    <w:p w14:paraId="2117B8AE"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בעקבות החלטת בית המשפט בבקשה לפי פקודת הביזיון בעתירה הקודמת ניתנה הודעה לקונית מטעם הרשות (ביום 25.7.24) ולפיה:</w:t>
      </w:r>
    </w:p>
    <w:p w14:paraId="26149FBD"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 xml:space="preserve">"מבירור שנערך עם המשיבים עולה כי התקבלה החלטה בעניינו של העותר לפיה יינתן לעותר רישיון מסוג של א/5 לתקופה של שנה בשלב זה" </w:t>
      </w:r>
    </w:p>
    <w:p w14:paraId="0040D5CE" w14:textId="77777777" w:rsidR="00103DFA" w:rsidRPr="003406E4" w:rsidRDefault="00103DFA" w:rsidP="00103DFA">
      <w:pPr>
        <w:ind w:right="567"/>
        <w:contextualSpacing/>
        <w:jc w:val="both"/>
        <w:rPr>
          <w:rFonts w:ascii="Arial" w:hAnsi="Arial"/>
          <w:b/>
          <w:bCs/>
          <w:noProof w:val="0"/>
          <w:rtl/>
        </w:rPr>
      </w:pPr>
    </w:p>
    <w:p w14:paraId="5256DF88"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והוסיפה:</w:t>
      </w:r>
    </w:p>
    <w:p w14:paraId="69CA37E0"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lastRenderedPageBreak/>
        <w:t xml:space="preserve"> "בנסיבות אלו, ומבלי למצות את טענות המשיב בעניין הבקשה עצמה, ממילא התייתרה בקשת העותר". </w:t>
      </w:r>
    </w:p>
    <w:p w14:paraId="0DCE81F1" w14:textId="77777777" w:rsidR="00103DFA" w:rsidRPr="003406E4" w:rsidRDefault="00103DFA" w:rsidP="00103DFA">
      <w:pPr>
        <w:spacing w:line="360" w:lineRule="auto"/>
        <w:contextualSpacing/>
        <w:jc w:val="both"/>
        <w:rPr>
          <w:rFonts w:ascii="Arial" w:hAnsi="Arial"/>
          <w:noProof w:val="0"/>
          <w:rtl/>
        </w:rPr>
      </w:pPr>
    </w:p>
    <w:p w14:paraId="465BADCD"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להודעה לא צורפה כל החלטה. לאור הודעה זו ניתנה החלטת בית המשפט</w:t>
      </w:r>
      <w:r>
        <w:rPr>
          <w:rFonts w:ascii="Arial" w:hAnsi="Arial" w:hint="cs"/>
          <w:noProof w:val="0"/>
          <w:rtl/>
        </w:rPr>
        <w:t>,</w:t>
      </w:r>
      <w:r w:rsidRPr="003406E4">
        <w:rPr>
          <w:rFonts w:ascii="Arial" w:hAnsi="Arial" w:hint="cs"/>
          <w:noProof w:val="0"/>
          <w:rtl/>
        </w:rPr>
        <w:t xml:space="preserve"> </w:t>
      </w:r>
      <w:r>
        <w:rPr>
          <w:rFonts w:ascii="Arial" w:hAnsi="Arial" w:hint="cs"/>
          <w:noProof w:val="0"/>
          <w:rtl/>
        </w:rPr>
        <w:t>ש</w:t>
      </w:r>
      <w:r w:rsidRPr="003406E4">
        <w:rPr>
          <w:rFonts w:ascii="Arial" w:hAnsi="Arial" w:hint="cs"/>
          <w:noProof w:val="0"/>
          <w:rtl/>
        </w:rPr>
        <w:t>לפיה הבקשה מיצתה את עצמה (החלטה מיום 28.7.24).</w:t>
      </w:r>
      <w:r>
        <w:rPr>
          <w:rFonts w:ascii="Arial" w:hAnsi="Arial" w:hint="cs"/>
          <w:noProof w:val="0"/>
          <w:rtl/>
        </w:rPr>
        <w:t xml:space="preserve"> היינו, הרבה לפני הגשת העתירה שלפניי (בנובמבר 24), כבר ניתנה החלטה בבקשתו המחודשת של העותר, כפי שהתחייבה הרשות לעשות עם מחיקת העתירה הקודמת. עם זאת, הרשות לא בדקה את הדת האפקטיבית העדכנית, אלא, ציינה שמשהגיש העותר ראיות להשתייכותו לקהילה יהודית (החל מתחילת שנות האלפיים), יש מקום לתת אשרה זמנית. </w:t>
      </w:r>
    </w:p>
    <w:p w14:paraId="4627749A" w14:textId="77777777" w:rsidR="00103DFA" w:rsidRPr="003406E4" w:rsidRDefault="00103DFA" w:rsidP="00103DFA">
      <w:pPr>
        <w:spacing w:line="360" w:lineRule="auto"/>
        <w:contextualSpacing/>
        <w:jc w:val="both"/>
        <w:rPr>
          <w:rFonts w:ascii="Arial" w:hAnsi="Arial"/>
          <w:noProof w:val="0"/>
          <w:rtl/>
        </w:rPr>
      </w:pPr>
    </w:p>
    <w:p w14:paraId="72B11DB2"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מהמשך המגעים בין הצדדים עולה כי החלטה זו</w:t>
      </w:r>
      <w:r>
        <w:rPr>
          <w:rFonts w:ascii="Arial" w:hAnsi="Arial" w:hint="cs"/>
          <w:noProof w:val="0"/>
          <w:rtl/>
        </w:rPr>
        <w:t xml:space="preserve"> לפיה העותר יקבל אשרת א/5 לשנה,</w:t>
      </w:r>
      <w:r w:rsidRPr="003406E4">
        <w:rPr>
          <w:rFonts w:ascii="Arial" w:hAnsi="Arial" w:hint="cs"/>
          <w:noProof w:val="0"/>
          <w:rtl/>
        </w:rPr>
        <w:t xml:space="preserve"> נמסרה לעותר בעל פה ללא נימוקים. ב"כ העותר לא התייאש והמשיך ופנה לרשות (התכתבות דוא"ל עם משרד המשפטים הוגשה כנספח </w:t>
      </w:r>
      <w:r>
        <w:rPr>
          <w:rFonts w:ascii="Arial" w:hAnsi="Arial" w:hint="cs"/>
          <w:noProof w:val="0"/>
          <w:rtl/>
        </w:rPr>
        <w:t>ד</w:t>
      </w:r>
      <w:r w:rsidRPr="003406E4">
        <w:rPr>
          <w:rFonts w:ascii="Arial" w:hAnsi="Arial" w:hint="cs"/>
          <w:noProof w:val="0"/>
          <w:rtl/>
        </w:rPr>
        <w:t>' לעתירה שלפניי). ביום 28.7.24 כותב ב"כ העותר כך:</w:t>
      </w:r>
    </w:p>
    <w:p w14:paraId="0FCD2922" w14:textId="77777777" w:rsidR="00103DFA" w:rsidRPr="003406E4" w:rsidRDefault="00103DFA" w:rsidP="00103DFA">
      <w:pPr>
        <w:ind w:left="567" w:right="567"/>
        <w:contextualSpacing/>
        <w:jc w:val="both"/>
        <w:rPr>
          <w:rFonts w:ascii="Arial" w:hAnsi="Arial"/>
          <w:b/>
          <w:bCs/>
          <w:noProof w:val="0"/>
        </w:rPr>
      </w:pPr>
      <w:r w:rsidRPr="003406E4">
        <w:rPr>
          <w:rFonts w:ascii="Arial" w:hAnsi="Arial" w:hint="cs"/>
          <w:b/>
          <w:bCs/>
          <w:noProof w:val="0"/>
          <w:rtl/>
        </w:rPr>
        <w:t>"ליתר דיוק יצרו עמו קשר ביום 25.7.24. אני וגם הוא לא מצליחים להבין? מדוע לא מקבלים החלטה שהרי בקשת עולה הוגשה?</w:t>
      </w:r>
    </w:p>
    <w:p w14:paraId="4CAFAD61" w14:textId="77777777" w:rsidR="00103DFA" w:rsidRPr="003406E4" w:rsidRDefault="00103DFA" w:rsidP="00103DFA">
      <w:pPr>
        <w:ind w:left="567" w:right="567"/>
        <w:contextualSpacing/>
        <w:jc w:val="both"/>
        <w:rPr>
          <w:rFonts w:ascii="Arial" w:hAnsi="Arial"/>
          <w:b/>
          <w:bCs/>
          <w:noProof w:val="0"/>
        </w:rPr>
      </w:pPr>
      <w:r w:rsidRPr="003406E4">
        <w:rPr>
          <w:rFonts w:ascii="Arial" w:hAnsi="Arial" w:hint="cs"/>
          <w:b/>
          <w:bCs/>
          <w:noProof w:val="0"/>
          <w:rtl/>
        </w:rPr>
        <w:t>מדוע אושר לו א'5? האם עלייתו אושרה או לאו?</w:t>
      </w:r>
    </w:p>
    <w:p w14:paraId="0A9B4CA4"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מה לגבי אשתו ובתו?</w:t>
      </w:r>
    </w:p>
    <w:p w14:paraId="02D7E05C"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להבנתי עלייה מאשרים או לא מאשרים? מה ארע בענייננו לא ברור.</w:t>
      </w:r>
    </w:p>
    <w:p w14:paraId="2EC6E66A"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אודה להבהרתך למען נוכל לשקול המשך צעדים"</w:t>
      </w:r>
    </w:p>
    <w:p w14:paraId="1F8244CF" w14:textId="77777777" w:rsidR="00103DFA" w:rsidRPr="003406E4" w:rsidRDefault="00103DFA" w:rsidP="00103DFA">
      <w:pPr>
        <w:spacing w:line="360" w:lineRule="auto"/>
        <w:contextualSpacing/>
        <w:jc w:val="both"/>
        <w:rPr>
          <w:rFonts w:ascii="Arial" w:hAnsi="Arial"/>
          <w:noProof w:val="0"/>
          <w:rtl/>
        </w:rPr>
      </w:pPr>
    </w:p>
    <w:p w14:paraId="63966A93"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לאחר מספר דקות מתקבלת תשובת ב"כ המשיבה: "</w:t>
      </w:r>
      <w:r w:rsidRPr="003406E4">
        <w:rPr>
          <w:rFonts w:ascii="Arial" w:hAnsi="Arial" w:hint="cs"/>
          <w:b/>
          <w:bCs/>
          <w:noProof w:val="0"/>
          <w:rtl/>
        </w:rPr>
        <w:t>זו ההחלטה. א/5 לשנה בסופה תינתן החלטה. במקרים רבים ניתנת החלטה לתת א/5 ובתום השנה לקבל החלטה חדשה</w:t>
      </w:r>
      <w:r w:rsidRPr="003406E4">
        <w:rPr>
          <w:rFonts w:ascii="Arial" w:hAnsi="Arial" w:hint="cs"/>
          <w:noProof w:val="0"/>
          <w:rtl/>
        </w:rPr>
        <w:t>".</w:t>
      </w:r>
    </w:p>
    <w:p w14:paraId="1C837E25" w14:textId="77777777" w:rsidR="00103DFA" w:rsidRPr="003406E4" w:rsidRDefault="00103DFA" w:rsidP="00103DFA">
      <w:pPr>
        <w:spacing w:line="360" w:lineRule="auto"/>
        <w:contextualSpacing/>
        <w:jc w:val="both"/>
        <w:rPr>
          <w:rFonts w:ascii="Arial" w:hAnsi="Arial"/>
          <w:noProof w:val="0"/>
          <w:rtl/>
        </w:rPr>
      </w:pPr>
    </w:p>
    <w:p w14:paraId="7B8B04C4"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ב"כ העותר משיב גם הוא לאחר מספר דקות וכותב כך:</w:t>
      </w:r>
    </w:p>
    <w:p w14:paraId="1F42BD4E"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"האמת שלא הגיוני.</w:t>
      </w:r>
    </w:p>
    <w:p w14:paraId="5E65149A"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אכן במקרים של עבריינים, כשיש חשש לפלילים נותנים תקופת בדיקה.</w:t>
      </w:r>
    </w:p>
    <w:p w14:paraId="66D44BC8"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בעניינו הייתה טענה שהמיר את דתו!!! כך יוצא שאם מאשרים אז מאשרים עלייה אם מכוחו ואם הוריו ואם סבו וסבתו, מה טעם לתת שנה? האם רוצים לבדוק אם התחזק בדת?</w:t>
      </w:r>
    </w:p>
    <w:p w14:paraId="796C30D0"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אודה לקבלת החלטה כתובה, שהרי מרשי הורה לי להגיש עתירה.</w:t>
      </w:r>
    </w:p>
    <w:p w14:paraId="469990C0"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באם לא אקבל החלטה אאלץ להגישה כך.</w:t>
      </w:r>
    </w:p>
    <w:p w14:paraId="0C52F2E4"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מכל מקום, מנהל תקין מחייב החלטה כתובה. זוהי חובתה של מרשתך.</w:t>
      </w:r>
    </w:p>
    <w:p w14:paraId="653CBFD6"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אשמח באם תוכלי לסייע לקבל החלטה כתובה.</w:t>
      </w:r>
    </w:p>
    <w:p w14:paraId="6698589F"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תודה"</w:t>
      </w:r>
    </w:p>
    <w:p w14:paraId="7D8CAA78" w14:textId="77777777" w:rsidR="00103DFA" w:rsidRPr="003406E4" w:rsidRDefault="00103DFA" w:rsidP="00103DFA">
      <w:pPr>
        <w:spacing w:line="360" w:lineRule="auto"/>
        <w:contextualSpacing/>
        <w:jc w:val="both"/>
        <w:rPr>
          <w:rFonts w:ascii="Arial" w:hAnsi="Arial"/>
          <w:noProof w:val="0"/>
          <w:rtl/>
        </w:rPr>
      </w:pPr>
    </w:p>
    <w:p w14:paraId="1874AE37"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לכך לא מתקבל מענה. ב"כ העותר שב ופונה לב"כ הרשות יומיים לאחר מכן, ביום 30.7.24:</w:t>
      </w:r>
    </w:p>
    <w:p w14:paraId="4F4C27C1"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"הריני שב ומבקש לקבל החלטה, כפי חובת מרשתך בחוק, החלטה מנומקת.</w:t>
      </w:r>
    </w:p>
    <w:p w14:paraId="379E04A9"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רא</w:t>
      </w:r>
      <w:r>
        <w:rPr>
          <w:rFonts w:ascii="Arial" w:hAnsi="Arial" w:hint="cs"/>
          <w:b/>
          <w:bCs/>
          <w:noProof w:val="0"/>
          <w:rtl/>
        </w:rPr>
        <w:t>וי</w:t>
      </w:r>
      <w:r w:rsidRPr="003406E4">
        <w:rPr>
          <w:rFonts w:ascii="Arial" w:hAnsi="Arial" w:hint="cs"/>
          <w:b/>
          <w:bCs/>
          <w:noProof w:val="0"/>
          <w:rtl/>
        </w:rPr>
        <w:t xml:space="preserve"> לכל הפחות ליתן הסבר או נימוק מדוע א/5? מה עם בני משפחתו – אשתו וילדיו?</w:t>
      </w:r>
    </w:p>
    <w:p w14:paraId="4425904D"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 xml:space="preserve">לצערי חלפה זה מכבר בקרוב </w:t>
      </w:r>
      <w:r>
        <w:rPr>
          <w:rFonts w:ascii="Arial" w:hAnsi="Arial" w:hint="cs"/>
          <w:b/>
          <w:bCs/>
          <w:noProof w:val="0"/>
          <w:rtl/>
        </w:rPr>
        <w:t>שנה</w:t>
      </w:r>
      <w:r w:rsidRPr="003406E4">
        <w:rPr>
          <w:rFonts w:ascii="Arial" w:hAnsi="Arial" w:hint="cs"/>
          <w:b/>
          <w:bCs/>
          <w:noProof w:val="0"/>
          <w:rtl/>
        </w:rPr>
        <w:t xml:space="preserve"> וזאת ההחלטה?</w:t>
      </w:r>
    </w:p>
    <w:p w14:paraId="701DA9B2"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תודה."</w:t>
      </w:r>
    </w:p>
    <w:p w14:paraId="3D03F5B2" w14:textId="77777777" w:rsidR="00103DFA" w:rsidRPr="003406E4" w:rsidRDefault="00103DFA" w:rsidP="00103DFA">
      <w:pPr>
        <w:spacing w:line="360" w:lineRule="auto"/>
        <w:contextualSpacing/>
        <w:jc w:val="both"/>
        <w:rPr>
          <w:rFonts w:ascii="Arial" w:hAnsi="Arial"/>
          <w:noProof w:val="0"/>
          <w:rtl/>
        </w:rPr>
      </w:pPr>
    </w:p>
    <w:p w14:paraId="5BF57405"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גם לפנייה זו לא מתקבל מענה.</w:t>
      </w:r>
    </w:p>
    <w:p w14:paraId="7270D328"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 xml:space="preserve"> </w:t>
      </w:r>
    </w:p>
    <w:p w14:paraId="6D61A296"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 xml:space="preserve"> בעקבות זאת </w:t>
      </w:r>
      <w:r>
        <w:rPr>
          <w:rFonts w:ascii="Arial" w:hAnsi="Arial" w:hint="cs"/>
          <w:noProof w:val="0"/>
          <w:rtl/>
        </w:rPr>
        <w:t xml:space="preserve">הוגשה העתירה שלפניי, ביום 3.11.24. בעתירה נטען כי הרשות לא קיבלה החלטה, אך למעשה בעת הגשת העתירה התקבלה החלטה עוד ביולי 24 ליתן לעותר אשרת א/5 למשך שנה, אלא שהחלטה זו לא הייתה מנומקת. למעשה בעתירה מבקש העותר החלטה מנומקת, </w:t>
      </w:r>
      <w:r>
        <w:rPr>
          <w:rFonts w:ascii="Arial" w:hAnsi="Arial" w:hint="cs"/>
          <w:noProof w:val="0"/>
          <w:rtl/>
        </w:rPr>
        <w:lastRenderedPageBreak/>
        <w:t xml:space="preserve">וככל שאין נימוקים, ליתן לו אשרת עולה. בבקשה שלפניי למחוק את העתירה בשל אי מיצוי הליכים, מתייחסת הרשות להחלטה שניתנה במהלך ניהול ההליך כהחלטה חדשה ולא היא. ההחלטה מצטטת במפורש את ההחלטה מיולי 24. זאת ועוד, על אף התחייבות הרשות לפני בית המשפט בעתירה הקודמת, ועל אף שהעותר עבר מאז שני ראיונות, לא הייתה כל התייחסות למצב העדכני שהתחייבה הרשות לבדוק, ורק בשל כך נמחקה העתירה הקודמת. </w:t>
      </w:r>
    </w:p>
    <w:p w14:paraId="55A73479" w14:textId="77777777" w:rsidR="00103DFA" w:rsidRPr="003406E4" w:rsidRDefault="00103DFA" w:rsidP="00103DFA">
      <w:pPr>
        <w:spacing w:line="360" w:lineRule="auto"/>
        <w:contextualSpacing/>
        <w:jc w:val="both"/>
        <w:rPr>
          <w:rFonts w:ascii="Arial" w:hAnsi="Arial"/>
          <w:noProof w:val="0"/>
          <w:rtl/>
        </w:rPr>
      </w:pPr>
    </w:p>
    <w:p w14:paraId="0A94FA06"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 xml:space="preserve">מבלי להכביר מלים ברור הוא כי זו לא התנהלות הוגנת של הרשות. מכל מקום, </w:t>
      </w:r>
      <w:r>
        <w:rPr>
          <w:rFonts w:ascii="Arial" w:hAnsi="Arial" w:hint="cs"/>
          <w:noProof w:val="0"/>
          <w:rtl/>
        </w:rPr>
        <w:t xml:space="preserve">ומעבר לכך, הרשות אינה בוחנת את הנסיבות העדכניות או הדת האפקטיבית גם בהמשך. </w:t>
      </w:r>
      <w:r w:rsidRPr="003406E4">
        <w:rPr>
          <w:rFonts w:ascii="Arial" w:hAnsi="Arial" w:hint="cs"/>
          <w:noProof w:val="0"/>
          <w:rtl/>
        </w:rPr>
        <w:t>גם כאשר מוגשת העתירה</w:t>
      </w:r>
      <w:r>
        <w:rPr>
          <w:rFonts w:ascii="Arial" w:hAnsi="Arial" w:hint="cs"/>
          <w:noProof w:val="0"/>
          <w:rtl/>
        </w:rPr>
        <w:t xml:space="preserve"> שלפניי</w:t>
      </w:r>
      <w:r w:rsidRPr="003406E4">
        <w:rPr>
          <w:rFonts w:ascii="Arial" w:hAnsi="Arial" w:hint="cs"/>
          <w:noProof w:val="0"/>
          <w:rtl/>
        </w:rPr>
        <w:t xml:space="preserve">, הרשות אינה מנמקת את החלטתה. ביום 13.11.24 מורה בית המשפט לרשות להגיש תשובה לעתירה גופה, ורק לאחר בקשות להארכת מועד, ביום 26.12.24, מעל לשנה לאחר מחיקת העתירה הקודמת לבקשת הרשות, ועל אף החלטה מפורשת של בית המשפט בעתירה הקודמת לקבל החלטה בהקדם, מגישה הרשות שוב בקשה זהה, למחוק את העתירה מחמת התייתרותה, </w:t>
      </w:r>
      <w:r>
        <w:rPr>
          <w:rFonts w:ascii="Arial" w:hAnsi="Arial" w:hint="cs"/>
          <w:noProof w:val="0"/>
          <w:rtl/>
        </w:rPr>
        <w:t xml:space="preserve">הפעם בשל קבלת החלטה "חדשה" והצורך במיוצי הליכים. </w:t>
      </w:r>
      <w:r w:rsidRPr="003406E4">
        <w:rPr>
          <w:rFonts w:ascii="Arial" w:hAnsi="Arial" w:hint="cs"/>
          <w:noProof w:val="0"/>
          <w:rtl/>
        </w:rPr>
        <w:t xml:space="preserve">לבקשה מצורפת החלטת הרשות מיום 26.12.24, החלטה שניתנה חודשיים לאחר הגשת העתירה, ושחוזרת למעשה על ההחלטה הלא מנומקת לתת לעותר אשרת א/5 למשך שנה. אחזור ואדגיש. אין מדובר כלל ועיקר </w:t>
      </w:r>
      <w:r>
        <w:rPr>
          <w:rFonts w:ascii="Arial" w:hAnsi="Arial" w:hint="cs"/>
          <w:noProof w:val="0"/>
          <w:rtl/>
        </w:rPr>
        <w:t>בהחלטה</w:t>
      </w:r>
      <w:r w:rsidRPr="003406E4">
        <w:rPr>
          <w:rFonts w:ascii="Arial" w:hAnsi="Arial" w:hint="cs"/>
          <w:noProof w:val="0"/>
          <w:rtl/>
        </w:rPr>
        <w:t xml:space="preserve"> חדשה, אלא בניסיון לנמק החלטה קודמת, שניתנה שלא כדין, וללא נימוקים בניגוד לבקשת הרשות והתחייבותה לבית המשפט במסגרת העתירה הקודמת. </w:t>
      </w:r>
    </w:p>
    <w:p w14:paraId="10487985" w14:textId="77777777" w:rsidR="00103DFA" w:rsidRPr="003406E4" w:rsidRDefault="00103DFA" w:rsidP="00103DFA">
      <w:pPr>
        <w:spacing w:line="360" w:lineRule="auto"/>
        <w:contextualSpacing/>
        <w:jc w:val="both"/>
        <w:rPr>
          <w:rFonts w:ascii="Arial" w:hAnsi="Arial"/>
          <w:noProof w:val="0"/>
          <w:rtl/>
        </w:rPr>
      </w:pPr>
    </w:p>
    <w:p w14:paraId="476AA5C7"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בהחלטה נכתב כך:</w:t>
      </w:r>
    </w:p>
    <w:p w14:paraId="6166A18D" w14:textId="77777777" w:rsidR="00103DFA" w:rsidRPr="003406E4" w:rsidRDefault="00103DFA" w:rsidP="00103DFA">
      <w:pPr>
        <w:ind w:left="567" w:right="567"/>
        <w:contextualSpacing/>
        <w:jc w:val="both"/>
        <w:rPr>
          <w:rFonts w:ascii="Arial" w:hAnsi="Arial"/>
          <w:b/>
          <w:bCs/>
          <w:noProof w:val="0"/>
        </w:rPr>
      </w:pPr>
      <w:r w:rsidRPr="003406E4">
        <w:rPr>
          <w:rFonts w:ascii="Arial" w:hAnsi="Arial" w:hint="cs"/>
          <w:b/>
          <w:bCs/>
          <w:noProof w:val="0"/>
          <w:rtl/>
        </w:rPr>
        <w:t>"1.</w:t>
      </w:r>
      <w:r>
        <w:rPr>
          <w:rFonts w:ascii="Arial" w:hAnsi="Arial" w:hint="cs"/>
          <w:b/>
          <w:bCs/>
          <w:noProof w:val="0"/>
          <w:rtl/>
        </w:rPr>
        <w:t xml:space="preserve"> </w:t>
      </w:r>
      <w:r w:rsidRPr="003406E4">
        <w:rPr>
          <w:rFonts w:ascii="Arial" w:hAnsi="Arial" w:hint="cs"/>
          <w:b/>
          <w:bCs/>
          <w:noProof w:val="0"/>
          <w:rtl/>
        </w:rPr>
        <w:t>הבקשה שבנדון הועברה לעיוני.</w:t>
      </w:r>
    </w:p>
    <w:p w14:paraId="39508B65"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2.</w:t>
      </w:r>
      <w:r>
        <w:rPr>
          <w:rFonts w:ascii="Arial" w:hAnsi="Arial" w:hint="cs"/>
          <w:b/>
          <w:bCs/>
          <w:noProof w:val="0"/>
          <w:rtl/>
        </w:rPr>
        <w:t xml:space="preserve"> </w:t>
      </w:r>
      <w:r w:rsidRPr="003406E4">
        <w:rPr>
          <w:rFonts w:ascii="Arial" w:hAnsi="Arial" w:hint="cs"/>
          <w:b/>
          <w:bCs/>
          <w:noProof w:val="0"/>
          <w:rtl/>
        </w:rPr>
        <w:t>אודיעך כי בקשת מרשך, אשר שוהה בחו"ל, הוגשה בקונסוליה של "נתיב" בארץ המוצא והועברה לבחינתי באמצעות נתיב.</w:t>
      </w:r>
    </w:p>
    <w:p w14:paraId="62006E1E" w14:textId="77777777" w:rsidR="00103DFA" w:rsidRPr="003406E4" w:rsidRDefault="00103DFA" w:rsidP="00103DFA">
      <w:pPr>
        <w:ind w:left="567" w:right="567"/>
        <w:contextualSpacing/>
        <w:jc w:val="both"/>
        <w:rPr>
          <w:rFonts w:ascii="Arial" w:hAnsi="Arial"/>
          <w:b/>
          <w:bCs/>
          <w:noProof w:val="0"/>
          <w:rtl/>
        </w:rPr>
      </w:pPr>
      <w:r w:rsidRPr="003406E4">
        <w:rPr>
          <w:rFonts w:ascii="Arial" w:hAnsi="Arial" w:hint="cs"/>
          <w:b/>
          <w:bCs/>
          <w:noProof w:val="0"/>
          <w:rtl/>
        </w:rPr>
        <w:t>3.</w:t>
      </w:r>
      <w:r>
        <w:rPr>
          <w:rFonts w:ascii="Arial" w:hAnsi="Arial" w:hint="cs"/>
          <w:b/>
          <w:bCs/>
          <w:noProof w:val="0"/>
          <w:rtl/>
        </w:rPr>
        <w:t xml:space="preserve"> </w:t>
      </w:r>
      <w:r w:rsidRPr="003406E4">
        <w:rPr>
          <w:rFonts w:ascii="Arial" w:hAnsi="Arial" w:hint="cs"/>
          <w:b/>
          <w:bCs/>
          <w:noProof w:val="0"/>
          <w:rtl/>
        </w:rPr>
        <w:t>הבקשה וכלל המסמכים נבחנו והחלטתי ניתנה והועברה לנתיב ביום 7.7.24. בנוסף, ומבדיקה אל מול נתיב, עיקרי ההחלטה הועברו למרשך טלפונית וכן באמצעות דוא"ל.</w:t>
      </w:r>
    </w:p>
    <w:p w14:paraId="458D593A" w14:textId="77777777" w:rsidR="00103DFA" w:rsidRPr="00344156" w:rsidRDefault="00103DFA" w:rsidP="00103DFA">
      <w:pPr>
        <w:ind w:left="567" w:right="567"/>
        <w:contextualSpacing/>
        <w:jc w:val="both"/>
        <w:rPr>
          <w:rFonts w:ascii="Arial" w:hAnsi="Arial"/>
          <w:b/>
          <w:bCs/>
          <w:noProof w:val="0"/>
          <w:rtl/>
        </w:rPr>
      </w:pPr>
      <w:r w:rsidRPr="003406E4">
        <w:rPr>
          <w:rFonts w:ascii="Arial" w:hAnsi="Arial" w:hint="cs"/>
          <w:b/>
          <w:bCs/>
          <w:noProof w:val="0"/>
          <w:rtl/>
        </w:rPr>
        <w:t>4.</w:t>
      </w:r>
      <w:r>
        <w:rPr>
          <w:rFonts w:ascii="Arial" w:hAnsi="Arial" w:hint="cs"/>
          <w:b/>
          <w:bCs/>
          <w:noProof w:val="0"/>
          <w:rtl/>
        </w:rPr>
        <w:t xml:space="preserve"> </w:t>
      </w:r>
      <w:r w:rsidRPr="003406E4">
        <w:rPr>
          <w:rFonts w:ascii="Arial" w:hAnsi="Arial" w:hint="cs"/>
          <w:b/>
          <w:bCs/>
          <w:noProof w:val="0"/>
          <w:rtl/>
        </w:rPr>
        <w:t>בשל טענתך</w:t>
      </w:r>
      <w:r w:rsidRPr="00344156">
        <w:rPr>
          <w:rFonts w:ascii="Arial" w:hAnsi="Arial" w:hint="cs"/>
          <w:b/>
          <w:bCs/>
          <w:noProof w:val="0"/>
          <w:rtl/>
        </w:rPr>
        <w:t xml:space="preserve"> כי תוכן הבקשה לא נמסר במלואו למרשך, מצאתי לנכון להעביר בשנית את החלטתי בעניינו של מרשך:</w:t>
      </w:r>
    </w:p>
    <w:p w14:paraId="5AA4E83A" w14:textId="77777777" w:rsidR="00103DFA" w:rsidRPr="00344156" w:rsidRDefault="00103DFA" w:rsidP="00103DFA">
      <w:pPr>
        <w:ind w:left="567" w:right="567"/>
        <w:contextualSpacing/>
        <w:jc w:val="both"/>
        <w:rPr>
          <w:rFonts w:ascii="Arial" w:hAnsi="Arial"/>
          <w:b/>
          <w:bCs/>
          <w:noProof w:val="0"/>
          <w:rtl/>
        </w:rPr>
      </w:pPr>
      <w:r w:rsidRPr="00344156">
        <w:rPr>
          <w:rFonts w:ascii="Arial" w:hAnsi="Arial" w:hint="cs"/>
          <w:b/>
          <w:bCs/>
          <w:noProof w:val="0"/>
          <w:rtl/>
        </w:rPr>
        <w:t>"בקשת הנדון הועברה לבחינתי במסגרת עת"מ 32160-06-23 [העתירה הקודמת]</w:t>
      </w:r>
    </w:p>
    <w:p w14:paraId="036DD0F7" w14:textId="77777777" w:rsidR="00103DFA" w:rsidRPr="00344156" w:rsidRDefault="00103DFA" w:rsidP="00103DFA">
      <w:pPr>
        <w:ind w:left="567" w:right="567"/>
        <w:contextualSpacing/>
        <w:jc w:val="both"/>
        <w:rPr>
          <w:rFonts w:ascii="Arial" w:hAnsi="Arial"/>
          <w:b/>
          <w:bCs/>
          <w:noProof w:val="0"/>
          <w:rtl/>
        </w:rPr>
      </w:pPr>
      <w:r w:rsidRPr="00344156">
        <w:rPr>
          <w:rFonts w:ascii="Arial" w:hAnsi="Arial" w:hint="cs"/>
          <w:b/>
          <w:bCs/>
          <w:noProof w:val="0"/>
          <w:rtl/>
        </w:rPr>
        <w:t>מבחינת החומר בבקשה עולה כי הנדון נכח בקונסוליה בשנת 2018 וסימן עצמו בסעיף הדת בשאלוני העלייה "נוצרי" ובסעיף הלאום: "יהודי" ואף סיפק הצהרה מטעמו בה סיפר שהוטבל בילדותו וכי מבקר בכנסיה פעם בשנה וחוגג חגים נוצריים עיקריים. בשל האמור נדחתה בקשתו נוכח המרת דת.</w:t>
      </w:r>
    </w:p>
    <w:p w14:paraId="26F649AE" w14:textId="77777777" w:rsidR="00103DFA" w:rsidRPr="00344156" w:rsidRDefault="00103DFA" w:rsidP="00103DFA">
      <w:pPr>
        <w:ind w:left="567" w:right="567"/>
        <w:contextualSpacing/>
        <w:jc w:val="both"/>
        <w:rPr>
          <w:rFonts w:ascii="Arial" w:hAnsi="Arial"/>
          <w:b/>
          <w:bCs/>
          <w:noProof w:val="0"/>
          <w:rtl/>
        </w:rPr>
      </w:pPr>
      <w:r w:rsidRPr="00344156">
        <w:rPr>
          <w:rFonts w:ascii="Arial" w:hAnsi="Arial" w:hint="cs"/>
          <w:b/>
          <w:bCs/>
          <w:noProof w:val="0"/>
          <w:rtl/>
        </w:rPr>
        <w:t>בבקשה דנן טען הנדון בעניין דתו האפקטיבית כי הוטבל על ידי משפחתו מצד אביו הנוכרי וכי חגג רק חגים אזרחיים ולא הטביל את ילדיו. עוד טען כי אמו לא פקדה כנסיות וכי סבתו היהודיה חגגה את חגי ישראל. כמו כן טען כי כיום מתקרב ליהדות ומשתייך לקהילה יהודית וכן המציא תימוכין לכך מטעם הקהילה היהודית בזפרוז'ה.</w:t>
      </w:r>
    </w:p>
    <w:p w14:paraId="517569A8" w14:textId="77777777" w:rsidR="00103DFA" w:rsidRPr="00344156" w:rsidRDefault="00103DFA" w:rsidP="00103DFA">
      <w:pPr>
        <w:ind w:left="567" w:right="567"/>
        <w:contextualSpacing/>
        <w:jc w:val="both"/>
        <w:rPr>
          <w:rFonts w:ascii="Arial" w:hAnsi="Arial"/>
          <w:b/>
          <w:bCs/>
          <w:noProof w:val="0"/>
          <w:rtl/>
        </w:rPr>
      </w:pPr>
      <w:r w:rsidRPr="00344156">
        <w:rPr>
          <w:rFonts w:ascii="Arial" w:hAnsi="Arial" w:hint="cs"/>
          <w:b/>
          <w:bCs/>
          <w:noProof w:val="0"/>
          <w:rtl/>
        </w:rPr>
        <w:t>לפיכך הוחלט בשלב זה להעניק לנדון רישיון תושב ארעי מסוג א/5 למשך שנה לשם בחינת דתו האפקטיבית. כמו כן, בשלב זה הוחלט לאשר לרעיית הנדון ולילדיהם רישיון תושב ארעי מסוג א/5 למשך שנה ובכפוף לרישיונו של הנדון.</w:t>
      </w:r>
    </w:p>
    <w:p w14:paraId="20633CE2" w14:textId="77777777" w:rsidR="00103DFA" w:rsidRPr="00344156" w:rsidRDefault="00103DFA" w:rsidP="00103DFA">
      <w:pPr>
        <w:ind w:left="567" w:right="567"/>
        <w:contextualSpacing/>
        <w:jc w:val="both"/>
        <w:rPr>
          <w:rFonts w:ascii="Arial" w:hAnsi="Arial"/>
          <w:b/>
          <w:bCs/>
          <w:noProof w:val="0"/>
          <w:rtl/>
        </w:rPr>
      </w:pPr>
      <w:r w:rsidRPr="00344156">
        <w:rPr>
          <w:rFonts w:ascii="Arial" w:hAnsi="Arial" w:hint="cs"/>
          <w:b/>
          <w:bCs/>
          <w:noProof w:val="0"/>
          <w:rtl/>
        </w:rPr>
        <w:t>בתום התקופה בקשתו תיבחן בשנית בהתאם לנסיבות ולעריכת ריאיון עדכני בעניין דתו האפקטיבית"</w:t>
      </w:r>
    </w:p>
    <w:p w14:paraId="1A235E54" w14:textId="77777777" w:rsidR="00103DFA" w:rsidRPr="00344156" w:rsidRDefault="00103DFA" w:rsidP="00103DFA">
      <w:pPr>
        <w:ind w:left="567" w:right="567"/>
        <w:contextualSpacing/>
        <w:jc w:val="both"/>
        <w:rPr>
          <w:rFonts w:ascii="Arial" w:hAnsi="Arial"/>
          <w:b/>
          <w:bCs/>
          <w:noProof w:val="0"/>
          <w:rtl/>
        </w:rPr>
      </w:pPr>
      <w:r w:rsidRPr="00344156">
        <w:rPr>
          <w:rFonts w:ascii="Arial" w:hAnsi="Arial" w:hint="cs"/>
          <w:b/>
          <w:bCs/>
          <w:noProof w:val="0"/>
          <w:rtl/>
        </w:rPr>
        <w:t>5.</w:t>
      </w:r>
      <w:r>
        <w:rPr>
          <w:rFonts w:ascii="Arial" w:hAnsi="Arial" w:hint="cs"/>
          <w:b/>
          <w:bCs/>
          <w:noProof w:val="0"/>
          <w:rtl/>
        </w:rPr>
        <w:t xml:space="preserve"> </w:t>
      </w:r>
      <w:r w:rsidRPr="00344156">
        <w:rPr>
          <w:rFonts w:ascii="Arial" w:hAnsi="Arial" w:hint="cs"/>
          <w:b/>
          <w:bCs/>
          <w:noProof w:val="0"/>
          <w:rtl/>
        </w:rPr>
        <w:t>מן האמור, הרי שנמצא שמרשך הצהיר בבקשתו הראשונית כי משתייך לדת הנוצרית ואף סיפק תצהיר מטעמו בו הרחיב כי פוקד כנסיות אחת לשנה וחוגג חגים נוצריים עיקריים, אולם בבקשתו דנן, שינה מרשך את גרסתו באשר לאורח חיים נוצרי, וכן טען שמשתייך לקהילה יהודית והמציא תימוכין לאמור.</w:t>
      </w:r>
    </w:p>
    <w:p w14:paraId="59E68725" w14:textId="77777777" w:rsidR="00103DFA" w:rsidRPr="00344156" w:rsidRDefault="00103DFA" w:rsidP="00103DFA">
      <w:pPr>
        <w:ind w:left="567" w:right="567"/>
        <w:contextualSpacing/>
        <w:jc w:val="both"/>
        <w:rPr>
          <w:rFonts w:ascii="Arial" w:hAnsi="Arial"/>
          <w:b/>
          <w:bCs/>
          <w:noProof w:val="0"/>
          <w:rtl/>
        </w:rPr>
      </w:pPr>
      <w:r w:rsidRPr="00344156">
        <w:rPr>
          <w:rFonts w:ascii="Arial" w:hAnsi="Arial" w:hint="cs"/>
          <w:b/>
          <w:bCs/>
          <w:noProof w:val="0"/>
          <w:rtl/>
        </w:rPr>
        <w:t xml:space="preserve">6.שינוי הגרסאות באשר לאורח החיים הנוצרי שניהל טרם בקשתו הראשונה נדחתה בשל היותו בן דת אחרת מתפרשות כמקצה שיפורים, אולם מאחר ןומרשך המציא </w:t>
      </w:r>
      <w:r w:rsidRPr="00344156">
        <w:rPr>
          <w:rFonts w:ascii="Arial" w:hAnsi="Arial" w:hint="cs"/>
          <w:b/>
          <w:bCs/>
          <w:noProof w:val="0"/>
          <w:rtl/>
        </w:rPr>
        <w:lastRenderedPageBreak/>
        <w:t>תימוכין לעניין השתייעותו לקהילה יהודית, הוחלט לאשר למרשך ולבני משפחתו כאמור אשרה מסוג א/5 למשך שנה לשם בחינת דתו האפקטיבית, אשר בתומה, הבקשה תיבחן בהתאם לנסיבות ובכפוף לעריכת ריאיון עדכני בעניין דתו האפקטיבית"</w:t>
      </w:r>
    </w:p>
    <w:p w14:paraId="7BDB6CFB" w14:textId="77777777" w:rsidR="00103DFA" w:rsidRPr="003406E4" w:rsidRDefault="00103DFA" w:rsidP="00103DFA">
      <w:pPr>
        <w:spacing w:line="360" w:lineRule="auto"/>
        <w:contextualSpacing/>
        <w:jc w:val="both"/>
        <w:rPr>
          <w:rFonts w:ascii="Arial" w:hAnsi="Arial"/>
          <w:noProof w:val="0"/>
          <w:rtl/>
        </w:rPr>
      </w:pPr>
    </w:p>
    <w:p w14:paraId="2BF0D185" w14:textId="77777777" w:rsidR="00103DFA" w:rsidRPr="00BB02D1" w:rsidRDefault="00103DFA" w:rsidP="00103DFA">
      <w:pPr>
        <w:pStyle w:val="ListParagraph"/>
        <w:numPr>
          <w:ilvl w:val="0"/>
          <w:numId w:val="1"/>
        </w:numPr>
        <w:spacing w:line="360" w:lineRule="auto"/>
        <w:jc w:val="both"/>
        <w:rPr>
          <w:rFonts w:ascii="Arial" w:hAnsi="Arial"/>
          <w:noProof w:val="0"/>
          <w:rtl/>
        </w:rPr>
      </w:pPr>
      <w:r w:rsidRPr="00BB02D1">
        <w:rPr>
          <w:rFonts w:ascii="Arial" w:hAnsi="Arial" w:hint="cs"/>
          <w:noProof w:val="0"/>
          <w:rtl/>
        </w:rPr>
        <w:t>החלטה זו</w:t>
      </w:r>
      <w:r>
        <w:rPr>
          <w:rFonts w:ascii="Arial" w:hAnsi="Arial" w:hint="cs"/>
          <w:noProof w:val="0"/>
          <w:rtl/>
        </w:rPr>
        <w:t>, מעבר לכך שלא מדובר בהחלטה חדשה כלל ועיקר,</w:t>
      </w:r>
      <w:r w:rsidRPr="00BB02D1">
        <w:rPr>
          <w:rFonts w:ascii="Arial" w:hAnsi="Arial" w:hint="cs"/>
          <w:noProof w:val="0"/>
          <w:rtl/>
        </w:rPr>
        <w:t xml:space="preserve"> מקוממת במיוחד. </w:t>
      </w:r>
      <w:r w:rsidRPr="00BB02D1">
        <w:rPr>
          <w:rFonts w:ascii="Arial" w:hAnsi="Arial" w:hint="cs"/>
          <w:b/>
          <w:bCs/>
          <w:noProof w:val="0"/>
          <w:rtl/>
        </w:rPr>
        <w:t>ראשית</w:t>
      </w:r>
      <w:r w:rsidRPr="00BB02D1">
        <w:rPr>
          <w:rFonts w:ascii="Arial" w:hAnsi="Arial" w:hint="cs"/>
          <w:noProof w:val="0"/>
          <w:rtl/>
        </w:rPr>
        <w:t xml:space="preserve">, הבקשה לפי פקודת הביזיון הוגשה במסגרת העתירה הקודמת ביום 21.7.24. ככל שהייתה החלטה מנומקת כבר ביום 7.7.24, היה מקום להציגה לפני בית המשפט בעתירה הקודמת. אולם, ב"כ הרשות רק ציינה כי ניתנה החלטה ליתן לעותר אשרת א/5 ללא נימוקים, מה שמעלה תמיהה האם אכן הייתה החלטה מנומקת כבר במועד זה, ואם הייתה כזו, מדוע לא הועברה לפרקליטות כשפנתה לקבל את תגובת הרשות בעקבות החלטת בית המשפט בעתירה הקודמת. </w:t>
      </w:r>
      <w:r w:rsidRPr="00BB02D1">
        <w:rPr>
          <w:rFonts w:ascii="Arial" w:hAnsi="Arial" w:hint="cs"/>
          <w:b/>
          <w:bCs/>
          <w:noProof w:val="0"/>
          <w:rtl/>
        </w:rPr>
        <w:t>שנית</w:t>
      </w:r>
      <w:r w:rsidRPr="00BB02D1">
        <w:rPr>
          <w:rFonts w:ascii="Arial" w:hAnsi="Arial" w:hint="cs"/>
          <w:noProof w:val="0"/>
          <w:rtl/>
        </w:rPr>
        <w:t xml:space="preserve">, ב"כ העותר התכתב עם ב"כ המשיבה בסוף יולי 2024 וביקש החלטה מנומקת ולא נענה. מדובר בשלושה שבועות לאחר הודעת הרשות במסגרת הבקשה לפי פקודת הביזיון בעתירה הקודמת. על כן יותר מתמוהים דברי הרשות </w:t>
      </w:r>
      <w:r>
        <w:rPr>
          <w:rFonts w:ascii="Arial" w:hAnsi="Arial" w:hint="cs"/>
          <w:noProof w:val="0"/>
          <w:rtl/>
        </w:rPr>
        <w:t>בבקשה זו שצוטטה לעיל, ממנה עולה כי</w:t>
      </w:r>
      <w:r w:rsidRPr="00BB02D1">
        <w:rPr>
          <w:rFonts w:ascii="Arial" w:hAnsi="Arial" w:hint="cs"/>
          <w:noProof w:val="0"/>
          <w:rtl/>
        </w:rPr>
        <w:t xml:space="preserve"> תשובה מלאה ומנומקת הייתה בנמצא כבר ביום 7.7.24, ורק עיקריה הועברו לעותר. </w:t>
      </w:r>
      <w:r w:rsidRPr="00BB02D1">
        <w:rPr>
          <w:rFonts w:ascii="Arial" w:hAnsi="Arial" w:hint="cs"/>
          <w:b/>
          <w:bCs/>
          <w:noProof w:val="0"/>
          <w:rtl/>
        </w:rPr>
        <w:t>שלישית,</w:t>
      </w:r>
      <w:r w:rsidRPr="00BB02D1">
        <w:rPr>
          <w:rFonts w:ascii="Arial" w:hAnsi="Arial" w:hint="cs"/>
          <w:noProof w:val="0"/>
          <w:rtl/>
        </w:rPr>
        <w:t xml:space="preserve"> תמוהה גם דרך הפעולה של העברת תשובה דרך נתיב, כאשר העותר מיוצג, פונה בשתי הזדמנויות בסוף יולי ומבקש החלטה ולא מקבל מענה.</w:t>
      </w:r>
    </w:p>
    <w:p w14:paraId="50A2AA5D" w14:textId="77777777" w:rsidR="00103DFA" w:rsidRPr="003406E4" w:rsidRDefault="00103DFA" w:rsidP="00103DFA">
      <w:pPr>
        <w:spacing w:line="360" w:lineRule="auto"/>
        <w:contextualSpacing/>
        <w:jc w:val="both"/>
        <w:rPr>
          <w:rFonts w:ascii="Arial" w:hAnsi="Arial"/>
          <w:noProof w:val="0"/>
          <w:rtl/>
        </w:rPr>
      </w:pPr>
    </w:p>
    <w:p w14:paraId="0B6EA3D4"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בנוסף, וגם אם נתעלם מכל האמור, בהחלטה אין כל התייחסות לחלוף הזמן, לנסיבות</w:t>
      </w:r>
      <w:r>
        <w:rPr>
          <w:rFonts w:ascii="Arial" w:hAnsi="Arial" w:hint="cs"/>
          <w:noProof w:val="0"/>
          <w:rtl/>
        </w:rPr>
        <w:t xml:space="preserve"> או לדת האפקטיבית</w:t>
      </w:r>
      <w:r w:rsidRPr="003406E4">
        <w:rPr>
          <w:rFonts w:ascii="Arial" w:hAnsi="Arial" w:hint="cs"/>
          <w:noProof w:val="0"/>
          <w:rtl/>
        </w:rPr>
        <w:t xml:space="preserve"> בחלוף שנים מההחלטה שניתנה בשנת 2018. </w:t>
      </w:r>
      <w:r>
        <w:rPr>
          <w:rFonts w:ascii="Arial" w:hAnsi="Arial" w:hint="cs"/>
          <w:noProof w:val="0"/>
          <w:rtl/>
        </w:rPr>
        <w:t xml:space="preserve">כזכור, </w:t>
      </w:r>
      <w:r w:rsidRPr="003406E4">
        <w:rPr>
          <w:rFonts w:ascii="Arial" w:hAnsi="Arial" w:hint="cs"/>
          <w:noProof w:val="0"/>
          <w:rtl/>
        </w:rPr>
        <w:t>הרשות ביקשה מבית המשפט להורות על מחיקת העתירה הקודמת בשל החשיבות</w:t>
      </w:r>
      <w:r>
        <w:rPr>
          <w:rFonts w:ascii="Arial" w:hAnsi="Arial" w:hint="cs"/>
          <w:noProof w:val="0"/>
          <w:rtl/>
        </w:rPr>
        <w:t xml:space="preserve"> שהייתה, לטענתה,</w:t>
      </w:r>
      <w:r w:rsidRPr="003406E4">
        <w:rPr>
          <w:rFonts w:ascii="Arial" w:hAnsi="Arial" w:hint="cs"/>
          <w:noProof w:val="0"/>
          <w:rtl/>
        </w:rPr>
        <w:t xml:space="preserve"> לבחון את הנסיבות העדכניות. בהחלטה נאמר שהעותר נכח בקונסוליה בשנת 2018 וסימן בסעיף הדת נוצרי ובסעיף הלאום יהודי. כן נאמר שהצהיר שהוטבל בילדותו וכי מבקר בכנסיה פעם בשנה. העותר הסביר לאורך כל הדרך כי הריאיון היה תוקפני, כי הבהיר שאביו היה נוצרי ואמו יהודיה, ולכן כך סימן בטופס, וכי הדגיש כי אינו הולך לכנסיה וכי מקיים אורח חיים יהודי חילוני. </w:t>
      </w:r>
      <w:r>
        <w:rPr>
          <w:rFonts w:ascii="Arial" w:hAnsi="Arial" w:hint="cs"/>
          <w:noProof w:val="0"/>
          <w:rtl/>
        </w:rPr>
        <w:t>בהחלטה "החדשה" ל</w:t>
      </w:r>
      <w:r w:rsidRPr="003406E4">
        <w:rPr>
          <w:rFonts w:ascii="Arial" w:hAnsi="Arial" w:hint="cs"/>
          <w:noProof w:val="0"/>
          <w:rtl/>
        </w:rPr>
        <w:t>א הייתה כל התייחסות לשני הראיונות הנוספים שנערכו לעותר בלטביה. כל שנאמר הוא שבבקשתו הנוכחית הבהיר כי הוטבל על ידי אביו, חגג חגים אזרחיים ולא הטביל את ילדיו. לאחר תיאור זה נכתב: "</w:t>
      </w:r>
      <w:r w:rsidRPr="003406E4">
        <w:rPr>
          <w:rFonts w:ascii="Arial" w:hAnsi="Arial" w:hint="cs"/>
          <w:b/>
          <w:bCs/>
          <w:noProof w:val="0"/>
          <w:rtl/>
        </w:rPr>
        <w:t>לפיכך, הוחלט בשלב זה להעניק לנדון רישיון תושב ארעי מסוג א/5 למשך שנה לשם בחינת דתו האפקטיבית. כמו כן, בשלב זה הוחלט לאשר לרעיית הנדון ולילדיהם רישיון תושב ארעי מסוג א/5 למשך שנה ובכפוף לרישיונו של הנדון. התום התקופה בקשתו תיבחן בשנית בהתאם לנסיבות ולעריכת ראיון עדכני בעניין דתו האפקטיבית</w:t>
      </w:r>
      <w:r w:rsidRPr="003406E4">
        <w:rPr>
          <w:rFonts w:ascii="Arial" w:hAnsi="Arial" w:hint="cs"/>
          <w:noProof w:val="0"/>
          <w:rtl/>
        </w:rPr>
        <w:t>".</w:t>
      </w:r>
    </w:p>
    <w:p w14:paraId="2E8FC107" w14:textId="77777777" w:rsidR="00103DFA" w:rsidRPr="003406E4" w:rsidRDefault="00103DFA" w:rsidP="00103DFA">
      <w:pPr>
        <w:spacing w:line="360" w:lineRule="auto"/>
        <w:contextualSpacing/>
        <w:jc w:val="both"/>
        <w:rPr>
          <w:rFonts w:ascii="Arial" w:hAnsi="Arial"/>
          <w:noProof w:val="0"/>
        </w:rPr>
      </w:pPr>
    </w:p>
    <w:p w14:paraId="5BECE82F" w14:textId="77777777" w:rsidR="00103DFA" w:rsidRDefault="00103DFA" w:rsidP="00103DFA">
      <w:pPr>
        <w:numPr>
          <w:ilvl w:val="0"/>
          <w:numId w:val="1"/>
        </w:numPr>
        <w:spacing w:before="240" w:line="360" w:lineRule="auto"/>
        <w:contextualSpacing/>
        <w:jc w:val="both"/>
        <w:rPr>
          <w:rFonts w:ascii="Arial" w:hAnsi="Arial"/>
          <w:noProof w:val="0"/>
        </w:rPr>
      </w:pPr>
      <w:r w:rsidRPr="00BB02D1">
        <w:rPr>
          <w:rFonts w:ascii="Arial" w:hAnsi="Arial" w:hint="cs"/>
          <w:noProof w:val="0"/>
          <w:rtl/>
        </w:rPr>
        <w:t>נראה כי אין צורך להכביר מלים ולהבהיר כי מדובר בהתנהגות שלמצער אינה הוגנת ואינה עולה בקנה אחד עם חובותיה של רשות מנהלית, ובנוסף, מפרה את התחייבות הרשות לבית המשפט בעתירה הקודמת.</w:t>
      </w:r>
      <w:r>
        <w:rPr>
          <w:rFonts w:ascii="Arial" w:hAnsi="Arial" w:hint="cs"/>
          <w:noProof w:val="0"/>
          <w:rtl/>
        </w:rPr>
        <w:t xml:space="preserve"> </w:t>
      </w:r>
      <w:r w:rsidRPr="00BB02D1">
        <w:rPr>
          <w:rFonts w:ascii="Arial" w:hAnsi="Arial" w:hint="cs"/>
          <w:noProof w:val="0"/>
          <w:rtl/>
        </w:rPr>
        <w:t>ולגופם של דברים, אין מדובר בהחלטה חדשה, אלא</w:t>
      </w:r>
      <w:r>
        <w:rPr>
          <w:rFonts w:ascii="Arial" w:hAnsi="Arial" w:hint="cs"/>
          <w:noProof w:val="0"/>
          <w:rtl/>
        </w:rPr>
        <w:t>, לכל היותר,</w:t>
      </w:r>
      <w:r w:rsidRPr="00BB02D1">
        <w:rPr>
          <w:rFonts w:ascii="Arial" w:hAnsi="Arial" w:hint="cs"/>
          <w:noProof w:val="0"/>
          <w:rtl/>
        </w:rPr>
        <w:t xml:space="preserve"> בהנמקה מאוחרת, להחלטה שכבר ניתנה, ושלאחריה הוגשה עתירה זו. </w:t>
      </w:r>
      <w:r>
        <w:rPr>
          <w:rFonts w:ascii="Arial" w:hAnsi="Arial" w:hint="cs"/>
          <w:noProof w:val="0"/>
          <w:rtl/>
        </w:rPr>
        <w:t>כפי שטען ב"כ העותר עוד בבקשה לפי פקודת הבזיון בעתירה הקודמת, וגם בעתירה לפניי, הרשות לא הבהירה במה תועיל השנה הנוספת. יש לזכור ולהדגיש כי זו פעם שנייה שהרשות מבקשת למחוק עתירה שמגיש העותר, ולהחזיר את העניין לטיפולה. לאור התנהלותה בפעם הראשונה, אין לאפשר זאת בפעם השנייה.</w:t>
      </w:r>
    </w:p>
    <w:p w14:paraId="2A942738" w14:textId="77777777" w:rsidR="00103DFA" w:rsidRDefault="00103DFA" w:rsidP="00103DFA">
      <w:pPr>
        <w:pStyle w:val="ListParagraph"/>
        <w:rPr>
          <w:rFonts w:ascii="Arial" w:hAnsi="Arial"/>
          <w:noProof w:val="0"/>
          <w:rtl/>
        </w:rPr>
      </w:pPr>
    </w:p>
    <w:p w14:paraId="10B16883" w14:textId="77777777" w:rsidR="00103DFA" w:rsidRDefault="00103DFA" w:rsidP="00103DFA">
      <w:pPr>
        <w:numPr>
          <w:ilvl w:val="0"/>
          <w:numId w:val="1"/>
        </w:numPr>
        <w:spacing w:before="240" w:line="360" w:lineRule="auto"/>
        <w:contextualSpacing/>
        <w:jc w:val="both"/>
        <w:rPr>
          <w:rFonts w:ascii="Arial" w:hAnsi="Arial"/>
          <w:noProof w:val="0"/>
        </w:rPr>
      </w:pPr>
      <w:r w:rsidRPr="003A5FC8">
        <w:rPr>
          <w:rFonts w:ascii="Arial" w:hAnsi="Arial" w:hint="cs"/>
          <w:noProof w:val="0"/>
          <w:rtl/>
        </w:rPr>
        <w:lastRenderedPageBreak/>
        <w:t xml:space="preserve">מעבר לאמור, גם בדיון שהתקיים לפניי לא הצליחה ב"כ הרשות לציין קריטריון כלשהו או תוכן כלשהו של הבחינה העתידית המתוכננת לשיטתה לעוד שנה בבקשת העותר. זאת, על אף שהיא נשאלה לעניין זה מספר פעמים. כל שהשיבה היה כי העותר יהיה רשאי להתחיל שוב מהתחלה את מיצוי ההליכים ולתקוף גם את החלטה עתידית </w:t>
      </w:r>
      <w:r>
        <w:rPr>
          <w:rFonts w:ascii="Arial" w:hAnsi="Arial" w:hint="cs"/>
          <w:noProof w:val="0"/>
          <w:rtl/>
        </w:rPr>
        <w:t>ככל שיהיה בכך צורך</w:t>
      </w:r>
      <w:r w:rsidRPr="003A5FC8">
        <w:rPr>
          <w:rFonts w:ascii="Arial" w:hAnsi="Arial" w:hint="cs"/>
          <w:noProof w:val="0"/>
          <w:rtl/>
        </w:rPr>
        <w:t xml:space="preserve">. אני סבורה כי קבלת ההחלטה "החדשה", בנסיבות שפורטו לעיל, אינה </w:t>
      </w:r>
      <w:r>
        <w:rPr>
          <w:rFonts w:ascii="Arial" w:hAnsi="Arial" w:hint="cs"/>
          <w:noProof w:val="0"/>
          <w:rtl/>
        </w:rPr>
        <w:t xml:space="preserve">סבירה, ואינה </w:t>
      </w:r>
      <w:r w:rsidRPr="003A5FC8">
        <w:rPr>
          <w:rFonts w:ascii="Arial" w:hAnsi="Arial" w:hint="cs"/>
          <w:noProof w:val="0"/>
          <w:rtl/>
        </w:rPr>
        <w:t>יכולה להצדיק התחלה מחדש של ההליכים המשפטיים מול הרשות, והפניית העותר להליכים משפטיים נוספים.</w:t>
      </w:r>
      <w:r>
        <w:rPr>
          <w:rFonts w:ascii="Arial" w:hAnsi="Arial" w:hint="cs"/>
          <w:noProof w:val="0"/>
          <w:rtl/>
        </w:rPr>
        <w:t xml:space="preserve"> </w:t>
      </w:r>
      <w:r w:rsidRPr="003406E4">
        <w:rPr>
          <w:rFonts w:ascii="Arial" w:hAnsi="Arial" w:hint="cs"/>
          <w:noProof w:val="0"/>
          <w:rtl/>
        </w:rPr>
        <w:t>אין מקום לאלץ את העותר לחזור שוב לרשות, ולעבור שוב את דרך הייסורים שעבר בעקבות העתירה הראשונה, שם</w:t>
      </w:r>
      <w:r>
        <w:rPr>
          <w:rFonts w:ascii="Arial" w:hAnsi="Arial" w:hint="cs"/>
          <w:noProof w:val="0"/>
          <w:rtl/>
        </w:rPr>
        <w:t xml:space="preserve"> ביקשה הרשות בדיוק את אותה בקשה וזאת תוך הוצאת כספים על ייצוג משפטי והליכים, ודחיית מועד עלייתו לישראל.</w:t>
      </w:r>
      <w:r w:rsidRPr="003A5FC8">
        <w:rPr>
          <w:rFonts w:ascii="Arial" w:hAnsi="Arial" w:hint="cs"/>
          <w:noProof w:val="0"/>
          <w:rtl/>
        </w:rPr>
        <w:t xml:space="preserve"> מקרה זה מדגים את הקושי המוטל על מי שנשלחים בלך ושוב, להתחיל מחדש את מיצוי ההליכים מול הרשות, אף שדבר לא השתנה מאז ההחלטה הקודמת ואין הצדקה לכך.</w:t>
      </w:r>
    </w:p>
    <w:p w14:paraId="010322EA" w14:textId="77777777" w:rsidR="00103DFA" w:rsidRDefault="00103DFA" w:rsidP="00103DFA">
      <w:pPr>
        <w:spacing w:before="240" w:line="360" w:lineRule="auto"/>
        <w:contextualSpacing/>
        <w:jc w:val="both"/>
        <w:rPr>
          <w:rFonts w:ascii="Arial" w:hAnsi="Arial"/>
          <w:noProof w:val="0"/>
          <w:rtl/>
        </w:rPr>
      </w:pPr>
    </w:p>
    <w:p w14:paraId="705F1CC2" w14:textId="77777777" w:rsidR="00103DFA" w:rsidRPr="003406E4" w:rsidRDefault="00103DFA" w:rsidP="00103DFA">
      <w:pPr>
        <w:spacing w:before="240" w:line="360" w:lineRule="auto"/>
        <w:contextualSpacing/>
        <w:jc w:val="both"/>
        <w:rPr>
          <w:rFonts w:ascii="Arial" w:hAnsi="Arial"/>
          <w:noProof w:val="0"/>
          <w:rtl/>
        </w:rPr>
      </w:pPr>
      <w:r>
        <w:rPr>
          <w:rFonts w:ascii="Arial" w:hAnsi="Arial" w:hint="cs"/>
          <w:noProof w:val="0"/>
          <w:rtl/>
        </w:rPr>
        <w:t xml:space="preserve">לאור זאת יש לבחון האם זכאי העותר למעמד מכוח </w:t>
      </w:r>
      <w:hyperlink r:id="rId61" w:history="1">
        <w:r w:rsidR="00CE7AF3" w:rsidRPr="00CE7AF3">
          <w:rPr>
            <w:rFonts w:ascii="Arial" w:hAnsi="Arial"/>
            <w:noProof w:val="0"/>
            <w:color w:val="0000FF"/>
            <w:u w:val="single"/>
            <w:rtl/>
          </w:rPr>
          <w:t>חוק השבות</w:t>
        </w:r>
      </w:hyperlink>
      <w:r>
        <w:rPr>
          <w:rFonts w:ascii="Arial" w:hAnsi="Arial" w:hint="cs"/>
          <w:noProof w:val="0"/>
          <w:rtl/>
        </w:rPr>
        <w:t>. לכך אפנה עתה.</w:t>
      </w:r>
    </w:p>
    <w:p w14:paraId="0BDF2FB3" w14:textId="77777777" w:rsidR="00103DFA" w:rsidRPr="003406E4" w:rsidRDefault="00103DFA" w:rsidP="00103DFA">
      <w:pPr>
        <w:spacing w:line="360" w:lineRule="auto"/>
        <w:contextualSpacing/>
        <w:jc w:val="both"/>
        <w:rPr>
          <w:rFonts w:ascii="Arial" w:hAnsi="Arial"/>
          <w:noProof w:val="0"/>
        </w:rPr>
      </w:pPr>
    </w:p>
    <w:p w14:paraId="0C35905E" w14:textId="77777777" w:rsidR="00103DFA" w:rsidRPr="003406E4" w:rsidRDefault="00103DFA" w:rsidP="00103DFA">
      <w:pPr>
        <w:spacing w:line="360" w:lineRule="auto"/>
        <w:contextualSpacing/>
        <w:jc w:val="both"/>
        <w:rPr>
          <w:rFonts w:ascii="Arial" w:hAnsi="Arial"/>
          <w:b/>
          <w:bCs/>
          <w:noProof w:val="0"/>
          <w:u w:val="single"/>
          <w:rtl/>
        </w:rPr>
      </w:pPr>
      <w:r w:rsidRPr="003406E4">
        <w:rPr>
          <w:rFonts w:ascii="Arial" w:hAnsi="Arial" w:hint="cs"/>
          <w:b/>
          <w:bCs/>
          <w:noProof w:val="0"/>
          <w:u w:val="single"/>
          <w:rtl/>
        </w:rPr>
        <w:t>המסגרת הנורמטיבית – הזכות לשבות והחריג של מי שהמיר את דתו מרצון</w:t>
      </w:r>
    </w:p>
    <w:p w14:paraId="7DF00B4F" w14:textId="77777777" w:rsidR="00103DFA" w:rsidRPr="003406E4" w:rsidRDefault="0055401E" w:rsidP="00103DFA">
      <w:pPr>
        <w:numPr>
          <w:ilvl w:val="0"/>
          <w:numId w:val="1"/>
        </w:numPr>
        <w:spacing w:before="240" w:line="360" w:lineRule="auto"/>
        <w:contextualSpacing/>
        <w:jc w:val="both"/>
        <w:rPr>
          <w:rFonts w:ascii="David" w:hAnsi="David"/>
          <w:noProof w:val="0"/>
        </w:rPr>
      </w:pPr>
      <w:hyperlink r:id="rId62" w:history="1">
        <w:r w:rsidRPr="0055401E">
          <w:rPr>
            <w:rStyle w:val="Hyperlink"/>
            <w:rFonts w:ascii="David" w:hAnsi="David" w:hint="eastAsia"/>
            <w:noProof w:val="0"/>
            <w:rtl/>
          </w:rPr>
          <w:t>ס</w:t>
        </w:r>
        <w:r w:rsidRPr="0055401E">
          <w:rPr>
            <w:rStyle w:val="Hyperlink"/>
            <w:rFonts w:ascii="David" w:hAnsi="David"/>
            <w:noProof w:val="0"/>
            <w:rtl/>
          </w:rPr>
          <w:t>' 1</w:t>
        </w:r>
      </w:hyperlink>
      <w:r w:rsidR="00103DFA" w:rsidRPr="003406E4">
        <w:rPr>
          <w:rFonts w:ascii="David" w:hAnsi="David" w:hint="cs"/>
          <w:noProof w:val="0"/>
          <w:rtl/>
        </w:rPr>
        <w:t xml:space="preserve"> ל</w:t>
      </w:r>
      <w:hyperlink r:id="rId63" w:history="1">
        <w:r w:rsidR="00CE7AF3" w:rsidRPr="00CE7AF3">
          <w:rPr>
            <w:rFonts w:ascii="David" w:hAnsi="David"/>
            <w:noProof w:val="0"/>
            <w:color w:val="0000FF"/>
            <w:u w:val="single"/>
            <w:rtl/>
          </w:rPr>
          <w:t>חוק השבות</w:t>
        </w:r>
      </w:hyperlink>
      <w:r w:rsidR="00103DFA" w:rsidRPr="003406E4">
        <w:rPr>
          <w:rFonts w:ascii="David" w:hAnsi="David" w:hint="cs"/>
          <w:noProof w:val="0"/>
          <w:rtl/>
        </w:rPr>
        <w:t xml:space="preserve"> קובע:</w:t>
      </w:r>
    </w:p>
    <w:p w14:paraId="7CEED97F"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כל יהודי זכאי לעלות ארצה.</w:t>
      </w:r>
    </w:p>
    <w:p w14:paraId="721ACA74" w14:textId="77777777" w:rsidR="00103DFA" w:rsidRPr="003406E4" w:rsidRDefault="00103DFA" w:rsidP="00103DFA">
      <w:pPr>
        <w:spacing w:line="360" w:lineRule="auto"/>
        <w:contextualSpacing/>
        <w:jc w:val="both"/>
        <w:rPr>
          <w:rFonts w:ascii="Arial" w:hAnsi="Arial"/>
          <w:noProof w:val="0"/>
        </w:rPr>
      </w:pPr>
    </w:p>
    <w:p w14:paraId="08D5C4F2"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 xml:space="preserve">ס' </w:t>
      </w:r>
      <w:hyperlink r:id="rId64" w:history="1">
        <w:r w:rsidR="0055401E" w:rsidRPr="0055401E">
          <w:rPr>
            <w:rStyle w:val="Hyperlink"/>
            <w:rFonts w:ascii="Arial" w:hAnsi="Arial"/>
            <w:noProof w:val="0"/>
            <w:rtl/>
          </w:rPr>
          <w:t>4א (א)</w:t>
        </w:r>
      </w:hyperlink>
      <w:r w:rsidRPr="003406E4">
        <w:rPr>
          <w:rFonts w:ascii="Arial" w:hAnsi="Arial" w:hint="cs"/>
          <w:noProof w:val="0"/>
          <w:rtl/>
        </w:rPr>
        <w:t xml:space="preserve"> ל</w:t>
      </w:r>
      <w:hyperlink r:id="rId65" w:history="1">
        <w:r w:rsidR="00CE7AF3" w:rsidRPr="00CE7AF3">
          <w:rPr>
            <w:rFonts w:ascii="Arial" w:hAnsi="Arial"/>
            <w:noProof w:val="0"/>
            <w:color w:val="0000FF"/>
            <w:u w:val="single"/>
            <w:rtl/>
          </w:rPr>
          <w:t>חוק השבות</w:t>
        </w:r>
      </w:hyperlink>
      <w:r w:rsidRPr="003406E4">
        <w:rPr>
          <w:rFonts w:ascii="Arial" w:hAnsi="Arial" w:hint="cs"/>
          <w:noProof w:val="0"/>
          <w:rtl/>
        </w:rPr>
        <w:t xml:space="preserve"> קובע:</w:t>
      </w:r>
    </w:p>
    <w:p w14:paraId="0BF134AF"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u w:val="single"/>
          <w:rtl/>
        </w:rPr>
        <w:t>הזכויות של יהודי לפי חוק זה</w:t>
      </w:r>
      <w:r w:rsidRPr="003406E4">
        <w:rPr>
          <w:rFonts w:ascii="David" w:eastAsia="David" w:hAnsi="David" w:hint="cs"/>
          <w:b/>
          <w:bCs/>
          <w:noProof w:val="0"/>
          <w:rtl/>
        </w:rPr>
        <w:t xml:space="preserve"> והזכויות של עולה לפי </w:t>
      </w:r>
      <w:hyperlink r:id="rId66" w:history="1">
        <w:r w:rsidR="00CE7AF3" w:rsidRPr="00CE7AF3">
          <w:rPr>
            <w:rFonts w:ascii="David" w:eastAsia="David" w:hAnsi="David"/>
            <w:b/>
            <w:bCs/>
            <w:noProof w:val="0"/>
            <w:color w:val="0000FF"/>
            <w:u w:val="single"/>
            <w:rtl/>
          </w:rPr>
          <w:t>חוק האזרחות</w:t>
        </w:r>
      </w:hyperlink>
      <w:r w:rsidRPr="003406E4">
        <w:rPr>
          <w:rFonts w:ascii="David" w:eastAsia="David" w:hAnsi="David" w:hint="cs"/>
          <w:b/>
          <w:bCs/>
          <w:noProof w:val="0"/>
          <w:rtl/>
        </w:rPr>
        <w:t xml:space="preserve">, תשי"ב-1952, וכן הזכויות של עולה לפי כל חיקוק אחר, מוקנות גם לילד ולנכד של יהודי, לבן זוג של יהודי ולבן זוג של ילד ושל נכד של יהודי; </w:t>
      </w:r>
      <w:r w:rsidRPr="003406E4">
        <w:rPr>
          <w:rFonts w:ascii="David" w:eastAsia="David" w:hAnsi="David" w:hint="cs"/>
          <w:b/>
          <w:bCs/>
          <w:noProof w:val="0"/>
          <w:u w:val="single"/>
          <w:rtl/>
        </w:rPr>
        <w:t>להוציא אדם שהיה יהודי והמיר דתו מרצון</w:t>
      </w:r>
      <w:r w:rsidRPr="003406E4">
        <w:rPr>
          <w:rFonts w:ascii="David" w:eastAsia="David" w:hAnsi="David" w:hint="cs"/>
          <w:b/>
          <w:bCs/>
          <w:noProof w:val="0"/>
          <w:rtl/>
        </w:rPr>
        <w:t>.</w:t>
      </w:r>
    </w:p>
    <w:p w14:paraId="3F7EDCF7" w14:textId="77777777" w:rsidR="00103DFA" w:rsidRPr="003406E4" w:rsidRDefault="00103DFA" w:rsidP="00103DFA">
      <w:pPr>
        <w:spacing w:line="360" w:lineRule="auto"/>
        <w:contextualSpacing/>
        <w:jc w:val="both"/>
        <w:rPr>
          <w:rFonts w:ascii="Arial" w:hAnsi="Arial"/>
          <w:noProof w:val="0"/>
          <w:rtl/>
        </w:rPr>
      </w:pPr>
    </w:p>
    <w:p w14:paraId="00EFBCD6" w14:textId="77777777" w:rsidR="00103DFA" w:rsidRPr="003406E4" w:rsidRDefault="0055401E" w:rsidP="00103DFA">
      <w:pPr>
        <w:spacing w:line="360" w:lineRule="auto"/>
        <w:contextualSpacing/>
        <w:jc w:val="both"/>
        <w:rPr>
          <w:rFonts w:ascii="Arial" w:hAnsi="Arial"/>
          <w:noProof w:val="0"/>
          <w:rtl/>
        </w:rPr>
      </w:pPr>
      <w:hyperlink r:id="rId67" w:history="1">
        <w:r w:rsidRPr="0055401E">
          <w:rPr>
            <w:rStyle w:val="Hyperlink"/>
            <w:rFonts w:ascii="Arial" w:hAnsi="Arial" w:hint="eastAsia"/>
            <w:noProof w:val="0"/>
            <w:rtl/>
          </w:rPr>
          <w:t>ס</w:t>
        </w:r>
        <w:r w:rsidRPr="0055401E">
          <w:rPr>
            <w:rStyle w:val="Hyperlink"/>
            <w:rFonts w:ascii="Arial" w:hAnsi="Arial"/>
            <w:noProof w:val="0"/>
            <w:rtl/>
          </w:rPr>
          <w:t>' 4ב</w:t>
        </w:r>
      </w:hyperlink>
      <w:r w:rsidR="00103DFA" w:rsidRPr="003406E4">
        <w:rPr>
          <w:rFonts w:ascii="Arial" w:hAnsi="Arial" w:hint="cs"/>
          <w:noProof w:val="0"/>
          <w:rtl/>
        </w:rPr>
        <w:t xml:space="preserve"> מגדיר:</w:t>
      </w:r>
    </w:p>
    <w:p w14:paraId="082C0DB3"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לענין חוק זה, "יהודי" – </w:t>
      </w:r>
      <w:r w:rsidRPr="003406E4">
        <w:rPr>
          <w:rFonts w:ascii="David" w:eastAsia="David" w:hAnsi="David" w:hint="cs"/>
          <w:b/>
          <w:bCs/>
          <w:noProof w:val="0"/>
          <w:u w:val="single"/>
          <w:rtl/>
        </w:rPr>
        <w:t>מי שנולד לאם יהודיה או שנתגייר, והוא אינו בן דת אחרת</w:t>
      </w:r>
      <w:r w:rsidRPr="003406E4">
        <w:rPr>
          <w:rFonts w:ascii="David" w:eastAsia="David" w:hAnsi="David" w:hint="cs"/>
          <w:b/>
          <w:bCs/>
          <w:noProof w:val="0"/>
          <w:rtl/>
        </w:rPr>
        <w:t>.</w:t>
      </w:r>
    </w:p>
    <w:p w14:paraId="1D164919" w14:textId="77777777" w:rsidR="00103DFA" w:rsidRPr="003406E4" w:rsidRDefault="00103DFA" w:rsidP="00103DFA">
      <w:pPr>
        <w:spacing w:line="360" w:lineRule="auto"/>
        <w:contextualSpacing/>
        <w:jc w:val="both"/>
        <w:rPr>
          <w:rFonts w:ascii="Arial" w:hAnsi="Arial"/>
          <w:noProof w:val="0"/>
        </w:rPr>
      </w:pPr>
    </w:p>
    <w:p w14:paraId="7AFF047B" w14:textId="77777777" w:rsidR="00103DFA" w:rsidRPr="003406E4" w:rsidRDefault="00103DFA" w:rsidP="00103DFA">
      <w:pPr>
        <w:numPr>
          <w:ilvl w:val="0"/>
          <w:numId w:val="1"/>
        </w:numPr>
        <w:spacing w:before="240" w:line="360" w:lineRule="auto"/>
        <w:contextualSpacing/>
        <w:jc w:val="both"/>
        <w:rPr>
          <w:rFonts w:ascii="David" w:hAnsi="David"/>
          <w:noProof w:val="0"/>
        </w:rPr>
      </w:pPr>
      <w:r w:rsidRPr="003406E4">
        <w:rPr>
          <w:rFonts w:ascii="David" w:hAnsi="David" w:hint="cs"/>
          <w:noProof w:val="0"/>
          <w:rtl/>
        </w:rPr>
        <w:t>ב</w:t>
      </w:r>
      <w:hyperlink r:id="rId68" w:history="1">
        <w:r w:rsidR="00CE7AF3" w:rsidRPr="00CE7AF3">
          <w:rPr>
            <w:rFonts w:ascii="David" w:hAnsi="David"/>
            <w:noProof w:val="0"/>
            <w:color w:val="0000FF"/>
            <w:u w:val="single"/>
            <w:rtl/>
          </w:rPr>
          <w:t>בג"ץ 2934/16</w:t>
        </w:r>
      </w:hyperlink>
      <w:r w:rsidRPr="003406E4">
        <w:rPr>
          <w:rFonts w:ascii="David" w:hAnsi="David" w:hint="cs"/>
          <w:noProof w:val="0"/>
          <w:rtl/>
        </w:rPr>
        <w:t xml:space="preserve"> </w:t>
      </w:r>
      <w:r w:rsidRPr="003406E4">
        <w:rPr>
          <w:rFonts w:ascii="David" w:hAnsi="David" w:hint="cs"/>
          <w:b/>
          <w:bCs/>
          <w:noProof w:val="0"/>
          <w:rtl/>
        </w:rPr>
        <w:t>מלחז זדגנידזה נ' שר הפנים</w:t>
      </w:r>
      <w:r w:rsidRPr="003406E4">
        <w:rPr>
          <w:rFonts w:ascii="David" w:hAnsi="David" w:hint="cs"/>
          <w:noProof w:val="0"/>
          <w:rtl/>
        </w:rPr>
        <w:t xml:space="preserve"> (נבו 8.11.2018 להלן: </w:t>
      </w:r>
      <w:r w:rsidRPr="003406E4">
        <w:rPr>
          <w:rFonts w:ascii="David" w:hAnsi="David" w:hint="cs"/>
          <w:b/>
          <w:bCs/>
          <w:noProof w:val="0"/>
          <w:rtl/>
        </w:rPr>
        <w:t>עניין זדגנידזה</w:t>
      </w:r>
      <w:r w:rsidRPr="003406E4">
        <w:rPr>
          <w:rFonts w:ascii="David" w:hAnsi="David" w:hint="cs"/>
          <w:noProof w:val="0"/>
          <w:rtl/>
        </w:rPr>
        <w:t xml:space="preserve">) עמד בית המשפט העליון על הכלל שלפיו הנטל הראשוני להבאת ראיות מנהליות מספיקות לביסוס לכאורי של זכאות לעלות לישראל במעמד של עולה מכח </w:t>
      </w:r>
      <w:hyperlink r:id="rId69" w:history="1">
        <w:r w:rsidR="00CE7AF3" w:rsidRPr="00CE7AF3">
          <w:rPr>
            <w:rFonts w:ascii="David" w:hAnsi="David"/>
            <w:noProof w:val="0"/>
            <w:color w:val="0000FF"/>
            <w:u w:val="single"/>
            <w:rtl/>
          </w:rPr>
          <w:t>חוק השבות</w:t>
        </w:r>
      </w:hyperlink>
      <w:r w:rsidRPr="003406E4">
        <w:rPr>
          <w:rFonts w:ascii="David" w:hAnsi="David" w:hint="cs"/>
          <w:noProof w:val="0"/>
          <w:rtl/>
        </w:rPr>
        <w:t xml:space="preserve">, מוטל על המבקשים מעמד של עולה מכוח חוק השבות. בית המשפט העליון קבע עוד כי טיב הראיות הנדרשות להרמת הנטל שונה בכל מקרה, בהתאם לנסיבות ולמכלול הראיות המובאות לפני הרשות, והוסיף כי הענקת אזרחות מכוח שבות היא בעלת השלכות כבדות משקל, ועל הרשויות לנקוט משנה זהירות בעניין זה. באותו מקרה לא הצליחו העותרים להוכיח את הקשר המשפחתי לסבתא היהודייה, ומשלא עמדו בנטל הראשוני נדחתה העתירה (ראו גם: </w:t>
      </w:r>
      <w:hyperlink r:id="rId70" w:history="1">
        <w:r w:rsidR="00CE7AF3" w:rsidRPr="00CE7AF3">
          <w:rPr>
            <w:rFonts w:ascii="David" w:hAnsi="David"/>
            <w:noProof w:val="0"/>
            <w:color w:val="0000FF"/>
            <w:u w:val="single"/>
            <w:rtl/>
          </w:rPr>
          <w:t>בג"ץ 5345/13</w:t>
        </w:r>
      </w:hyperlink>
      <w:r w:rsidRPr="003406E4">
        <w:rPr>
          <w:rFonts w:ascii="David" w:hAnsi="David" w:hint="cs"/>
          <w:noProof w:val="0"/>
          <w:rtl/>
        </w:rPr>
        <w:t xml:space="preserve"> </w:t>
      </w:r>
      <w:r w:rsidRPr="003406E4">
        <w:rPr>
          <w:rFonts w:ascii="David" w:hAnsi="David" w:hint="cs"/>
          <w:b/>
          <w:bCs/>
          <w:noProof w:val="0"/>
          <w:rtl/>
        </w:rPr>
        <w:t>מאמיט קסהון נ' משרד הפנים</w:t>
      </w:r>
      <w:r w:rsidRPr="003406E4">
        <w:rPr>
          <w:rFonts w:ascii="David" w:hAnsi="David" w:hint="cs"/>
          <w:noProof w:val="0"/>
          <w:rtl/>
        </w:rPr>
        <w:t xml:space="preserve"> (נבו 27.3.2017); </w:t>
      </w:r>
      <w:hyperlink r:id="rId71" w:history="1">
        <w:r w:rsidR="00CE7AF3" w:rsidRPr="00CE7AF3">
          <w:rPr>
            <w:rFonts w:ascii="David" w:hAnsi="David"/>
            <w:noProof w:val="0"/>
            <w:color w:val="0000FF"/>
            <w:u w:val="single"/>
            <w:rtl/>
          </w:rPr>
          <w:t>בג"ץ 842/16</w:t>
        </w:r>
      </w:hyperlink>
      <w:r w:rsidRPr="003406E4">
        <w:rPr>
          <w:rFonts w:ascii="David" w:hAnsi="David" w:hint="cs"/>
          <w:noProof w:val="0"/>
          <w:rtl/>
        </w:rPr>
        <w:t xml:space="preserve"> </w:t>
      </w:r>
      <w:r w:rsidRPr="003406E4">
        <w:rPr>
          <w:rFonts w:ascii="David" w:hAnsi="David" w:hint="cs"/>
          <w:b/>
          <w:bCs/>
          <w:noProof w:val="0"/>
          <w:rtl/>
        </w:rPr>
        <w:t>מולו טרונך אבבה נ' רשות האוכלוסין וההגירה</w:t>
      </w:r>
      <w:r w:rsidRPr="003406E4">
        <w:rPr>
          <w:rFonts w:ascii="David" w:hAnsi="David" w:hint="cs"/>
          <w:noProof w:val="0"/>
          <w:rtl/>
        </w:rPr>
        <w:t xml:space="preserve"> (נבו 13.8.2018)). </w:t>
      </w:r>
    </w:p>
    <w:p w14:paraId="245BD450" w14:textId="77777777" w:rsidR="00103DFA" w:rsidRPr="003406E4" w:rsidRDefault="00103DFA" w:rsidP="00103DFA">
      <w:pPr>
        <w:spacing w:line="360" w:lineRule="auto"/>
        <w:contextualSpacing/>
        <w:jc w:val="both"/>
        <w:rPr>
          <w:rFonts w:ascii="Arial" w:hAnsi="Arial"/>
          <w:noProof w:val="0"/>
        </w:rPr>
      </w:pPr>
    </w:p>
    <w:p w14:paraId="71ECD966"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David" w:hAnsi="David" w:hint="cs"/>
          <w:noProof w:val="0"/>
          <w:rtl/>
        </w:rPr>
        <w:t>ב</w:t>
      </w:r>
      <w:hyperlink r:id="rId72" w:history="1">
        <w:r w:rsidR="00CE7AF3" w:rsidRPr="00CE7AF3">
          <w:rPr>
            <w:rFonts w:ascii="David" w:hAnsi="David"/>
            <w:noProof w:val="0"/>
            <w:color w:val="0000FF"/>
            <w:u w:val="single"/>
            <w:rtl/>
          </w:rPr>
          <w:t>בג"ץ 10226/08</w:t>
        </w:r>
      </w:hyperlink>
      <w:r w:rsidRPr="003406E4">
        <w:rPr>
          <w:rFonts w:ascii="David" w:hAnsi="David" w:hint="cs"/>
          <w:noProof w:val="0"/>
          <w:rtl/>
        </w:rPr>
        <w:t xml:space="preserve"> </w:t>
      </w:r>
      <w:r w:rsidRPr="003406E4">
        <w:rPr>
          <w:rFonts w:ascii="David" w:hAnsi="David" w:hint="cs"/>
          <w:b/>
          <w:bCs/>
          <w:noProof w:val="0"/>
          <w:rtl/>
        </w:rPr>
        <w:t>הניה זבידובסקי נ' שר הפנים</w:t>
      </w:r>
      <w:r w:rsidRPr="003406E4">
        <w:rPr>
          <w:rFonts w:ascii="David" w:hAnsi="David" w:hint="cs"/>
          <w:noProof w:val="0"/>
          <w:rtl/>
        </w:rPr>
        <w:t xml:space="preserve"> (נבו 2.8.2010 להלן: </w:t>
      </w:r>
      <w:r w:rsidRPr="003406E4">
        <w:rPr>
          <w:rFonts w:ascii="David" w:hAnsi="David" w:hint="cs"/>
          <w:b/>
          <w:bCs/>
          <w:noProof w:val="0"/>
          <w:rtl/>
        </w:rPr>
        <w:t>עניין זבידובסקי</w:t>
      </w:r>
      <w:r w:rsidRPr="003406E4">
        <w:rPr>
          <w:rFonts w:ascii="David" w:hAnsi="David" w:hint="cs"/>
          <w:noProof w:val="0"/>
          <w:rtl/>
        </w:rPr>
        <w:t xml:space="preserve">) </w:t>
      </w:r>
      <w:r w:rsidRPr="003406E4">
        <w:rPr>
          <w:rFonts w:ascii="Arial" w:hAnsi="Arial" w:hint="cs"/>
          <w:noProof w:val="0"/>
          <w:rtl/>
        </w:rPr>
        <w:t>קבע בית המשפט העליון את המבחן המשפטי המצדיק לשלול מאדם את זכותו לקבל אזרחות ישראלית אף שהוכיח כי נולד כיהודי, משום שהוא "</w:t>
      </w:r>
      <w:r w:rsidRPr="003406E4">
        <w:rPr>
          <w:rFonts w:ascii="Arial" w:hAnsi="Arial" w:hint="cs"/>
          <w:b/>
          <w:bCs/>
          <w:noProof w:val="0"/>
          <w:rtl/>
        </w:rPr>
        <w:t>בן דת אחרת</w:t>
      </w:r>
      <w:r w:rsidRPr="003406E4">
        <w:rPr>
          <w:rFonts w:ascii="Arial" w:hAnsi="Arial" w:hint="cs"/>
          <w:noProof w:val="0"/>
          <w:rtl/>
        </w:rPr>
        <w:t xml:space="preserve">". כב' השופט ניל הנדל, שכתב את פסק הדין </w:t>
      </w:r>
      <w:r w:rsidRPr="003406E4">
        <w:rPr>
          <w:rFonts w:ascii="Arial" w:hAnsi="Arial" w:hint="cs"/>
          <w:noProof w:val="0"/>
          <w:rtl/>
        </w:rPr>
        <w:lastRenderedPageBreak/>
        <w:t>העיקרי</w:t>
      </w:r>
      <w:r w:rsidRPr="003406E4">
        <w:rPr>
          <w:rFonts w:ascii="Arial" w:hAnsi="Arial" w:hint="cs"/>
          <w:b/>
          <w:bCs/>
          <w:noProof w:val="0"/>
          <w:rtl/>
        </w:rPr>
        <w:t xml:space="preserve"> ב</w:t>
      </w:r>
      <w:r w:rsidRPr="003406E4">
        <w:rPr>
          <w:rFonts w:ascii="David" w:hAnsi="David" w:hint="cs"/>
          <w:b/>
          <w:bCs/>
          <w:noProof w:val="0"/>
          <w:rtl/>
        </w:rPr>
        <w:t>עניין זבידובסקי</w:t>
      </w:r>
      <w:r w:rsidRPr="003406E4">
        <w:rPr>
          <w:rFonts w:ascii="Arial" w:hAnsi="Arial" w:hint="cs"/>
          <w:noProof w:val="0"/>
          <w:rtl/>
        </w:rPr>
        <w:t>, עמד בהרחבה על ההיסטוריה החקיקתית ועל המחלוקות שהתעוררו בעבר בספרות ובפסיקה בעיקר ב</w:t>
      </w:r>
      <w:hyperlink r:id="rId73" w:history="1">
        <w:r w:rsidR="00CE7AF3" w:rsidRPr="00CE7AF3">
          <w:rPr>
            <w:rFonts w:ascii="Arial" w:hAnsi="Arial"/>
            <w:noProof w:val="0"/>
            <w:color w:val="0000FF"/>
            <w:u w:val="single"/>
            <w:rtl/>
          </w:rPr>
          <w:t>בג"צ 265/87</w:t>
        </w:r>
      </w:hyperlink>
      <w:r w:rsidRPr="003406E4">
        <w:rPr>
          <w:rFonts w:ascii="Arial" w:hAnsi="Arial" w:hint="cs"/>
          <w:noProof w:val="0"/>
          <w:rtl/>
        </w:rPr>
        <w:t xml:space="preserve">, </w:t>
      </w:r>
      <w:r w:rsidRPr="003406E4">
        <w:rPr>
          <w:rFonts w:ascii="Arial" w:hAnsi="Arial" w:hint="cs"/>
          <w:b/>
          <w:bCs/>
          <w:noProof w:val="0"/>
          <w:rtl/>
        </w:rPr>
        <w:t>ברספורד ואח' נ' משרד הפנים</w:t>
      </w:r>
      <w:r w:rsidRPr="003406E4">
        <w:rPr>
          <w:rFonts w:ascii="Arial" w:hAnsi="Arial" w:hint="cs"/>
          <w:noProof w:val="0"/>
          <w:rtl/>
        </w:rPr>
        <w:t xml:space="preserve">, פ"ד מג (4), 793 (1989 להלן: </w:t>
      </w:r>
      <w:r w:rsidRPr="003406E4">
        <w:rPr>
          <w:rFonts w:ascii="Arial" w:hAnsi="Arial" w:hint="cs"/>
          <w:b/>
          <w:bCs/>
          <w:noProof w:val="0"/>
          <w:rtl/>
        </w:rPr>
        <w:t>עניין ברספורד</w:t>
      </w:r>
      <w:r w:rsidRPr="003406E4">
        <w:rPr>
          <w:rFonts w:ascii="Arial" w:hAnsi="Arial" w:hint="cs"/>
          <w:noProof w:val="0"/>
          <w:rtl/>
        </w:rPr>
        <w:t>)), בשאלה האם יש להכריע בשאלה זו לפי כללי הדת האחרת, לפי ההלכה היהודית או לפי החוק החילוני-ישראלי.</w:t>
      </w:r>
    </w:p>
    <w:p w14:paraId="265D242E" w14:textId="77777777" w:rsidR="00103DFA" w:rsidRPr="003406E4" w:rsidRDefault="00103DFA" w:rsidP="00103DFA">
      <w:pPr>
        <w:spacing w:line="360" w:lineRule="auto"/>
        <w:contextualSpacing/>
        <w:jc w:val="both"/>
        <w:rPr>
          <w:rFonts w:ascii="Arial" w:hAnsi="Arial"/>
          <w:noProof w:val="0"/>
        </w:rPr>
      </w:pPr>
    </w:p>
    <w:p w14:paraId="5E41B194"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 xml:space="preserve">בפסק דינו </w:t>
      </w:r>
      <w:r w:rsidRPr="003406E4">
        <w:rPr>
          <w:rFonts w:ascii="Arial" w:hAnsi="Arial" w:hint="cs"/>
          <w:b/>
          <w:bCs/>
          <w:noProof w:val="0"/>
          <w:rtl/>
        </w:rPr>
        <w:t>ב</w:t>
      </w:r>
      <w:r w:rsidRPr="003406E4">
        <w:rPr>
          <w:rFonts w:ascii="David" w:hAnsi="David" w:hint="cs"/>
          <w:b/>
          <w:bCs/>
          <w:noProof w:val="0"/>
          <w:rtl/>
        </w:rPr>
        <w:t>עניין זבידובסקי</w:t>
      </w:r>
      <w:r w:rsidRPr="003406E4">
        <w:rPr>
          <w:rFonts w:ascii="Arial" w:hAnsi="Arial" w:hint="cs"/>
          <w:noProof w:val="0"/>
          <w:rtl/>
        </w:rPr>
        <w:t xml:space="preserve"> הסתמך כב' השופט הנדל על פסק הדין</w:t>
      </w:r>
      <w:r w:rsidRPr="003406E4">
        <w:rPr>
          <w:rFonts w:ascii="Arial" w:hAnsi="Arial" w:hint="cs"/>
          <w:b/>
          <w:bCs/>
          <w:noProof w:val="0"/>
          <w:rtl/>
        </w:rPr>
        <w:t xml:space="preserve"> בעניין ברספורד</w:t>
      </w:r>
      <w:r w:rsidRPr="003406E4">
        <w:rPr>
          <w:rFonts w:ascii="Arial" w:hAnsi="Arial" w:hint="cs"/>
          <w:noProof w:val="0"/>
          <w:rtl/>
        </w:rPr>
        <w:t xml:space="preserve">, שבו נפסל מבחן הדת האחרת, ונותרה מחלוקת בין מ"מ הנשיא (דאז) כב' השופט מנחם אלון שהחיל על הסוגייה את המשפט העברי, לבין כב' השופט, לימים הנשיא, אהרן ברק, שהחיל עליה מבחן חילוני-ישראלי. כב' השופט הנדל עמד בהרחבה על המחלוקת בין שתי הגישות, וקבע בפסק דינו </w:t>
      </w:r>
      <w:r w:rsidRPr="003406E4">
        <w:rPr>
          <w:rFonts w:ascii="Arial" w:hAnsi="Arial" w:hint="cs"/>
          <w:b/>
          <w:bCs/>
          <w:noProof w:val="0"/>
          <w:rtl/>
        </w:rPr>
        <w:t>ב</w:t>
      </w:r>
      <w:r w:rsidRPr="003406E4">
        <w:rPr>
          <w:rFonts w:ascii="David" w:hAnsi="David" w:hint="cs"/>
          <w:b/>
          <w:bCs/>
          <w:noProof w:val="0"/>
          <w:rtl/>
        </w:rPr>
        <w:t>עניין זבידובסקי</w:t>
      </w:r>
      <w:r w:rsidRPr="003406E4">
        <w:rPr>
          <w:rFonts w:ascii="Arial" w:hAnsi="Arial" w:hint="cs"/>
          <w:noProof w:val="0"/>
          <w:rtl/>
        </w:rPr>
        <w:t xml:space="preserve"> מבחן מעשי יישומי להכרעה מיהו "בן דת אחרת", הנשען על המשפט העברי במובן רחב יותר מזה שהוצע על-ידי כב' השופט אלון. במסגרת הניתוח, מבחין כב' השופט הנדל תחילה, בין הקביעה מיהו יהודי בהקשר </w:t>
      </w:r>
      <w:hyperlink r:id="rId74" w:history="1">
        <w:r w:rsidR="00CE7AF3" w:rsidRPr="00CE7AF3">
          <w:rPr>
            <w:rFonts w:ascii="Arial" w:hAnsi="Arial"/>
            <w:noProof w:val="0"/>
            <w:color w:val="0000FF"/>
            <w:u w:val="single"/>
            <w:rtl/>
          </w:rPr>
          <w:t>חוק השבות</w:t>
        </w:r>
      </w:hyperlink>
      <w:r w:rsidRPr="003406E4">
        <w:rPr>
          <w:rFonts w:ascii="Arial" w:hAnsi="Arial" w:hint="cs"/>
          <w:noProof w:val="0"/>
          <w:rtl/>
        </w:rPr>
        <w:t xml:space="preserve"> המסתמכת על ההלכה היהודית, לבין הקביעה מיהו "בן דת אחרת" שאינה מסתמכת על ההלכה היהודית (פס' 6):</w:t>
      </w:r>
    </w:p>
    <w:p w14:paraId="194675CD"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rtl/>
        </w:rPr>
        <w:t xml:space="preserve">"ראשית, כפי שהוסבר לעיל, עולה כי </w:t>
      </w:r>
      <w:r w:rsidRPr="003406E4">
        <w:rPr>
          <w:rFonts w:ascii="David" w:eastAsia="David" w:hAnsi="David" w:hint="cs"/>
          <w:b/>
          <w:bCs/>
          <w:noProof w:val="0"/>
          <w:u w:val="single"/>
          <w:rtl/>
        </w:rPr>
        <w:t>סעיף 4ב ל</w:t>
      </w:r>
      <w:hyperlink r:id="rId75" w:history="1">
        <w:r w:rsidR="00CE7AF3" w:rsidRPr="00CE7AF3">
          <w:rPr>
            <w:rFonts w:ascii="David" w:eastAsia="David" w:hAnsi="David"/>
            <w:b/>
            <w:bCs/>
            <w:noProof w:val="0"/>
            <w:color w:val="0000FF"/>
            <w:u w:val="single"/>
            <w:rtl/>
          </w:rPr>
          <w:t>חוק השבות</w:t>
        </w:r>
      </w:hyperlink>
      <w:r w:rsidRPr="003406E4">
        <w:rPr>
          <w:rFonts w:ascii="David" w:eastAsia="David" w:hAnsi="David" w:hint="cs"/>
          <w:b/>
          <w:bCs/>
          <w:noProof w:val="0"/>
          <w:u w:val="single"/>
          <w:rtl/>
        </w:rPr>
        <w:t xml:space="preserve"> הינו סעיף מיוחד בחוק ייחודי. כך קבע המחוקק, אשר בחן את סעיף ההגדרה על פי עולמה של ההלכה היהודית – יהודי הוא בן לאמא יהודיה או מי שהתגייר</w:t>
      </w:r>
      <w:r w:rsidRPr="003406E4">
        <w:rPr>
          <w:rFonts w:ascii="David" w:eastAsia="David" w:hAnsi="David" w:hint="cs"/>
          <w:b/>
          <w:bCs/>
          <w:noProof w:val="0"/>
          <w:rtl/>
        </w:rPr>
        <w:t xml:space="preserve">. שנית, גישת המשפט העברי בסוגיה הנדונה אינה מהווה את הדין הדתי במובן הרגיל. ככלל, ההלכה היהודית הינה שיטה משפטית רחבה ומפורטת, הדנה בסוגיות המלוות את האדם מרגע לידתו ועד ליום מותו – בביתו, בשדהו ובקשריו עם עצמו, עם משפחתו, עם סביבתו ועם בורא עולם. יש שהמשילו את ההלכה למתמטיקה בשל חתירתה לדיוק באמצעות קביעת כללים עצמאיים (ראו הרב י' סולובייצ'יק, </w:t>
      </w:r>
      <w:r w:rsidRPr="003406E4">
        <w:rPr>
          <w:rFonts w:ascii="David" w:eastAsia="David" w:hAnsi="David" w:hint="cs"/>
          <w:b/>
          <w:bCs/>
          <w:noProof w:val="0"/>
          <w:sz w:val="28"/>
          <w:rtl/>
        </w:rPr>
        <w:t>איש ההלכה</w:t>
      </w:r>
      <w:r w:rsidRPr="003406E4">
        <w:rPr>
          <w:rFonts w:ascii="David" w:eastAsia="David" w:hAnsi="David" w:hint="cs"/>
          <w:b/>
          <w:bCs/>
          <w:noProof w:val="0"/>
          <w:rtl/>
        </w:rPr>
        <w:t>, תלפיות 1944). כך למשל, קיימת הגדרה בדבר הדקה בה נכנסת השבת ומעמדו של עובר בשלבי ההיריון והלידה השונים.</w:t>
      </w:r>
    </w:p>
    <w:p w14:paraId="3F21F6B0" w14:textId="77777777" w:rsidR="00103DFA" w:rsidRPr="003406E4" w:rsidRDefault="00103DFA" w:rsidP="00103DFA">
      <w:pPr>
        <w:ind w:left="567" w:right="567"/>
        <w:jc w:val="both"/>
        <w:rPr>
          <w:rFonts w:ascii="David" w:eastAsia="David" w:hAnsi="David"/>
          <w:b/>
          <w:bCs/>
          <w:noProof w:val="0"/>
          <w:rtl/>
        </w:rPr>
      </w:pPr>
    </w:p>
    <w:p w14:paraId="1501A724"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u w:val="single"/>
          <w:rtl/>
        </w:rPr>
        <w:t>שונים פני הדברים בבוא ההלכה להגדיר מתי יהודי ייחשב ל'בן דת אחרת'</w:t>
      </w:r>
      <w:r w:rsidRPr="003406E4">
        <w:rPr>
          <w:rFonts w:ascii="David" w:eastAsia="David" w:hAnsi="David" w:hint="cs"/>
          <w:b/>
          <w:bCs/>
          <w:noProof w:val="0"/>
          <w:rtl/>
        </w:rPr>
        <w:t xml:space="preserve">. עיון בספרות השו"ת ישכילנו כי רבני הדורות לא נדרשו, כדרכם, להתפלפל בסוגיית ההגדרה של המונח. למשל, הם לא עסקו בשאלה כמה מצוות של הדת האחרת על היהודי לקיים כדי להפוך ל'בן דת אחרת' או ל'משומד' – מטבע הלשון ההלכתי (לדיון בהיסטוריה של המונח ראו ש' ליברמן, </w:t>
      </w:r>
      <w:r w:rsidRPr="003406E4">
        <w:rPr>
          <w:rFonts w:ascii="David" w:eastAsia="David" w:hAnsi="David" w:hint="cs"/>
          <w:b/>
          <w:bCs/>
          <w:noProof w:val="0"/>
          <w:sz w:val="28"/>
          <w:rtl/>
        </w:rPr>
        <w:t>תוספתא כפשוטה</w:t>
      </w:r>
      <w:r w:rsidRPr="003406E4">
        <w:rPr>
          <w:rFonts w:ascii="David" w:eastAsia="David" w:hAnsi="David" w:hint="cs"/>
          <w:b/>
          <w:bCs/>
          <w:noProof w:val="0"/>
          <w:rtl/>
        </w:rPr>
        <w:t xml:space="preserve">, חלק ג', 402, הערת שוליים 45 (ניו יורק 1962)). השיח ההלכתי המאפיין סוגיות שונות, כפי שתואר לעיל, אינו בנמצא. בכך אין כל תמה. ההלכה – ובכך היא דומה לעמדת השופטים ברק ואלון בעניין ברספורד – אינה חפצה ואף אינה רואה כראויה הגדרת 'בן דת אחרת' על פי תשובה רשמית של הדת האחרת. אלא מאי? </w:t>
      </w:r>
      <w:bookmarkStart w:id="11" w:name="_Hlk198548655"/>
      <w:r w:rsidRPr="003406E4">
        <w:rPr>
          <w:rFonts w:ascii="David" w:eastAsia="David" w:hAnsi="David" w:hint="cs"/>
          <w:b/>
          <w:bCs/>
          <w:noProof w:val="0"/>
          <w:u w:val="single"/>
          <w:rtl/>
        </w:rPr>
        <w:t>ספרות השו"ת בוחנת את המשמעות ההלכתית מבחינת זכויותיו וחובותיו של יהודי אשר הפך 'בן דת אחרת'. אולם, היא אינה שואפת להגדרה דתית מדויקת של יהודי שהינו 'בן דת אחרת'</w:t>
      </w:r>
      <w:bookmarkEnd w:id="11"/>
      <w:r w:rsidRPr="003406E4">
        <w:rPr>
          <w:rFonts w:ascii="David" w:eastAsia="David" w:hAnsi="David" w:hint="cs"/>
          <w:b/>
          <w:bCs/>
          <w:noProof w:val="0"/>
          <w:rtl/>
        </w:rPr>
        <w:t xml:space="preserve">. </w:t>
      </w:r>
    </w:p>
    <w:p w14:paraId="7B75C473" w14:textId="77777777" w:rsidR="00103DFA" w:rsidRPr="003406E4" w:rsidRDefault="00103DFA" w:rsidP="00103DFA">
      <w:pPr>
        <w:ind w:right="567"/>
        <w:contextualSpacing/>
        <w:jc w:val="both"/>
        <w:rPr>
          <w:rFonts w:ascii="Arial" w:hAnsi="Arial"/>
          <w:noProof w:val="0"/>
          <w:rtl/>
        </w:rPr>
      </w:pPr>
      <w:r w:rsidRPr="003406E4">
        <w:rPr>
          <w:rFonts w:ascii="Arial" w:hAnsi="Arial" w:hint="cs"/>
          <w:noProof w:val="0"/>
          <w:rtl/>
        </w:rPr>
        <w:t xml:space="preserve">          (ההדגשות שלי מ' א' ג'). </w:t>
      </w:r>
    </w:p>
    <w:p w14:paraId="6FFE6EB4" w14:textId="77777777" w:rsidR="00103DFA" w:rsidRPr="003406E4" w:rsidRDefault="00103DFA" w:rsidP="00103DFA">
      <w:pPr>
        <w:spacing w:line="360" w:lineRule="auto"/>
        <w:contextualSpacing/>
        <w:jc w:val="both"/>
        <w:rPr>
          <w:rFonts w:ascii="Arial" w:hAnsi="Arial"/>
          <w:noProof w:val="0"/>
          <w:rtl/>
        </w:rPr>
      </w:pPr>
    </w:p>
    <w:p w14:paraId="0EE9E435"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בהמשך לכך נשען כב' השופט הנדל על ספרות השו"ת, וקובע (בהמשך פס' 6) כי:</w:t>
      </w:r>
    </w:p>
    <w:p w14:paraId="3DE47FA0"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u w:val="single"/>
          <w:rtl/>
        </w:rPr>
        <w:t>"התמונה המצטיירת מספרות השו"ת, שמתארת את הגישה ההיסטורית של העם ורבניו להגדרת 'בן דת אחרת', תסלול את הדרך לקביעת מבחן מעשי: כדי שיהודי ייחשב מומר לדת אחרת עליו לנקוט צעדים קיצוניים. עליו להיכנס לליבה של הדת האחרת</w:t>
      </w:r>
      <w:r w:rsidRPr="003406E4">
        <w:rPr>
          <w:rFonts w:ascii="David" w:eastAsia="David" w:hAnsi="David" w:hint="cs"/>
          <w:b/>
          <w:bCs/>
          <w:noProof w:val="0"/>
          <w:rtl/>
        </w:rPr>
        <w:t xml:space="preserve">. </w:t>
      </w:r>
      <w:r w:rsidRPr="003406E4">
        <w:rPr>
          <w:rFonts w:ascii="David" w:eastAsia="David" w:hAnsi="David" w:hint="cs"/>
          <w:b/>
          <w:bCs/>
          <w:noProof w:val="0"/>
          <w:u w:val="single"/>
          <w:rtl/>
        </w:rPr>
        <w:t>קביעה שמאן דהוא 'משומד' דורשת הזדהות עם הדת האחרת והתנהגות בהתאם. משמע, הבדיקה מתבצעת על פי מכלול של גורמים: התנהגות, כוונה, מודעות, הצהרה ונכונות להיכנס לתוככי הדת האחרת ולאמץ את סמליה. העניין נבחן תוך התבוננות בתמונה הכוללת</w:t>
      </w:r>
      <w:r w:rsidRPr="003406E4">
        <w:rPr>
          <w:rFonts w:ascii="David" w:eastAsia="David" w:hAnsi="David" w:hint="cs"/>
          <w:b/>
          <w:bCs/>
          <w:noProof w:val="0"/>
          <w:rtl/>
        </w:rPr>
        <w:t xml:space="preserve">. הדבר אינו מפתיע. יהודי אשר בוחר להיות 'בן דת אחרת' נושא בנטל כבד. יושם אל לב, עצם המונח מפנה את הזרקור לעבר קבוצה קיימת שהמשותף לחבריה – אמונה ודרך עבודת האל. לא די בקיומן של פילוסופיות ותפישות עולם משותפות. על היהודי 'בן דת אחרת' לקיים לכל הפחות את עיקרם של המנהגים, המצוות ואורח חייהם של חברי הדת האחרת. כאמור, העניין אינו נבדק לפי ההגדרה הדתית של 'הדת האחרת'. במובן זה, המבחן נערך על ידי היהדות </w:t>
      </w:r>
      <w:r w:rsidRPr="003406E4">
        <w:rPr>
          <w:rFonts w:ascii="David" w:eastAsia="David" w:hAnsi="David" w:hint="cs"/>
          <w:b/>
          <w:bCs/>
          <w:noProof w:val="0"/>
          <w:rtl/>
        </w:rPr>
        <w:lastRenderedPageBreak/>
        <w:t xml:space="preserve">המביטה מבעד לחלון לעולם אחר, שהיא אינה חלק ממנו. ההגדרות של היהדות עצמה עשויות להיות רלוונטיות. למשל, יהודי שטוען כי יהודי טוב הוא יהודי המאמין בישו ונוהג לפי קו זה – ייחשב 'בן דת אחרת'. כך נפסק בפרשות ברספורד וקנדל. </w:t>
      </w:r>
      <w:r w:rsidRPr="003406E4">
        <w:rPr>
          <w:rFonts w:ascii="David" w:eastAsia="David" w:hAnsi="David" w:hint="cs"/>
          <w:b/>
          <w:bCs/>
          <w:noProof w:val="0"/>
          <w:u w:val="single"/>
          <w:rtl/>
        </w:rPr>
        <w:t>כדי שיהודי ייחשב 'משומד' או 'בן דת אחרת', עליו ליצור זיקה חזקה בינו לבין הדת האחרת</w:t>
      </w:r>
      <w:r w:rsidRPr="003406E4">
        <w:rPr>
          <w:rFonts w:ascii="David" w:eastAsia="David" w:hAnsi="David" w:hint="cs"/>
          <w:b/>
          <w:bCs/>
          <w:noProof w:val="0"/>
          <w:rtl/>
        </w:rPr>
        <w:t>.</w:t>
      </w:r>
    </w:p>
    <w:p w14:paraId="0200E3B6" w14:textId="77777777" w:rsidR="00103DFA" w:rsidRPr="003406E4" w:rsidRDefault="00103DFA" w:rsidP="00103DFA">
      <w:pPr>
        <w:ind w:left="567" w:right="567"/>
        <w:jc w:val="both"/>
        <w:rPr>
          <w:rFonts w:ascii="David" w:eastAsia="David" w:hAnsi="David"/>
          <w:noProof w:val="0"/>
          <w:rtl/>
        </w:rPr>
      </w:pPr>
      <w:r w:rsidRPr="003406E4">
        <w:rPr>
          <w:rFonts w:ascii="Arial" w:eastAsia="David" w:hAnsi="Arial" w:hint="cs"/>
          <w:noProof w:val="0"/>
          <w:rtl/>
        </w:rPr>
        <w:t xml:space="preserve">(ההדגשות שלי מ' א' ג'). </w:t>
      </w:r>
      <w:r w:rsidRPr="003406E4">
        <w:rPr>
          <w:rFonts w:ascii="David" w:eastAsia="David" w:hAnsi="David" w:hint="cs"/>
          <w:noProof w:val="0"/>
          <w:rtl/>
        </w:rPr>
        <w:t xml:space="preserve"> </w:t>
      </w:r>
    </w:p>
    <w:p w14:paraId="772C74A3" w14:textId="77777777" w:rsidR="00103DFA" w:rsidRPr="003406E4" w:rsidRDefault="00103DFA" w:rsidP="00103DFA">
      <w:pPr>
        <w:spacing w:line="360" w:lineRule="auto"/>
        <w:contextualSpacing/>
        <w:jc w:val="both"/>
        <w:rPr>
          <w:rFonts w:ascii="Arial" w:hAnsi="Arial"/>
          <w:noProof w:val="0"/>
          <w:rtl/>
        </w:rPr>
      </w:pPr>
    </w:p>
    <w:p w14:paraId="7F8381E8"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עוד מוסיף כב' השופט הנדל ומפרט את חשיבות ההבחנה בין יהודי שאינו מקיים את מצוות הדת היהודית לבין מי שהמיר את דתו ומוצדק לשלול ממנו בשל כך את הזכות לשבות (בהמשך פס' 6):</w:t>
      </w:r>
    </w:p>
    <w:p w14:paraId="731B9963" w14:textId="77777777" w:rsidR="00103DFA" w:rsidRPr="003406E4" w:rsidRDefault="00103DFA" w:rsidP="00103DFA">
      <w:pPr>
        <w:ind w:left="567" w:right="567"/>
        <w:jc w:val="both"/>
        <w:rPr>
          <w:rFonts w:ascii="David" w:eastAsia="David" w:hAnsi="David"/>
          <w:b/>
          <w:bCs/>
          <w:noProof w:val="0"/>
          <w:rtl/>
        </w:rPr>
      </w:pPr>
      <w:r w:rsidRPr="003406E4">
        <w:rPr>
          <w:rFonts w:ascii="David" w:eastAsia="David" w:hAnsi="David" w:hint="cs"/>
          <w:b/>
          <w:bCs/>
          <w:noProof w:val="0"/>
          <w:u w:val="single"/>
          <w:rtl/>
        </w:rPr>
        <w:t xml:space="preserve">"נדמה כי המבחן, כפי שהוצג, תואם לא רק את התכלית הסובייקטיבית של החוק אלא גם את התכלית האובייקטיבית. החריג יוחל רק במקרה קיצוני. לא בנקל תילקח מיהודי הזכות המוענקת לו מכוח </w:t>
      </w:r>
      <w:hyperlink r:id="rId76" w:history="1">
        <w:r w:rsidR="00CE7AF3" w:rsidRPr="00CE7AF3">
          <w:rPr>
            <w:rFonts w:ascii="David" w:eastAsia="David" w:hAnsi="David"/>
            <w:b/>
            <w:bCs/>
            <w:noProof w:val="0"/>
            <w:color w:val="0000FF"/>
            <w:u w:val="single"/>
            <w:rtl/>
          </w:rPr>
          <w:t>חוק השבות</w:t>
        </w:r>
      </w:hyperlink>
      <w:r w:rsidRPr="003406E4">
        <w:rPr>
          <w:rFonts w:ascii="David" w:eastAsia="David" w:hAnsi="David" w:hint="cs"/>
          <w:b/>
          <w:bCs/>
          <w:noProof w:val="0"/>
          <w:u w:val="single"/>
          <w:rtl/>
        </w:rPr>
        <w:t xml:space="preserve">. עם זאת, מצב בו יהודי בוחר לצעוד בנתיביה של דת אחרת – תישלל זכותו להמשיך ולחסות תחת כנפי </w:t>
      </w:r>
      <w:hyperlink r:id="rId77" w:history="1">
        <w:r w:rsidR="00CE7AF3" w:rsidRPr="00CE7AF3">
          <w:rPr>
            <w:rFonts w:ascii="David" w:eastAsia="David" w:hAnsi="David"/>
            <w:b/>
            <w:bCs/>
            <w:noProof w:val="0"/>
            <w:color w:val="0000FF"/>
            <w:u w:val="single"/>
            <w:rtl/>
          </w:rPr>
          <w:t>חוק השבות</w:t>
        </w:r>
      </w:hyperlink>
      <w:r w:rsidRPr="003406E4">
        <w:rPr>
          <w:rFonts w:ascii="David" w:eastAsia="David" w:hAnsi="David" w:hint="cs"/>
          <w:b/>
          <w:bCs/>
          <w:noProof w:val="0"/>
          <w:rtl/>
        </w:rPr>
        <w:t xml:space="preserve">. </w:t>
      </w:r>
      <w:r w:rsidRPr="003406E4">
        <w:rPr>
          <w:rFonts w:ascii="David" w:eastAsia="David" w:hAnsi="David" w:hint="cs"/>
          <w:b/>
          <w:bCs/>
          <w:noProof w:val="0"/>
          <w:u w:val="single"/>
          <w:rtl/>
        </w:rPr>
        <w:t xml:space="preserve">ויוטעם, </w:t>
      </w:r>
      <w:hyperlink r:id="rId78" w:history="1">
        <w:r w:rsidR="00CE7AF3" w:rsidRPr="00CE7AF3">
          <w:rPr>
            <w:rFonts w:ascii="David" w:eastAsia="David" w:hAnsi="David"/>
            <w:b/>
            <w:bCs/>
            <w:noProof w:val="0"/>
            <w:color w:val="0000FF"/>
            <w:u w:val="single"/>
            <w:rtl/>
          </w:rPr>
          <w:t>חוק השבות</w:t>
        </w:r>
      </w:hyperlink>
      <w:r w:rsidRPr="003406E4">
        <w:rPr>
          <w:rFonts w:ascii="David" w:eastAsia="David" w:hAnsi="David" w:hint="cs"/>
          <w:b/>
          <w:bCs/>
          <w:noProof w:val="0"/>
          <w:u w:val="single"/>
          <w:rtl/>
        </w:rPr>
        <w:t xml:space="preserve"> אינו מבחין בין יהודי המקפיד לשמור על מצוות אלו ואחרות לבין יהודי שאינו מקפיד לשמור על מצוות כלל. הגדרת 'יהודי' אינה נגזרת ממסירותו לדת. </w:t>
      </w:r>
      <w:hyperlink r:id="rId79" w:history="1">
        <w:r w:rsidR="00CE7AF3" w:rsidRPr="00CE7AF3">
          <w:rPr>
            <w:rFonts w:ascii="David" w:eastAsia="David" w:hAnsi="David"/>
            <w:b/>
            <w:bCs/>
            <w:noProof w:val="0"/>
            <w:color w:val="0000FF"/>
            <w:u w:val="single"/>
            <w:rtl/>
          </w:rPr>
          <w:t>חוק השבות</w:t>
        </w:r>
      </w:hyperlink>
      <w:r w:rsidRPr="003406E4">
        <w:rPr>
          <w:rFonts w:ascii="David" w:eastAsia="David" w:hAnsi="David" w:hint="cs"/>
          <w:b/>
          <w:bCs/>
          <w:noProof w:val="0"/>
          <w:u w:val="single"/>
          <w:rtl/>
        </w:rPr>
        <w:t xml:space="preserve"> אינו מבחין בין יהודים. הוא אינו עוסק בשאלה וכמובן אין זה ראוי שיעסוק בשאלה מי הוא יהודי 'טוב'</w:t>
      </w:r>
      <w:r w:rsidRPr="003406E4">
        <w:rPr>
          <w:rFonts w:ascii="David" w:eastAsia="David" w:hAnsi="David" w:hint="cs"/>
          <w:b/>
          <w:bCs/>
          <w:noProof w:val="0"/>
          <w:rtl/>
        </w:rPr>
        <w:t>. עם זאת, קיים חריג אחד בדמות 'בן דת אחרת'. כאמור, כפי ש</w:t>
      </w:r>
      <w:hyperlink r:id="rId80" w:history="1">
        <w:r w:rsidR="00CE7AF3" w:rsidRPr="00CE7AF3">
          <w:rPr>
            <w:rFonts w:ascii="David" w:eastAsia="David" w:hAnsi="David"/>
            <w:b/>
            <w:bCs/>
            <w:noProof w:val="0"/>
            <w:color w:val="0000FF"/>
            <w:u w:val="single"/>
            <w:rtl/>
          </w:rPr>
          <w:t>חוק השבות</w:t>
        </w:r>
      </w:hyperlink>
      <w:r w:rsidRPr="003406E4">
        <w:rPr>
          <w:rFonts w:ascii="David" w:eastAsia="David" w:hAnsi="David" w:hint="cs"/>
          <w:b/>
          <w:bCs/>
          <w:noProof w:val="0"/>
          <w:rtl/>
        </w:rPr>
        <w:t xml:space="preserve"> מתייחס באופן מיוחד ל'בן דת אחרת', כך גם המשפט העברי. </w:t>
      </w:r>
      <w:r w:rsidRPr="003406E4">
        <w:rPr>
          <w:rFonts w:ascii="David" w:eastAsia="David" w:hAnsi="David" w:hint="cs"/>
          <w:b/>
          <w:bCs/>
          <w:noProof w:val="0"/>
          <w:u w:val="single"/>
          <w:rtl/>
        </w:rPr>
        <w:t>במבחן המעשי האמור יש להתייחס להיסטוריה היהודית בגולה ובארץ, לניסיון המשפטי של פוסקי הדורות, לתפישת העם המלוכדת בנושא זה ואף לנכונותה של קהילת הדת האחרת לקבל לקרבה את היהודי בן הדת האחרת</w:t>
      </w:r>
      <w:r w:rsidRPr="003406E4">
        <w:rPr>
          <w:rFonts w:ascii="David" w:eastAsia="David" w:hAnsi="David" w:hint="cs"/>
          <w:b/>
          <w:bCs/>
          <w:noProof w:val="0"/>
          <w:rtl/>
        </w:rPr>
        <w:t>. דומני כי המבחן כפי שהוצע בפועל עונה על הרציונאל העומד הן מאחורי עמדת הנשיא ברק והן מאחורי עמדת השופט אלון. לא בכדי הגיעו השניים למסקנה דומה בעניין ברספורד. זאת ועוד, הגם שחלפו כארבעים שנה ממועד תיקון סעיף 4ב ומאז נקבע שאין לבחון המונח 'בן דת אחרת' על פי הדת האחרת – לא התגלעה מחלוקת בסוגיה זו על ידי בית משפט זה.</w:t>
      </w:r>
    </w:p>
    <w:p w14:paraId="04D871C4" w14:textId="77777777" w:rsidR="00103DFA" w:rsidRPr="003406E4" w:rsidRDefault="00103DFA" w:rsidP="00103DFA">
      <w:pPr>
        <w:ind w:left="567" w:right="567"/>
        <w:jc w:val="both"/>
        <w:rPr>
          <w:rFonts w:ascii="David" w:eastAsia="David" w:hAnsi="David"/>
          <w:noProof w:val="0"/>
          <w:rtl/>
        </w:rPr>
      </w:pPr>
      <w:r w:rsidRPr="003406E4">
        <w:rPr>
          <w:rFonts w:ascii="Arial" w:eastAsia="David" w:hAnsi="Arial" w:hint="cs"/>
          <w:noProof w:val="0"/>
          <w:rtl/>
        </w:rPr>
        <w:t xml:space="preserve">(ההדגשות שלי מ' א' ג'). </w:t>
      </w:r>
      <w:r w:rsidRPr="003406E4">
        <w:rPr>
          <w:rFonts w:ascii="David" w:eastAsia="David" w:hAnsi="David" w:hint="cs"/>
          <w:noProof w:val="0"/>
          <w:rtl/>
        </w:rPr>
        <w:t xml:space="preserve"> </w:t>
      </w:r>
    </w:p>
    <w:p w14:paraId="7E9116FC" w14:textId="77777777" w:rsidR="00103DFA" w:rsidRPr="003406E4" w:rsidRDefault="00103DFA" w:rsidP="00103DFA">
      <w:pPr>
        <w:spacing w:line="360" w:lineRule="auto"/>
        <w:contextualSpacing/>
        <w:jc w:val="both"/>
        <w:rPr>
          <w:rFonts w:ascii="Arial" w:hAnsi="Arial"/>
          <w:noProof w:val="0"/>
          <w:rtl/>
        </w:rPr>
      </w:pPr>
    </w:p>
    <w:p w14:paraId="1F2BB6E3"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David" w:hAnsi="David" w:hint="cs"/>
          <w:noProof w:val="0"/>
          <w:rtl/>
        </w:rPr>
        <w:t xml:space="preserve">כאמור </w:t>
      </w:r>
      <w:r w:rsidRPr="003406E4">
        <w:rPr>
          <w:rFonts w:ascii="Arial" w:hAnsi="Arial" w:hint="cs"/>
          <w:noProof w:val="0"/>
          <w:rtl/>
        </w:rPr>
        <w:t>לעיל</w:t>
      </w:r>
      <w:r w:rsidRPr="003406E4">
        <w:rPr>
          <w:rFonts w:ascii="David" w:hAnsi="David" w:hint="cs"/>
          <w:noProof w:val="0"/>
          <w:rtl/>
        </w:rPr>
        <w:t xml:space="preserve"> </w:t>
      </w:r>
      <w:r w:rsidRPr="003406E4">
        <w:rPr>
          <w:rFonts w:ascii="David" w:hAnsi="David" w:hint="cs"/>
          <w:b/>
          <w:bCs/>
          <w:noProof w:val="0"/>
          <w:rtl/>
        </w:rPr>
        <w:t>בעניין זדגנידזה</w:t>
      </w:r>
      <w:r w:rsidRPr="003406E4">
        <w:rPr>
          <w:rFonts w:ascii="David" w:hAnsi="David" w:hint="cs"/>
          <w:noProof w:val="0"/>
          <w:rtl/>
        </w:rPr>
        <w:t>, הענקת אזרחות מכוח שבות היא בעלת השלכות כבדות משקל, ועל הרשויות לנקוט משנה זהירות באשר לכך</w:t>
      </w:r>
      <w:r w:rsidRPr="003406E4">
        <w:rPr>
          <w:rFonts w:ascii="Arial" w:hAnsi="Arial" w:hint="cs"/>
          <w:noProof w:val="0"/>
          <w:rtl/>
        </w:rPr>
        <w:t>, לרבות לייחס משקל רב להצהרות המבקשים ולהתנהגותם. ב</w:t>
      </w:r>
      <w:hyperlink r:id="rId81" w:history="1">
        <w:r w:rsidR="00CE7AF3" w:rsidRPr="00CE7AF3">
          <w:rPr>
            <w:rFonts w:ascii="David" w:hAnsi="David"/>
            <w:noProof w:val="0"/>
            <w:color w:val="0000FF"/>
            <w:u w:val="single"/>
            <w:rtl/>
          </w:rPr>
          <w:t>בג"ץ 5342/12</w:t>
        </w:r>
      </w:hyperlink>
      <w:r w:rsidRPr="003406E4">
        <w:rPr>
          <w:rFonts w:ascii="David" w:hAnsi="David" w:hint="cs"/>
          <w:noProof w:val="0"/>
          <w:rtl/>
        </w:rPr>
        <w:t xml:space="preserve"> </w:t>
      </w:r>
      <w:r w:rsidRPr="003406E4">
        <w:rPr>
          <w:rFonts w:ascii="David" w:hAnsi="David" w:hint="cs"/>
          <w:b/>
          <w:bCs/>
          <w:noProof w:val="0"/>
          <w:rtl/>
        </w:rPr>
        <w:t>זולי רמירס לוי נ' משרד הפנים</w:t>
      </w:r>
      <w:r w:rsidRPr="003406E4">
        <w:rPr>
          <w:rFonts w:ascii="David" w:hAnsi="David" w:hint="cs"/>
          <w:noProof w:val="0"/>
          <w:rtl/>
        </w:rPr>
        <w:t xml:space="preserve"> (נבו 6.12.2015), נקבע בהקשר זה, כי "</w:t>
      </w:r>
      <w:r w:rsidRPr="003406E4">
        <w:rPr>
          <w:rFonts w:ascii="David" w:hAnsi="David" w:hint="cs"/>
          <w:b/>
          <w:bCs/>
          <w:noProof w:val="0"/>
          <w:rtl/>
        </w:rPr>
        <w:t>הבדיקה צריכה "להכיל" את הרב-גוניות של החיים היהודיים, את הרב-תרבותיות שבהם ואף את הגורל היהודי שגלגל רבים מבני העם היהודי עד קצווי תבל</w:t>
      </w:r>
      <w:r w:rsidRPr="003406E4">
        <w:rPr>
          <w:rFonts w:ascii="David" w:hAnsi="David" w:hint="cs"/>
          <w:noProof w:val="0"/>
          <w:rtl/>
        </w:rPr>
        <w:t>". כב' השופטת דפנה ברק ארז קבעה כי "</w:t>
      </w:r>
      <w:r w:rsidRPr="003406E4">
        <w:rPr>
          <w:rFonts w:ascii="David" w:hAnsi="David" w:hint="cs"/>
          <w:b/>
          <w:bCs/>
          <w:noProof w:val="0"/>
          <w:rtl/>
        </w:rPr>
        <w:t xml:space="preserve">אין באמור כדי להסיר מכתפיו של מבקש השבות את הנטל הראשוני להמציא ראיות מינהליות להוכחת זכאותו, ובכלל זאת גם תעודות שונות במדינות שבהן אלו נהוגות, אך יש להתאים את הדרישה </w:t>
      </w:r>
      <w:r w:rsidRPr="00253678">
        <w:rPr>
          <w:rFonts w:ascii="David" w:hAnsi="David" w:hint="cs"/>
          <w:b/>
          <w:bCs/>
          <w:noProof w:val="0"/>
          <w:rtl/>
        </w:rPr>
        <w:t>הראייתית לנסיבות המקרה והקהילה המסוימת</w:t>
      </w:r>
      <w:r w:rsidRPr="00253678">
        <w:rPr>
          <w:rFonts w:ascii="David" w:hAnsi="David" w:hint="cs"/>
          <w:noProof w:val="0"/>
          <w:rtl/>
        </w:rPr>
        <w:t>". בית המשפט העליון דן במהלך השנים ודחה עתירות במקרים שבהם לא הוכחה יהדות המבקשים כנדרש. למשל, ב</w:t>
      </w:r>
      <w:hyperlink r:id="rId82" w:history="1">
        <w:r w:rsidR="00CE7AF3" w:rsidRPr="00CE7AF3">
          <w:rPr>
            <w:rFonts w:ascii="David" w:hAnsi="David"/>
            <w:noProof w:val="0"/>
            <w:color w:val="0000FF"/>
            <w:u w:val="single"/>
            <w:rtl/>
          </w:rPr>
          <w:t>בג"ץ 3820/10</w:t>
        </w:r>
      </w:hyperlink>
      <w:r w:rsidRPr="00253678">
        <w:rPr>
          <w:rFonts w:ascii="David" w:hAnsi="David" w:hint="cs"/>
          <w:noProof w:val="0"/>
          <w:rtl/>
        </w:rPr>
        <w:t xml:space="preserve"> </w:t>
      </w:r>
      <w:r w:rsidRPr="00253678">
        <w:rPr>
          <w:rFonts w:ascii="David" w:hAnsi="David" w:hint="cs"/>
          <w:b/>
          <w:bCs/>
          <w:noProof w:val="0"/>
          <w:rtl/>
        </w:rPr>
        <w:t>זאב אייזקס נ' מנהל האוכלוסין- משרד הפנים</w:t>
      </w:r>
      <w:r w:rsidRPr="00253678">
        <w:rPr>
          <w:rFonts w:ascii="David" w:hAnsi="David" w:hint="cs"/>
          <w:noProof w:val="0"/>
          <w:rtl/>
        </w:rPr>
        <w:t xml:space="preserve"> (נבו 14.10.20151) נקבע כי "</w:t>
      </w:r>
      <w:r w:rsidRPr="00253678">
        <w:rPr>
          <w:rFonts w:ascii="David" w:hAnsi="David" w:hint="cs"/>
          <w:b/>
          <w:bCs/>
          <w:noProof w:val="0"/>
          <w:rtl/>
        </w:rPr>
        <w:t xml:space="preserve">בעת בחינת מתן מעמד מכוחו של </w:t>
      </w:r>
      <w:hyperlink r:id="rId83" w:history="1">
        <w:r w:rsidR="00CE7AF3" w:rsidRPr="00CE7AF3">
          <w:rPr>
            <w:rFonts w:ascii="David" w:hAnsi="David"/>
            <w:b/>
            <w:bCs/>
            <w:noProof w:val="0"/>
            <w:color w:val="0000FF"/>
            <w:u w:val="single"/>
            <w:rtl/>
          </w:rPr>
          <w:t>חוק השבות</w:t>
        </w:r>
      </w:hyperlink>
      <w:r w:rsidRPr="00253678">
        <w:rPr>
          <w:rFonts w:ascii="David" w:hAnsi="David" w:hint="cs"/>
          <w:b/>
          <w:bCs/>
          <w:noProof w:val="0"/>
          <w:rtl/>
        </w:rPr>
        <w:t xml:space="preserve">, צריכה להיבדק גם תכליתו של חוק השבות. תכלית החוק אינה מתקיימת מקום בו המבקש לממש זכויות על פי </w:t>
      </w:r>
      <w:hyperlink r:id="rId84" w:history="1">
        <w:r w:rsidR="00CE7AF3" w:rsidRPr="00CE7AF3">
          <w:rPr>
            <w:rFonts w:ascii="David" w:hAnsi="David"/>
            <w:b/>
            <w:bCs/>
            <w:noProof w:val="0"/>
            <w:color w:val="0000FF"/>
            <w:u w:val="single"/>
            <w:rtl/>
          </w:rPr>
          <w:t>חוק השבות</w:t>
        </w:r>
      </w:hyperlink>
      <w:r w:rsidRPr="00253678">
        <w:rPr>
          <w:rFonts w:ascii="David" w:hAnsi="David" w:hint="cs"/>
          <w:b/>
          <w:bCs/>
          <w:noProof w:val="0"/>
          <w:rtl/>
        </w:rPr>
        <w:t xml:space="preserve"> – עיסוקו בהפצת </w:t>
      </w:r>
      <w:r w:rsidRPr="003406E4">
        <w:rPr>
          <w:rFonts w:ascii="David" w:hAnsi="David" w:hint="cs"/>
          <w:b/>
          <w:bCs/>
          <w:noProof w:val="0"/>
          <w:rtl/>
        </w:rPr>
        <w:t>כתבי קודש נוצריים</w:t>
      </w:r>
      <w:r w:rsidRPr="003406E4">
        <w:rPr>
          <w:rFonts w:ascii="Arial" w:hAnsi="Arial" w:hint="cs"/>
          <w:noProof w:val="0"/>
          <w:rtl/>
        </w:rPr>
        <w:t xml:space="preserve">" </w:t>
      </w:r>
      <w:r w:rsidRPr="003406E4">
        <w:rPr>
          <w:rFonts w:ascii="David" w:hAnsi="David" w:hint="cs"/>
          <w:noProof w:val="0"/>
          <w:rtl/>
        </w:rPr>
        <w:t xml:space="preserve">(וראו למשל גם: </w:t>
      </w:r>
      <w:hyperlink r:id="rId85" w:history="1">
        <w:r w:rsidR="00CE7AF3" w:rsidRPr="00CE7AF3">
          <w:rPr>
            <w:rFonts w:ascii="David" w:hAnsi="David"/>
            <w:noProof w:val="0"/>
            <w:color w:val="0000FF"/>
            <w:u w:val="single"/>
            <w:rtl/>
          </w:rPr>
          <w:t>דנג"ץ 1197/16</w:t>
        </w:r>
      </w:hyperlink>
      <w:r w:rsidRPr="003406E4">
        <w:rPr>
          <w:rFonts w:ascii="David" w:hAnsi="David" w:hint="cs"/>
          <w:noProof w:val="0"/>
          <w:rtl/>
        </w:rPr>
        <w:t xml:space="preserve"> </w:t>
      </w:r>
      <w:r w:rsidRPr="003406E4">
        <w:rPr>
          <w:rFonts w:ascii="David" w:hAnsi="David" w:hint="cs"/>
          <w:b/>
          <w:bCs/>
          <w:noProof w:val="0"/>
          <w:rtl/>
        </w:rPr>
        <w:t>פלונית נ' מדינת ישראל- שר הפנים ואח'</w:t>
      </w:r>
      <w:r w:rsidRPr="003406E4">
        <w:rPr>
          <w:rFonts w:ascii="David" w:hAnsi="David" w:hint="cs"/>
          <w:noProof w:val="0"/>
          <w:rtl/>
        </w:rPr>
        <w:t xml:space="preserve"> (נבו 9.11.2016)</w:t>
      </w:r>
      <w:r w:rsidRPr="003406E4">
        <w:rPr>
          <w:rFonts w:ascii="Arial" w:hAnsi="Arial" w:hint="cs"/>
          <w:noProof w:val="0"/>
          <w:rtl/>
        </w:rPr>
        <w:t xml:space="preserve"> שם נדחתה עתירתה של מי שאמה התאסלמה ואף היא עצמה חיה כמוסלמית ונישאה למוסלמי; </w:t>
      </w:r>
      <w:hyperlink r:id="rId86" w:history="1">
        <w:r w:rsidR="00CE7AF3" w:rsidRPr="00CE7AF3">
          <w:rPr>
            <w:rFonts w:ascii="David" w:hAnsi="David"/>
            <w:noProof w:val="0"/>
            <w:color w:val="0000FF"/>
            <w:u w:val="single"/>
            <w:rtl/>
          </w:rPr>
          <w:t>בג"ץ 2388/06</w:t>
        </w:r>
      </w:hyperlink>
      <w:r w:rsidRPr="003406E4">
        <w:rPr>
          <w:rFonts w:ascii="David" w:hAnsi="David" w:hint="cs"/>
          <w:noProof w:val="0"/>
          <w:rtl/>
        </w:rPr>
        <w:t xml:space="preserve"> </w:t>
      </w:r>
      <w:r w:rsidRPr="003406E4">
        <w:rPr>
          <w:rFonts w:ascii="David" w:hAnsi="David" w:hint="cs"/>
          <w:b/>
          <w:bCs/>
          <w:noProof w:val="0"/>
          <w:rtl/>
        </w:rPr>
        <w:t>לידיה טקצ'ב נ' משרד הפנים, מינהל האוכלוסין</w:t>
      </w:r>
      <w:r w:rsidRPr="003406E4">
        <w:rPr>
          <w:rFonts w:ascii="David" w:hAnsi="David" w:hint="cs"/>
          <w:noProof w:val="0"/>
          <w:rtl/>
        </w:rPr>
        <w:t xml:space="preserve"> (נבו 25.4.2010)</w:t>
      </w:r>
      <w:r w:rsidRPr="003406E4">
        <w:rPr>
          <w:rFonts w:ascii="Arial" w:hAnsi="Arial" w:hint="cs"/>
          <w:noProof w:val="0"/>
          <w:rtl/>
        </w:rPr>
        <w:t xml:space="preserve"> שם הצהיר העותר כי הוא מתפלל תפילות נוצריות אף כי אינו מאמין); </w:t>
      </w:r>
      <w:r w:rsidRPr="003406E4">
        <w:rPr>
          <w:rFonts w:ascii="David" w:hAnsi="David" w:hint="cs"/>
          <w:noProof w:val="0"/>
          <w:rtl/>
        </w:rPr>
        <w:t>ו</w:t>
      </w:r>
      <w:hyperlink r:id="rId87" w:history="1">
        <w:r w:rsidR="00CE7AF3" w:rsidRPr="00CE7AF3">
          <w:rPr>
            <w:rFonts w:ascii="David" w:hAnsi="David"/>
            <w:noProof w:val="0"/>
            <w:color w:val="0000FF"/>
            <w:u w:val="single"/>
            <w:rtl/>
          </w:rPr>
          <w:t>בג"ץ 1239/16</w:t>
        </w:r>
      </w:hyperlink>
      <w:r w:rsidRPr="003406E4">
        <w:rPr>
          <w:rFonts w:ascii="David" w:hAnsi="David" w:hint="cs"/>
          <w:noProof w:val="0"/>
          <w:rtl/>
        </w:rPr>
        <w:t xml:space="preserve"> </w:t>
      </w:r>
      <w:r w:rsidRPr="003406E4">
        <w:rPr>
          <w:rFonts w:ascii="David" w:hAnsi="David" w:hint="cs"/>
          <w:b/>
          <w:bCs/>
          <w:noProof w:val="0"/>
          <w:rtl/>
        </w:rPr>
        <w:t>יבגני גרוזדייב נ' רשות האוכלוסין וההגירה</w:t>
      </w:r>
      <w:r w:rsidRPr="003406E4">
        <w:rPr>
          <w:rFonts w:ascii="David" w:hAnsi="David" w:hint="cs"/>
          <w:noProof w:val="0"/>
          <w:rtl/>
        </w:rPr>
        <w:t xml:space="preserve"> (נבו 11.7.2017) נדחתה עתירתו של אדם, שלא זו בלבד שהצהיר בעבר כי הוא נוצרי, אלא שאף בהמשך לא טען כי חזר בו מכך אלא טען כי הינו חסר דת)</w:t>
      </w:r>
      <w:r w:rsidRPr="003406E4">
        <w:rPr>
          <w:rFonts w:ascii="Arial" w:hAnsi="Arial" w:hint="cs"/>
          <w:noProof w:val="0"/>
          <w:rtl/>
        </w:rPr>
        <w:t>.</w:t>
      </w:r>
    </w:p>
    <w:p w14:paraId="6B13E752" w14:textId="77777777" w:rsidR="00103DFA" w:rsidRPr="003406E4" w:rsidRDefault="00103DFA" w:rsidP="00103DFA">
      <w:pPr>
        <w:spacing w:line="360" w:lineRule="auto"/>
        <w:contextualSpacing/>
        <w:jc w:val="both"/>
        <w:rPr>
          <w:rFonts w:ascii="Arial" w:hAnsi="Arial"/>
          <w:noProof w:val="0"/>
        </w:rPr>
      </w:pPr>
    </w:p>
    <w:p w14:paraId="759E3237" w14:textId="77777777" w:rsidR="00103DFA" w:rsidRPr="003406E4" w:rsidRDefault="00103DFA" w:rsidP="00103DFA">
      <w:pPr>
        <w:spacing w:line="360" w:lineRule="auto"/>
        <w:contextualSpacing/>
        <w:jc w:val="both"/>
        <w:rPr>
          <w:rFonts w:ascii="Arial" w:hAnsi="Arial"/>
          <w:b/>
          <w:bCs/>
          <w:noProof w:val="0"/>
          <w:u w:val="single"/>
          <w:rtl/>
        </w:rPr>
      </w:pPr>
      <w:r w:rsidRPr="003406E4">
        <w:rPr>
          <w:rFonts w:ascii="Arial" w:hAnsi="Arial" w:hint="cs"/>
          <w:b/>
          <w:bCs/>
          <w:noProof w:val="0"/>
          <w:u w:val="single"/>
          <w:rtl/>
        </w:rPr>
        <w:t>זכאותו של העותר בעניין שלפניי</w:t>
      </w:r>
    </w:p>
    <w:p w14:paraId="50F96AE1"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David" w:hAnsi="David" w:hint="cs"/>
          <w:b/>
          <w:bCs/>
          <w:noProof w:val="0"/>
          <w:rtl/>
        </w:rPr>
        <w:t>בעניין זבידובסקי</w:t>
      </w:r>
      <w:r w:rsidRPr="003406E4">
        <w:rPr>
          <w:rFonts w:ascii="Arial" w:hAnsi="Arial" w:hint="cs"/>
          <w:noProof w:val="0"/>
          <w:rtl/>
        </w:rPr>
        <w:t xml:space="preserve"> נדון עניינה של עותרת שהייתה כבר אישה מבוגרת במועד שבו נטען כלפיה כי המירה את דתה. עתירתה נדחתה משום ש</w:t>
      </w:r>
      <w:r w:rsidRPr="003406E4">
        <w:rPr>
          <w:rFonts w:ascii="David" w:hAnsi="David" w:hint="cs"/>
          <w:noProof w:val="0"/>
          <w:rtl/>
        </w:rPr>
        <w:t>הצהירה לפני שלטונות ישראל, הכנסייה והרשויות הגרמניות על היותה בת דת אחרת; התחתנה בכנסיה והשתייכה לקהילה דתית-נוצרית משך תקופה ארוכה; ונקבע כי מעשיה בוצעו תוך מודעות למשמעויות הנלוות אליהם</w:t>
      </w:r>
      <w:r w:rsidRPr="003406E4">
        <w:rPr>
          <w:rFonts w:ascii="Arial" w:hAnsi="Arial" w:hint="cs"/>
          <w:noProof w:val="0"/>
          <w:rtl/>
        </w:rPr>
        <w:t>. לעומת זאת, בעניין שלפניי, העותר הצהיר מאז הגשת בקשתו הראשונה, כי יתכן שהוטבל לנצרות כתינוק לאור דתו ומסורתו של אביו, אך שב וטען בעקביות לכל אורך הדרך כי הוא חי כל השנים כיהודי, וכך גם אמו וסביו היהודים, וכי לא הטביל את ילדיו, וכיום הוא מבקש להתאחד עם משפחתו המורחבת ולעלות לישראל יחד עם רעייתו וילדיו. העותר אף צירף מסמכים התומכים בטענתו כי הוא משתייך לקהילה היהודית במקום מגוריו ולוקח חלק פעיל בפיתוחה ובתרומה לקהילה</w:t>
      </w:r>
      <w:r>
        <w:rPr>
          <w:rFonts w:ascii="Arial" w:hAnsi="Arial" w:hint="cs"/>
          <w:noProof w:val="0"/>
          <w:rtl/>
        </w:rPr>
        <w:t>, הן בקהילתו שלו, הן בקהילה היהודית בקייב, וזאת מתחילת שנות ה-2000.</w:t>
      </w:r>
      <w:r w:rsidRPr="003406E4">
        <w:rPr>
          <w:rFonts w:ascii="Arial" w:hAnsi="Arial" w:hint="cs"/>
          <w:noProof w:val="0"/>
          <w:rtl/>
        </w:rPr>
        <w:t>. למעשה, אין מחלוקת בין הצדדים באשר למצבו הנוכחי של העותר, והנימוק העיקרי שבשלו מבקשת הרשות לתת לו מעמד זמני ולבחון שוב את בקשתו בעוד שנה, הוא הטבלתו הנטענת כתינוק והצהרתו לגבי התרחשותה האפשרית. העותר מעולם לא טען שהוא חי כנוצרי או התנצר מרצונו כבוגר, אלא לכל היותר כי בשל דתו של אביו, חגגו בבית ילדותו גם, ולא רק, חגים נוצריים. במובן זה, העותר אינו מבקש להסתמך על הולדתו כיהודי בלבד כפי שנטען במקרים שהודגמו לעיל, אלא גם על חייו ככזה מאז ומתמיד ואף כיום, היום שמעולם לא המיר את דתו מרצון.</w:t>
      </w:r>
    </w:p>
    <w:p w14:paraId="0B86202B" w14:textId="77777777" w:rsidR="00103DFA" w:rsidRPr="003406E4" w:rsidRDefault="00103DFA" w:rsidP="00103DFA">
      <w:pPr>
        <w:spacing w:line="360" w:lineRule="auto"/>
        <w:contextualSpacing/>
        <w:jc w:val="both"/>
        <w:rPr>
          <w:rFonts w:ascii="Arial" w:hAnsi="Arial"/>
          <w:noProof w:val="0"/>
        </w:rPr>
      </w:pPr>
    </w:p>
    <w:p w14:paraId="338CD0B6"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Arial" w:hAnsi="Arial" w:hint="cs"/>
          <w:noProof w:val="0"/>
          <w:rtl/>
        </w:rPr>
        <w:t xml:space="preserve">אני סבורה כי במקרה שלפניי, אף אילו הוטבל העותר כתינוק, ואף אם אביו חגג חגים נוצריים, לצד אמו שחגגה חגים יהודיים, בעת היותו ילד, הוא לא חי כנוצרי ואינו בן דת אחרת לפי החוק והפסיקה לעיל. כאמור לעיל, </w:t>
      </w:r>
      <w:r w:rsidRPr="003406E4">
        <w:rPr>
          <w:rFonts w:ascii="David" w:hAnsi="David" w:hint="cs"/>
          <w:b/>
          <w:bCs/>
          <w:noProof w:val="0"/>
          <w:rtl/>
        </w:rPr>
        <w:t>בעניין זבידובסקי</w:t>
      </w:r>
      <w:r w:rsidRPr="003406E4">
        <w:rPr>
          <w:rFonts w:ascii="Arial" w:hAnsi="Arial" w:hint="cs"/>
          <w:noProof w:val="0"/>
          <w:rtl/>
        </w:rPr>
        <w:t xml:space="preserve">, המבחן הרלוונטי אינו מבחן הדת האחרת, אלא </w:t>
      </w:r>
      <w:r w:rsidRPr="003406E4">
        <w:rPr>
          <w:rFonts w:ascii="David" w:hAnsi="David" w:hint="cs"/>
          <w:noProof w:val="0"/>
          <w:rtl/>
        </w:rPr>
        <w:t>"</w:t>
      </w:r>
      <w:r w:rsidRPr="003406E4">
        <w:rPr>
          <w:rFonts w:ascii="David" w:hAnsi="David" w:hint="cs"/>
          <w:b/>
          <w:bCs/>
          <w:noProof w:val="0"/>
          <w:rtl/>
        </w:rPr>
        <w:t>כדי שיהודי ייחשב 'משומד' או 'בן דת אחרת', עליו ליצור זיקה חזקה בינו לבין הדת האחרת</w:t>
      </w:r>
      <w:r w:rsidRPr="003406E4">
        <w:rPr>
          <w:rFonts w:ascii="David" w:hAnsi="David" w:hint="cs"/>
          <w:noProof w:val="0"/>
          <w:rtl/>
        </w:rPr>
        <w:t>"</w:t>
      </w:r>
      <w:r w:rsidRPr="003406E4">
        <w:rPr>
          <w:rFonts w:ascii="Arial" w:hAnsi="Arial" w:hint="cs"/>
          <w:noProof w:val="0"/>
          <w:rtl/>
        </w:rPr>
        <w:t>. החריג שבו ניתן לשלול את זכאותו לשבות של מי שנולד כיהודי בשל היותו בן לדת אחרת, שמור למקרה קיצוני שבו הוא "</w:t>
      </w:r>
      <w:r w:rsidRPr="003406E4">
        <w:rPr>
          <w:rFonts w:ascii="Arial" w:hAnsi="Arial" w:hint="cs"/>
          <w:b/>
          <w:bCs/>
          <w:noProof w:val="0"/>
          <w:rtl/>
        </w:rPr>
        <w:t>בוחר לצעוד בנתיביה של דת אחרת</w:t>
      </w:r>
      <w:r w:rsidRPr="003406E4">
        <w:rPr>
          <w:rFonts w:ascii="Arial" w:hAnsi="Arial" w:hint="cs"/>
          <w:noProof w:val="0"/>
          <w:rtl/>
        </w:rPr>
        <w:t xml:space="preserve">". אני סבורה כי לא ניתן לומר שמי שהוטבל כתינוק, גם אם אביו בילדותו חגג חגים נוצריים, לצד אמו שחגגה חגים יהודיים, עונה על ההגדרה של "בן דת אחרת" שבס' </w:t>
      </w:r>
      <w:hyperlink r:id="rId88" w:history="1">
        <w:r w:rsidR="0055401E" w:rsidRPr="0055401E">
          <w:rPr>
            <w:rStyle w:val="Hyperlink"/>
            <w:rFonts w:ascii="Arial" w:hAnsi="Arial"/>
            <w:noProof w:val="0"/>
            <w:rtl/>
          </w:rPr>
          <w:t>4ב</w:t>
        </w:r>
      </w:hyperlink>
      <w:r w:rsidRPr="003406E4">
        <w:rPr>
          <w:rFonts w:ascii="Arial" w:hAnsi="Arial" w:hint="cs"/>
          <w:noProof w:val="0"/>
          <w:rtl/>
        </w:rPr>
        <w:t xml:space="preserve"> לחוק, או שניתן לשלול את זכאותו לשבות כמי שהמיר את דתו מרצון כקבוע </w:t>
      </w:r>
      <w:hyperlink r:id="rId89" w:history="1">
        <w:r w:rsidR="0055401E" w:rsidRPr="0055401E">
          <w:rPr>
            <w:rStyle w:val="Hyperlink"/>
            <w:rFonts w:ascii="Arial" w:hAnsi="Arial" w:hint="eastAsia"/>
            <w:noProof w:val="0"/>
            <w:rtl/>
          </w:rPr>
          <w:t>בס</w:t>
        </w:r>
        <w:r w:rsidR="0055401E" w:rsidRPr="0055401E">
          <w:rPr>
            <w:rStyle w:val="Hyperlink"/>
            <w:rFonts w:ascii="Arial" w:hAnsi="Arial"/>
            <w:noProof w:val="0"/>
            <w:rtl/>
          </w:rPr>
          <w:t>' 4א(א)</w:t>
        </w:r>
      </w:hyperlink>
      <w:r w:rsidRPr="003406E4">
        <w:rPr>
          <w:rFonts w:ascii="Arial" w:hAnsi="Arial" w:hint="cs"/>
          <w:noProof w:val="0"/>
          <w:rtl/>
        </w:rPr>
        <w:t xml:space="preserve"> לחוק. זאת, שעה שטען מלכתחילה כי הוא חי למעשה כיהודי, ואף מגדל את ילדיו כיהודים ולוקח חלק פעיל בחיי הקהילה היהודית במדינת מוצאו. </w:t>
      </w:r>
    </w:p>
    <w:p w14:paraId="3C2FADB5" w14:textId="77777777" w:rsidR="00103DFA" w:rsidRPr="003406E4" w:rsidRDefault="00103DFA" w:rsidP="00103DFA">
      <w:pPr>
        <w:spacing w:line="360" w:lineRule="auto"/>
        <w:contextualSpacing/>
        <w:jc w:val="both"/>
        <w:rPr>
          <w:rFonts w:ascii="Arial" w:hAnsi="Arial"/>
          <w:noProof w:val="0"/>
        </w:rPr>
      </w:pPr>
    </w:p>
    <w:p w14:paraId="0C27DF8F" w14:textId="77777777" w:rsidR="00103DFA" w:rsidRPr="003406E4" w:rsidRDefault="00103DFA" w:rsidP="00103DFA">
      <w:pPr>
        <w:numPr>
          <w:ilvl w:val="0"/>
          <w:numId w:val="1"/>
        </w:numPr>
        <w:spacing w:before="240" w:line="360" w:lineRule="auto"/>
        <w:contextualSpacing/>
        <w:jc w:val="both"/>
        <w:rPr>
          <w:rFonts w:ascii="Arial" w:hAnsi="Arial"/>
          <w:noProof w:val="0"/>
          <w:rtl/>
        </w:rPr>
      </w:pPr>
      <w:r w:rsidRPr="003406E4">
        <w:rPr>
          <w:rFonts w:ascii="Arial" w:hAnsi="Arial" w:hint="cs"/>
          <w:noProof w:val="0"/>
          <w:rtl/>
        </w:rPr>
        <w:t xml:space="preserve">זאת ועוד, אף לשיטת הרשות הנימוק למתן מעמד בלבד לעותר ולמשפחתו תוך דחיית ההחלטה העניינית בעניינם בשנה נוספת, הוא סתירה נטענת בין הצהרתו בטופס הבקשה המקורית לבין טענתו מאז ואילך. אף לשיטת הרשות שלפיה העותר הוטבל לנצרות כתינוק, אין מחלוקת עובדתית כי הוא נולד לאם יהודייה; כי הטבלתו נעשתה, ככל שנעשתה, כשהיה תינוק ושלא מרצונו; וכי מילא לצד זאת לאום יהודי, בהיותו בן לאב נוצרי ואם יהודיה. אין מחלוקת עוד, והעותר המציא ראיות לכך כי </w:t>
      </w:r>
      <w:r>
        <w:rPr>
          <w:rFonts w:ascii="Arial" w:hAnsi="Arial" w:hint="cs"/>
          <w:noProof w:val="0"/>
          <w:rtl/>
        </w:rPr>
        <w:t xml:space="preserve">החל מתחילת שנות ה-2000, הרבה לפני המועד בו הגיש את בקשתו הראשונה, </w:t>
      </w:r>
      <w:r w:rsidRPr="003406E4">
        <w:rPr>
          <w:rFonts w:ascii="Arial" w:hAnsi="Arial" w:hint="cs"/>
          <w:noProof w:val="0"/>
          <w:rtl/>
        </w:rPr>
        <w:t xml:space="preserve">הוא משתתף פעיל ותורם בקהילה היהודית שאליה הוא משתייך. במצב זה, דחיית ההחלטה בבקשה בשנה, והכפפתה לבחינה עתידית עלומה שהקריטריונים לה אינם ידועים – לא לרשות ולא לעותר </w:t>
      </w:r>
      <w:r w:rsidRPr="003406E4">
        <w:rPr>
          <w:rFonts w:ascii="Arial" w:hAnsi="Arial" w:hint="cs"/>
          <w:noProof w:val="0"/>
          <w:rtl/>
        </w:rPr>
        <w:lastRenderedPageBreak/>
        <w:t xml:space="preserve">– אינה סבירה ואינה מהווה התנהלות הוגנת של הרשות. שהרי, כאמור לעיל, </w:t>
      </w:r>
      <w:r w:rsidRPr="003406E4">
        <w:rPr>
          <w:rFonts w:ascii="David" w:hAnsi="David" w:hint="cs"/>
          <w:b/>
          <w:bCs/>
          <w:noProof w:val="0"/>
          <w:rtl/>
        </w:rPr>
        <w:t>בעניין זבידובסקי</w:t>
      </w:r>
      <w:r w:rsidRPr="003406E4">
        <w:rPr>
          <w:rFonts w:ascii="Arial" w:hAnsi="Arial" w:hint="cs"/>
          <w:noProof w:val="0"/>
          <w:rtl/>
        </w:rPr>
        <w:t xml:space="preserve">, הגדרת יהודי אינה כפופה לקיום מצוות או לאורח חיים דתי, ומשכך בחינתה אינה צופה פני עתיד, אלא נבחנת </w:t>
      </w:r>
      <w:r>
        <w:rPr>
          <w:rFonts w:ascii="Arial" w:hAnsi="Arial" w:hint="cs"/>
          <w:noProof w:val="0"/>
          <w:rtl/>
        </w:rPr>
        <w:t>ב</w:t>
      </w:r>
      <w:r w:rsidRPr="003406E4">
        <w:rPr>
          <w:rFonts w:ascii="Arial" w:hAnsi="Arial" w:hint="cs"/>
          <w:noProof w:val="0"/>
          <w:rtl/>
        </w:rPr>
        <w:t xml:space="preserve">מועד הבקשה. </w:t>
      </w:r>
    </w:p>
    <w:p w14:paraId="70B82C84" w14:textId="77777777" w:rsidR="00103DFA" w:rsidRPr="003406E4" w:rsidRDefault="00103DFA" w:rsidP="00103DFA">
      <w:pPr>
        <w:spacing w:line="360" w:lineRule="auto"/>
        <w:contextualSpacing/>
        <w:jc w:val="both"/>
        <w:rPr>
          <w:rFonts w:ascii="Arial" w:hAnsi="Arial"/>
          <w:noProof w:val="0"/>
        </w:rPr>
      </w:pPr>
    </w:p>
    <w:p w14:paraId="6490AD4D"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Arial" w:hAnsi="Arial" w:hint="cs"/>
          <w:noProof w:val="0"/>
          <w:rtl/>
        </w:rPr>
        <w:t xml:space="preserve">בהקשר זה, אעיר בשולי הדברים, כי יש להבחין בין הבסיס הרעיוני העומד מאחורי ההליך המדורג שבו נבחנות, למשל, בקשות למעמד בישראל המוגשות על ידי זרים הטוענים לניהול זוגיות עם אזרחים ישראלים או בעניין בני משפחה של זכאי שבות העולים עמם, לבין הבסיס הרעיוני העומד מאחורי מתן מעמד מכח </w:t>
      </w:r>
      <w:hyperlink r:id="rId90" w:history="1">
        <w:r w:rsidR="00CE7AF3" w:rsidRPr="00CE7AF3">
          <w:rPr>
            <w:rFonts w:ascii="Arial" w:hAnsi="Arial"/>
            <w:noProof w:val="0"/>
            <w:color w:val="0000FF"/>
            <w:u w:val="single"/>
            <w:rtl/>
          </w:rPr>
          <w:t>חוק השבות</w:t>
        </w:r>
      </w:hyperlink>
      <w:r w:rsidRPr="003406E4">
        <w:rPr>
          <w:rFonts w:ascii="Arial" w:hAnsi="Arial" w:hint="cs"/>
          <w:noProof w:val="0"/>
          <w:rtl/>
        </w:rPr>
        <w:t xml:space="preserve"> ליהודי שאינו בן דת אחרת ושלא המיר את דתו. בעוד שבמקרים מהסוג הראשון יש הגיון לקיום מעקב ולבחינה עתית של כנות הקשר ושל השייכות של מבקשי המעמד למדינת ישראל, במקרים מהסוג השני הכלל הוא כי מי שהוא יהודי על פי </w:t>
      </w:r>
      <w:hyperlink r:id="rId91" w:history="1">
        <w:r w:rsidR="00CE7AF3" w:rsidRPr="00CE7AF3">
          <w:rPr>
            <w:rFonts w:ascii="Arial" w:hAnsi="Arial"/>
            <w:noProof w:val="0"/>
            <w:color w:val="0000FF"/>
            <w:u w:val="single"/>
            <w:rtl/>
          </w:rPr>
          <w:t>חוק השבות</w:t>
        </w:r>
      </w:hyperlink>
      <w:r w:rsidRPr="003406E4">
        <w:rPr>
          <w:rFonts w:ascii="Arial" w:hAnsi="Arial" w:hint="cs"/>
          <w:noProof w:val="0"/>
          <w:rtl/>
        </w:rPr>
        <w:t xml:space="preserve"> במועד הגשת הבקשה אינו צריך להמשיך ולהוכיח את יהדותו בעתיד או לשכנע כי הוא חי לפי ההלכה. יתרה מכך, אף החריג שבו נשללת הזכות לשבות בשל המרת דת מופעל רק במקרי קיצון בשל בחירתו מרצון להמיר את דתו, וגם הוא נבחן ב</w:t>
      </w:r>
      <w:r>
        <w:rPr>
          <w:rFonts w:ascii="Arial" w:hAnsi="Arial" w:hint="cs"/>
          <w:noProof w:val="0"/>
          <w:rtl/>
        </w:rPr>
        <w:t>מבט</w:t>
      </w:r>
      <w:r w:rsidRPr="003406E4">
        <w:rPr>
          <w:rFonts w:ascii="Arial" w:hAnsi="Arial" w:hint="cs"/>
          <w:noProof w:val="0"/>
          <w:rtl/>
        </w:rPr>
        <w:t xml:space="preserve"> לעבר ולהווה, ולא באופן הצופה פני עתיד.</w:t>
      </w:r>
    </w:p>
    <w:p w14:paraId="1D554BCD" w14:textId="77777777" w:rsidR="00103DFA" w:rsidRPr="003406E4" w:rsidRDefault="00103DFA" w:rsidP="00103DFA">
      <w:pPr>
        <w:spacing w:line="360" w:lineRule="auto"/>
        <w:contextualSpacing/>
        <w:jc w:val="both"/>
        <w:rPr>
          <w:rFonts w:ascii="Arial" w:hAnsi="Arial"/>
          <w:noProof w:val="0"/>
        </w:rPr>
      </w:pPr>
    </w:p>
    <w:p w14:paraId="6C49AF5E" w14:textId="77777777" w:rsidR="00103DFA" w:rsidRPr="003406E4" w:rsidRDefault="00103DFA" w:rsidP="00103DFA">
      <w:pPr>
        <w:numPr>
          <w:ilvl w:val="0"/>
          <w:numId w:val="1"/>
        </w:numPr>
        <w:spacing w:before="240" w:line="360" w:lineRule="auto"/>
        <w:contextualSpacing/>
        <w:jc w:val="both"/>
        <w:rPr>
          <w:rFonts w:ascii="Arial" w:hAnsi="Arial"/>
          <w:noProof w:val="0"/>
        </w:rPr>
      </w:pPr>
      <w:r w:rsidRPr="003406E4">
        <w:rPr>
          <w:rFonts w:ascii="Arial" w:hAnsi="Arial" w:hint="cs"/>
          <w:noProof w:val="0"/>
          <w:rtl/>
        </w:rPr>
        <w:t xml:space="preserve">לאור האמור לעיל, אני קובעת כי החלטת הרשות שלפיה העותר המיר את דתו לנצרות אינה מבוססת על התשתית העובדתית שעמדה לפניה בעת מתן ההחלטה הקודמת ואף לא בעת מתן ההחלטה "החדשה", שכן לכל היותר ניתן לומר כי העותר נולד כיהודי והוטבל על ידי אביו לנצרות כתינוק שלא מרצונו, או שהיה חשוף כילד גם לחגים נוצריים שאביו חגג, זאת לצד חגים יהודיים שחגגה אמו. על כן, לאור המסמכים וההצהרות שעמדו לכל אורך הדרך, הוכח באופן מפורש כי הוא אינו בן דת אחרת אלא חי כיהודי, מקיים את משפחתו כיהודים ולוקח חלק פעיל בחיי הקהילה היהודית באוקראינה. משכך, יש לקבוע כי המשיב יהודי לפי </w:t>
      </w:r>
      <w:hyperlink r:id="rId92" w:history="1">
        <w:r w:rsidR="0055401E" w:rsidRPr="0055401E">
          <w:rPr>
            <w:rStyle w:val="Hyperlink"/>
            <w:rFonts w:ascii="Arial" w:hAnsi="Arial" w:hint="eastAsia"/>
            <w:noProof w:val="0"/>
            <w:rtl/>
          </w:rPr>
          <w:t>ס</w:t>
        </w:r>
        <w:r w:rsidR="0055401E" w:rsidRPr="0055401E">
          <w:rPr>
            <w:rStyle w:val="Hyperlink"/>
            <w:rFonts w:ascii="Arial" w:hAnsi="Arial"/>
            <w:noProof w:val="0"/>
            <w:rtl/>
          </w:rPr>
          <w:t>' 4א</w:t>
        </w:r>
      </w:hyperlink>
      <w:r w:rsidRPr="003406E4">
        <w:rPr>
          <w:rFonts w:ascii="Arial" w:hAnsi="Arial" w:hint="cs"/>
          <w:noProof w:val="0"/>
          <w:rtl/>
        </w:rPr>
        <w:t xml:space="preserve"> ל</w:t>
      </w:r>
      <w:hyperlink r:id="rId93" w:history="1">
        <w:r w:rsidR="00CE7AF3" w:rsidRPr="00CE7AF3">
          <w:rPr>
            <w:rFonts w:ascii="Arial" w:hAnsi="Arial"/>
            <w:noProof w:val="0"/>
            <w:color w:val="0000FF"/>
            <w:u w:val="single"/>
            <w:rtl/>
          </w:rPr>
          <w:t>חוק השבות</w:t>
        </w:r>
      </w:hyperlink>
      <w:r w:rsidRPr="003406E4">
        <w:rPr>
          <w:rFonts w:ascii="Arial" w:hAnsi="Arial" w:hint="cs"/>
          <w:noProof w:val="0"/>
          <w:rtl/>
        </w:rPr>
        <w:t xml:space="preserve">, שלא המיר את דתו מרצון, ולא מתקיים בעניינו החריג הקבוע </w:t>
      </w:r>
      <w:hyperlink r:id="rId94" w:history="1">
        <w:r w:rsidR="0055401E" w:rsidRPr="0055401E">
          <w:rPr>
            <w:rStyle w:val="Hyperlink"/>
            <w:rFonts w:ascii="Arial" w:hAnsi="Arial" w:hint="eastAsia"/>
            <w:noProof w:val="0"/>
            <w:rtl/>
          </w:rPr>
          <w:t>בס</w:t>
        </w:r>
        <w:r w:rsidR="0055401E" w:rsidRPr="0055401E">
          <w:rPr>
            <w:rStyle w:val="Hyperlink"/>
            <w:rFonts w:ascii="Arial" w:hAnsi="Arial"/>
            <w:noProof w:val="0"/>
            <w:rtl/>
          </w:rPr>
          <w:t>' 4ב'</w:t>
        </w:r>
      </w:hyperlink>
      <w:r w:rsidRPr="003406E4">
        <w:rPr>
          <w:rFonts w:ascii="Arial" w:hAnsi="Arial" w:hint="cs"/>
          <w:noProof w:val="0"/>
          <w:rtl/>
        </w:rPr>
        <w:t xml:space="preserve"> לחוק, ומשכך העותר הוא זכאי שבות לפי החוק, ובני משפחתו זכאים למעמד כדין מכוחו.</w:t>
      </w:r>
    </w:p>
    <w:p w14:paraId="61D99651" w14:textId="77777777" w:rsidR="00103DFA" w:rsidRPr="003406E4" w:rsidRDefault="00103DFA" w:rsidP="00103DFA">
      <w:pPr>
        <w:spacing w:line="360" w:lineRule="auto"/>
        <w:contextualSpacing/>
        <w:jc w:val="both"/>
        <w:rPr>
          <w:rFonts w:ascii="Arial" w:hAnsi="Arial"/>
          <w:noProof w:val="0"/>
        </w:rPr>
      </w:pPr>
    </w:p>
    <w:p w14:paraId="7368944A" w14:textId="77777777" w:rsidR="00103DFA" w:rsidRPr="003406E4" w:rsidRDefault="00103DFA" w:rsidP="00103DFA">
      <w:pPr>
        <w:spacing w:line="360" w:lineRule="auto"/>
        <w:contextualSpacing/>
        <w:jc w:val="both"/>
        <w:rPr>
          <w:rFonts w:ascii="Arial" w:hAnsi="Arial"/>
          <w:b/>
          <w:bCs/>
          <w:noProof w:val="0"/>
          <w:u w:val="single"/>
          <w:rtl/>
        </w:rPr>
      </w:pPr>
      <w:r w:rsidRPr="003406E4">
        <w:rPr>
          <w:rFonts w:ascii="Arial" w:hAnsi="Arial" w:hint="cs"/>
          <w:b/>
          <w:bCs/>
          <w:noProof w:val="0"/>
          <w:u w:val="single"/>
          <w:rtl/>
        </w:rPr>
        <w:t>סוף דבר</w:t>
      </w:r>
    </w:p>
    <w:p w14:paraId="0E0DC62F"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 xml:space="preserve">העתירה מתקבלת. הרשות תנפיק לעותר אשרת עולה מכח </w:t>
      </w:r>
      <w:hyperlink r:id="rId95" w:history="1">
        <w:r w:rsidR="00CE7AF3" w:rsidRPr="00CE7AF3">
          <w:rPr>
            <w:rFonts w:ascii="Arial" w:hAnsi="Arial"/>
            <w:noProof w:val="0"/>
            <w:color w:val="0000FF"/>
            <w:u w:val="single"/>
            <w:rtl/>
          </w:rPr>
          <w:t>חוק השבות</w:t>
        </w:r>
      </w:hyperlink>
      <w:r w:rsidRPr="003406E4">
        <w:rPr>
          <w:rFonts w:ascii="Arial" w:hAnsi="Arial" w:hint="cs"/>
          <w:noProof w:val="0"/>
          <w:rtl/>
        </w:rPr>
        <w:t>, ואשרות בהתאם על פי הנהלים לאשתו ולילדיו.</w:t>
      </w:r>
    </w:p>
    <w:p w14:paraId="4178B0BF" w14:textId="77777777" w:rsidR="00103DFA" w:rsidRPr="003406E4" w:rsidRDefault="00103DFA" w:rsidP="00103DFA">
      <w:pPr>
        <w:spacing w:line="360" w:lineRule="auto"/>
        <w:contextualSpacing/>
        <w:jc w:val="both"/>
        <w:rPr>
          <w:rFonts w:ascii="Arial" w:hAnsi="Arial"/>
          <w:noProof w:val="0"/>
          <w:rtl/>
        </w:rPr>
      </w:pPr>
    </w:p>
    <w:p w14:paraId="4E2167A7" w14:textId="77777777" w:rsidR="00103DFA" w:rsidRPr="003406E4" w:rsidRDefault="00103DFA" w:rsidP="00103DFA">
      <w:pPr>
        <w:spacing w:line="360" w:lineRule="auto"/>
        <w:contextualSpacing/>
        <w:jc w:val="both"/>
        <w:rPr>
          <w:rFonts w:ascii="Arial" w:hAnsi="Arial"/>
          <w:noProof w:val="0"/>
          <w:rtl/>
        </w:rPr>
      </w:pPr>
      <w:r w:rsidRPr="003406E4">
        <w:rPr>
          <w:rFonts w:ascii="Arial" w:hAnsi="Arial" w:hint="cs"/>
          <w:noProof w:val="0"/>
          <w:rtl/>
        </w:rPr>
        <w:t xml:space="preserve">הרשות תישא בהוצאות העותרים ושכ"ט ען"ד בסכום של 15,000 שקלים. </w:t>
      </w:r>
    </w:p>
    <w:p w14:paraId="72924A75" w14:textId="77777777" w:rsidR="00103DFA" w:rsidRPr="003406E4" w:rsidRDefault="00103DFA" w:rsidP="00103DFA">
      <w:pPr>
        <w:spacing w:line="360" w:lineRule="auto"/>
        <w:contextualSpacing/>
        <w:jc w:val="both"/>
        <w:rPr>
          <w:rFonts w:ascii="Arial" w:hAnsi="Arial"/>
          <w:noProof w:val="0"/>
          <w:rtl/>
        </w:rPr>
      </w:pPr>
    </w:p>
    <w:p w14:paraId="713F4DB5" w14:textId="77777777" w:rsidR="00103DFA" w:rsidRDefault="00103DFA" w:rsidP="00103DFA">
      <w:pPr>
        <w:spacing w:line="360" w:lineRule="auto"/>
        <w:jc w:val="both"/>
        <w:rPr>
          <w:rFonts w:ascii="Arial" w:hAnsi="Arial"/>
          <w:noProof w:val="0"/>
          <w:rtl/>
        </w:rPr>
      </w:pPr>
    </w:p>
    <w:p w14:paraId="2495057A" w14:textId="77777777" w:rsidR="00103DFA" w:rsidRPr="00CE7AF3" w:rsidRDefault="00CE7AF3" w:rsidP="00103DFA">
      <w:pPr>
        <w:spacing w:line="360" w:lineRule="auto"/>
        <w:jc w:val="both"/>
        <w:rPr>
          <w:rFonts w:ascii="Arial" w:hAnsi="Arial"/>
          <w:noProof w:val="0"/>
          <w:color w:val="FFFFFF"/>
          <w:sz w:val="2"/>
          <w:szCs w:val="2"/>
          <w:rtl/>
        </w:rPr>
      </w:pPr>
      <w:r w:rsidRPr="00CE7AF3">
        <w:rPr>
          <w:rFonts w:ascii="Arial" w:hAnsi="Arial"/>
          <w:noProof w:val="0"/>
          <w:color w:val="FFFFFF"/>
          <w:sz w:val="2"/>
          <w:szCs w:val="2"/>
          <w:rtl/>
        </w:rPr>
        <w:t>5129371</w:t>
      </w:r>
    </w:p>
    <w:p w14:paraId="03FFE261" w14:textId="77777777" w:rsidR="00103DFA" w:rsidRDefault="00CE7AF3" w:rsidP="00103DFA">
      <w:pPr>
        <w:spacing w:line="360" w:lineRule="auto"/>
        <w:jc w:val="both"/>
        <w:rPr>
          <w:rFonts w:ascii="Arial" w:hAnsi="Arial"/>
          <w:noProof w:val="0"/>
          <w:rtl/>
        </w:rPr>
      </w:pPr>
      <w:bookmarkStart w:id="12" w:name="Nitan"/>
      <w:r w:rsidRPr="00CE7AF3">
        <w:rPr>
          <w:rFonts w:ascii="Arial" w:hAnsi="Arial"/>
          <w:noProof w:val="0"/>
          <w:color w:val="FFFFFF"/>
          <w:sz w:val="2"/>
          <w:szCs w:val="2"/>
          <w:rtl/>
        </w:rPr>
        <w:t>54678313</w:t>
      </w:r>
      <w:r>
        <w:rPr>
          <w:rFonts w:ascii="Arial" w:hAnsi="Arial"/>
          <w:noProof w:val="0"/>
          <w:rtl/>
        </w:rPr>
        <w:t xml:space="preserve">ניתן היום,  כ"ז אייר תשפ"ה, 25 מאי 2025, בהעדר הצדדים. </w:t>
      </w:r>
      <w:bookmarkEnd w:id="12"/>
      <w:r w:rsidR="00103DFA">
        <w:rPr>
          <w:rFonts w:ascii="Arial" w:hAnsi="Arial" w:hint="cs"/>
          <w:noProof w:val="0"/>
          <w:rtl/>
        </w:rPr>
        <w:tab/>
      </w:r>
      <w:r w:rsidR="00103DFA">
        <w:rPr>
          <w:rFonts w:ascii="Arial" w:hAnsi="Arial" w:hint="cs"/>
          <w:noProof w:val="0"/>
          <w:rtl/>
        </w:rPr>
        <w:tab/>
      </w:r>
      <w:r w:rsidR="00103DFA">
        <w:rPr>
          <w:rFonts w:ascii="Arial" w:hAnsi="Arial" w:hint="cs"/>
          <w:noProof w:val="0"/>
          <w:rtl/>
        </w:rPr>
        <w:tab/>
      </w:r>
      <w:r w:rsidR="00103DFA">
        <w:rPr>
          <w:rFonts w:ascii="Arial" w:hAnsi="Arial" w:hint="cs"/>
          <w:noProof w:val="0"/>
          <w:rtl/>
        </w:rPr>
        <w:tab/>
      </w:r>
      <w:r w:rsidR="00103DFA">
        <w:rPr>
          <w:rFonts w:ascii="Arial" w:hAnsi="Arial" w:hint="cs"/>
          <w:noProof w:val="0"/>
          <w:rtl/>
        </w:rPr>
        <w:tab/>
      </w:r>
      <w:r w:rsidR="00103DFA">
        <w:rPr>
          <w:rFonts w:ascii="Arial" w:hAnsi="Arial"/>
          <w:noProof w:val="0"/>
          <w:rtl/>
        </w:rPr>
        <w:tab/>
      </w:r>
      <w:r w:rsidR="00103DFA">
        <w:rPr>
          <w:rFonts w:ascii="Arial" w:hAnsi="Arial" w:hint="cs"/>
          <w:noProof w:val="0"/>
          <w:rtl/>
        </w:rPr>
        <w:tab/>
      </w:r>
      <w:r w:rsidR="00103DFA">
        <w:rPr>
          <w:rFonts w:ascii="Arial" w:hAnsi="Arial" w:hint="cs"/>
          <w:noProof w:val="0"/>
          <w:rtl/>
        </w:rPr>
        <w:tab/>
      </w:r>
      <w:r w:rsidR="00103DFA">
        <w:rPr>
          <w:rFonts w:ascii="Arial" w:hAnsi="Arial"/>
          <w:noProof w:val="0"/>
          <w:rtl/>
        </w:rPr>
        <w:t xml:space="preserve"> </w:t>
      </w:r>
    </w:p>
    <w:p w14:paraId="0A9C5A8A" w14:textId="77777777" w:rsidR="00103DFA" w:rsidRDefault="00103DFA" w:rsidP="00103DFA">
      <w:pPr>
        <w:spacing w:line="360" w:lineRule="auto"/>
        <w:ind w:left="3600" w:firstLine="720"/>
      </w:pPr>
    </w:p>
    <w:p w14:paraId="2B4A158F" w14:textId="77777777" w:rsidR="00103DFA" w:rsidRDefault="00103DFA" w:rsidP="00103DFA">
      <w:pPr>
        <w:spacing w:line="360" w:lineRule="auto"/>
        <w:ind w:left="3600" w:firstLine="720"/>
        <w:rPr>
          <w:rFonts w:ascii="Arial" w:hAnsi="Arial"/>
          <w:noProof w:val="0"/>
          <w:rtl/>
        </w:rPr>
      </w:pPr>
    </w:p>
    <w:p w14:paraId="5429D5FB" w14:textId="77777777" w:rsidR="00CE7AF3" w:rsidRDefault="00CE7AF3" w:rsidP="00CE7AF3">
      <w:pPr>
        <w:rPr>
          <w:rtl/>
        </w:rPr>
      </w:pPr>
    </w:p>
    <w:p w14:paraId="6402DF83" w14:textId="77777777" w:rsidR="00CE7AF3" w:rsidRDefault="00CE7AF3" w:rsidP="00CE7AF3">
      <w:pPr>
        <w:jc w:val="center"/>
        <w:rPr>
          <w:color w:val="0000FF"/>
          <w:u w:val="single"/>
        </w:rPr>
      </w:pPr>
      <w:hyperlink r:id="rId96" w:history="1">
        <w:r>
          <w:rPr>
            <w:color w:val="0000FF"/>
            <w:u w:val="single"/>
            <w:rtl/>
          </w:rPr>
          <w:t>בעניין עריכה ושינויים במסמכי פסיקה, חקיקה ועוד באתר נבו – הקש כאן</w:t>
        </w:r>
      </w:hyperlink>
    </w:p>
    <w:p w14:paraId="5D45A2EB" w14:textId="77777777" w:rsidR="0055401E" w:rsidRPr="0055401E" w:rsidRDefault="0055401E" w:rsidP="0055401E">
      <w:pPr>
        <w:keepNext/>
        <w:rPr>
          <w:rFonts w:ascii="David" w:hAnsi="David"/>
          <w:color w:val="000000"/>
          <w:sz w:val="22"/>
          <w:szCs w:val="22"/>
          <w:rtl/>
        </w:rPr>
      </w:pPr>
    </w:p>
    <w:p w14:paraId="5387F4A6" w14:textId="77777777" w:rsidR="0055401E" w:rsidRPr="0055401E" w:rsidRDefault="0055401E" w:rsidP="0055401E">
      <w:pPr>
        <w:keepNext/>
        <w:rPr>
          <w:rFonts w:ascii="David" w:hAnsi="David"/>
          <w:color w:val="000000"/>
          <w:sz w:val="22"/>
          <w:szCs w:val="22"/>
          <w:rtl/>
        </w:rPr>
      </w:pPr>
      <w:r w:rsidRPr="0055401E">
        <w:rPr>
          <w:rFonts w:ascii="David" w:hAnsi="David"/>
          <w:color w:val="000000"/>
          <w:sz w:val="22"/>
          <w:szCs w:val="22"/>
          <w:rtl/>
        </w:rPr>
        <w:t>מיכל אגמון גונן 54678313-/</w:t>
      </w:r>
    </w:p>
    <w:p w14:paraId="21C177FF" w14:textId="77777777" w:rsidR="00CE7AF3" w:rsidRPr="00CE7AF3" w:rsidRDefault="0055401E" w:rsidP="0055401E">
      <w:pPr>
        <w:rPr>
          <w:color w:val="0000FF"/>
          <w:u w:val="single"/>
        </w:rPr>
      </w:pPr>
      <w:r w:rsidRPr="0055401E">
        <w:rPr>
          <w:color w:val="000000"/>
          <w:u w:val="single"/>
          <w:rtl/>
        </w:rPr>
        <w:t>נוסח מסמך זה כפוף לשינויי ניסוח ועריכה</w:t>
      </w:r>
    </w:p>
    <w:sectPr w:rsidR="00CE7AF3" w:rsidRPr="00CE7AF3" w:rsidSect="0055401E">
      <w:headerReference w:type="even" r:id="rId97"/>
      <w:headerReference w:type="default" r:id="rId98"/>
      <w:footerReference w:type="even" r:id="rId99"/>
      <w:footerReference w:type="default" r:id="rId100"/>
      <w:pgSz w:w="11907" w:h="16840" w:code="9"/>
      <w:pgMar w:top="1701" w:right="1800" w:bottom="1440" w:left="1800" w:header="720" w:footer="737"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99B02" w14:textId="77777777" w:rsidR="005A4B7D" w:rsidRDefault="005A4B7D" w:rsidP="005F673F">
      <w:r>
        <w:separator/>
      </w:r>
    </w:p>
  </w:endnote>
  <w:endnote w:type="continuationSeparator" w:id="0">
    <w:p w14:paraId="6985263C" w14:textId="77777777" w:rsidR="005A4B7D" w:rsidRDefault="005A4B7D" w:rsidP="005F6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1)">
    <w:altName w:val="Arial"/>
    <w:panose1 w:val="00000000000000000000"/>
    <w:charset w:val="00"/>
    <w:family w:val="swiss"/>
    <w:notTrueType/>
    <w:pitch w:val="variable"/>
    <w:sig w:usb0="00000003" w:usb1="00000000" w:usb2="00000000" w:usb3="00000000" w:csb0="00000001"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96ED" w14:textId="77777777" w:rsidR="0055401E" w:rsidRDefault="0055401E" w:rsidP="0055401E">
    <w:pPr>
      <w:pStyle w:val="Footer"/>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rtl/>
      </w:rPr>
      <w:t>4</w:t>
    </w:r>
    <w:r>
      <w:rPr>
        <w:rFonts w:ascii="FrankRuehl" w:hAnsi="FrankRuehl" w:cs="FrankRuehl"/>
        <w:rtl/>
      </w:rPr>
      <w:fldChar w:fldCharType="end"/>
    </w:r>
  </w:p>
  <w:p w14:paraId="539CE2D4" w14:textId="0EAE1D53" w:rsidR="00CE7AF3" w:rsidRPr="0055401E" w:rsidRDefault="005C6670" w:rsidP="0055401E">
    <w:pPr>
      <w:pStyle w:val="Footer"/>
      <w:pBdr>
        <w:top w:val="single" w:sz="4" w:space="1" w:color="auto"/>
        <w:between w:val="single" w:sz="4" w:space="0" w:color="auto"/>
      </w:pBdr>
      <w:spacing w:after="60"/>
      <w:jc w:val="center"/>
      <w:rPr>
        <w:rFonts w:ascii="FrankRuehl" w:hAnsi="FrankRuehl" w:cs="FrankRuehl"/>
        <w:color w:val="000000"/>
      </w:rPr>
    </w:pPr>
    <w:r w:rsidRPr="0055401E">
      <w:rPr>
        <w:rFonts w:ascii="FrankRuehl" w:hAnsi="FrankRuehl" w:cs="FrankRuehl"/>
        <w:color w:val="000000"/>
      </w:rPr>
      <w:drawing>
        <wp:inline distT="0" distB="0" distL="0" distR="0" wp14:anchorId="5E99B4AD" wp14:editId="5DFB59BA">
          <wp:extent cx="552450" cy="228600"/>
          <wp:effectExtent l="0" t="0" r="0" b="0"/>
          <wp:docPr id="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7A41" w14:textId="77777777" w:rsidR="0055401E" w:rsidRDefault="0055401E" w:rsidP="0055401E">
    <w:pPr>
      <w:pStyle w:val="Footer"/>
      <w:jc w:val="center"/>
      <w:rPr>
        <w:rStyle w:val="PageNumber"/>
        <w:rFonts w:ascii="FrankRuehl" w:hAnsi="FrankRuehl" w:cs="FrankRuehl"/>
        <w:rtl/>
      </w:rPr>
    </w:pPr>
    <w:r>
      <w:rPr>
        <w:rStyle w:val="PageNumber"/>
        <w:rFonts w:ascii="FrankRuehl" w:hAnsi="FrankRuehl" w:cs="FrankRuehl"/>
        <w:rtl/>
      </w:rPr>
      <w:fldChar w:fldCharType="begin"/>
    </w:r>
    <w:r>
      <w:rPr>
        <w:rStyle w:val="PageNumber"/>
        <w:rFonts w:ascii="FrankRuehl" w:hAnsi="FrankRuehl" w:cs="FrankRuehl"/>
        <w:rtl/>
      </w:rPr>
      <w:instrText xml:space="preserve"> </w:instrText>
    </w:r>
    <w:r>
      <w:rPr>
        <w:rStyle w:val="PageNumber"/>
        <w:rFonts w:ascii="FrankRuehl" w:hAnsi="FrankRuehl" w:cs="FrankRuehl" w:hint="cs"/>
      </w:rPr>
      <w:instrText>PAGE</w:instrText>
    </w:r>
    <w:r>
      <w:rPr>
        <w:rStyle w:val="PageNumber"/>
        <w:rFonts w:ascii="FrankRuehl" w:hAnsi="FrankRuehl" w:cs="FrankRuehl" w:hint="cs"/>
        <w:rtl/>
      </w:rPr>
      <w:instrText xml:space="preserve">  \* </w:instrText>
    </w:r>
    <w:r>
      <w:rPr>
        <w:rStyle w:val="PageNumber"/>
        <w:rFonts w:ascii="FrankRuehl" w:hAnsi="FrankRuehl" w:cs="FrankRuehl" w:hint="cs"/>
      </w:rPr>
      <w:instrText>MERGEFORMAT</w:instrText>
    </w:r>
    <w:r>
      <w:rPr>
        <w:rStyle w:val="PageNumber"/>
        <w:rFonts w:ascii="FrankRuehl" w:hAnsi="FrankRuehl" w:cs="FrankRuehl"/>
        <w:rtl/>
      </w:rPr>
      <w:instrText xml:space="preserve"> </w:instrText>
    </w:r>
    <w:r>
      <w:rPr>
        <w:rStyle w:val="PageNumber"/>
        <w:rFonts w:ascii="FrankRuehl" w:hAnsi="FrankRuehl" w:cs="FrankRuehl"/>
        <w:rtl/>
      </w:rPr>
      <w:fldChar w:fldCharType="separate"/>
    </w:r>
    <w:r w:rsidR="0095157D">
      <w:rPr>
        <w:rStyle w:val="PageNumber"/>
        <w:rFonts w:ascii="FrankRuehl" w:hAnsi="FrankRuehl" w:cs="FrankRuehl"/>
        <w:rtl/>
      </w:rPr>
      <w:t>1</w:t>
    </w:r>
    <w:r>
      <w:rPr>
        <w:rStyle w:val="PageNumber"/>
        <w:rFonts w:ascii="FrankRuehl" w:hAnsi="FrankRuehl" w:cs="FrankRuehl"/>
        <w:rtl/>
      </w:rPr>
      <w:fldChar w:fldCharType="end"/>
    </w:r>
  </w:p>
  <w:p w14:paraId="3A4DD9F1" w14:textId="125FAF5A" w:rsidR="00B462A5" w:rsidRPr="0055401E" w:rsidRDefault="005C6670" w:rsidP="0055401E">
    <w:pPr>
      <w:pStyle w:val="Footer"/>
      <w:pBdr>
        <w:top w:val="single" w:sz="4" w:space="1" w:color="auto"/>
        <w:between w:val="single" w:sz="4" w:space="0" w:color="auto"/>
      </w:pBdr>
      <w:spacing w:after="60"/>
      <w:jc w:val="center"/>
      <w:rPr>
        <w:rStyle w:val="PageNumber"/>
        <w:rFonts w:ascii="FrankRuehl" w:hAnsi="FrankRuehl" w:cs="FrankRuehl"/>
        <w:color w:val="000000"/>
        <w:rtl/>
      </w:rPr>
    </w:pPr>
    <w:r w:rsidRPr="0055401E">
      <w:rPr>
        <w:rStyle w:val="PageNumber"/>
        <w:rFonts w:ascii="FrankRuehl" w:hAnsi="FrankRuehl" w:cs="FrankRuehl" w:hint="cs"/>
        <w:color w:val="000000"/>
      </w:rPr>
      <w:drawing>
        <wp:inline distT="0" distB="0" distL="0" distR="0" wp14:anchorId="07FC90E6" wp14:editId="182D0684">
          <wp:extent cx="552450" cy="22860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282E" w14:textId="77777777" w:rsidR="005A4B7D" w:rsidRDefault="005A4B7D" w:rsidP="005F673F">
      <w:r>
        <w:separator/>
      </w:r>
    </w:p>
  </w:footnote>
  <w:footnote w:type="continuationSeparator" w:id="0">
    <w:p w14:paraId="4F99110F" w14:textId="77777777" w:rsidR="005A4B7D" w:rsidRDefault="005A4B7D" w:rsidP="005F6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FA21" w14:textId="77777777" w:rsidR="00CE7AF3" w:rsidRPr="0055401E" w:rsidRDefault="0055401E" w:rsidP="0055401E">
    <w:pPr>
      <w:pStyle w:val="Header"/>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עתמ (ת"א) 2308-11-24</w:t>
    </w:r>
    <w:r>
      <w:rPr>
        <w:rFonts w:ascii="David" w:hAnsi="David"/>
        <w:color w:val="000000"/>
        <w:sz w:val="22"/>
        <w:szCs w:val="22"/>
        <w:rtl/>
      </w:rPr>
      <w:tab/>
      <w:t xml:space="preserve"> לזניה ארטיום נ' רשות האוכלוסין וההגירה משרד הפנים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E393A" w14:textId="77777777" w:rsidR="00CE7AF3" w:rsidRPr="0055401E" w:rsidRDefault="0055401E" w:rsidP="0055401E">
    <w:pPr>
      <w:pStyle w:val="Header"/>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עתמ (ת"א) 2308-11-24</w:t>
    </w:r>
    <w:r>
      <w:rPr>
        <w:rFonts w:ascii="David" w:hAnsi="David"/>
        <w:color w:val="000000"/>
        <w:sz w:val="22"/>
        <w:szCs w:val="22"/>
        <w:rtl/>
      </w:rPr>
      <w:tab/>
      <w:t xml:space="preserve"> לזניה ארטיום נ' רשות האוכלוסין וההגירה משרד הפנים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A0CF9"/>
    <w:multiLevelType w:val="multilevel"/>
    <w:tmpl w:val="10FCEFEC"/>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2768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yInfo" w:val="This document was extracted from Nevo's site"/>
  </w:docVars>
  <w:rsids>
    <w:rsidRoot w:val="00103DFA"/>
    <w:rsid w:val="00005B94"/>
    <w:rsid w:val="00103DFA"/>
    <w:rsid w:val="001B5A3B"/>
    <w:rsid w:val="00244279"/>
    <w:rsid w:val="0050600A"/>
    <w:rsid w:val="0055401E"/>
    <w:rsid w:val="005A4B7D"/>
    <w:rsid w:val="005C6670"/>
    <w:rsid w:val="005D02EE"/>
    <w:rsid w:val="005F673F"/>
    <w:rsid w:val="007942D6"/>
    <w:rsid w:val="0084373C"/>
    <w:rsid w:val="0095157D"/>
    <w:rsid w:val="00B462A5"/>
    <w:rsid w:val="00BC6C36"/>
    <w:rsid w:val="00CE7AF3"/>
    <w:rsid w:val="00D93CD0"/>
    <w:rsid w:val="00E64FA5"/>
    <w:rsid w:val="00EB2F03"/>
    <w:rsid w:val="00EC6335"/>
    <w:rsid w:val="00F117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2BC4"/>
  <w15:chartTrackingRefBased/>
  <w15:docId w15:val="{68035091-CE1E-48B5-A059-29743B8F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3DFA"/>
    <w:pPr>
      <w:bidi/>
    </w:pPr>
    <w:rPr>
      <w:rFonts w:ascii="Times New Roman" w:eastAsia="Times New Roman" w:hAnsi="Times New Roman" w:cs="David"/>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03DFA"/>
    <w:pPr>
      <w:tabs>
        <w:tab w:val="center" w:pos="4153"/>
        <w:tab w:val="right" w:pos="8306"/>
      </w:tabs>
    </w:pPr>
  </w:style>
  <w:style w:type="character" w:customStyle="1" w:styleId="HeaderChar">
    <w:name w:val="Header Char"/>
    <w:link w:val="Header"/>
    <w:rsid w:val="00103DFA"/>
    <w:rPr>
      <w:rFonts w:ascii="Times New Roman" w:eastAsia="Times New Roman" w:hAnsi="Times New Roman" w:cs="David"/>
      <w:noProof/>
      <w:sz w:val="24"/>
      <w:szCs w:val="24"/>
    </w:rPr>
  </w:style>
  <w:style w:type="paragraph" w:styleId="Footer">
    <w:name w:val="footer"/>
    <w:basedOn w:val="Normal"/>
    <w:link w:val="FooterChar"/>
    <w:rsid w:val="00103DFA"/>
    <w:pPr>
      <w:tabs>
        <w:tab w:val="center" w:pos="4153"/>
        <w:tab w:val="right" w:pos="8306"/>
      </w:tabs>
    </w:pPr>
  </w:style>
  <w:style w:type="character" w:customStyle="1" w:styleId="FooterChar">
    <w:name w:val="Footer Char"/>
    <w:link w:val="Footer"/>
    <w:rsid w:val="00103DFA"/>
    <w:rPr>
      <w:rFonts w:ascii="Times New Roman" w:eastAsia="Times New Roman" w:hAnsi="Times New Roman" w:cs="David"/>
      <w:noProof/>
      <w:sz w:val="24"/>
      <w:szCs w:val="24"/>
    </w:rPr>
  </w:style>
  <w:style w:type="table" w:styleId="TableGrid">
    <w:name w:val="Table Grid"/>
    <w:basedOn w:val="TableNormal"/>
    <w:rsid w:val="00103DFA"/>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103DFA"/>
  </w:style>
  <w:style w:type="paragraph" w:styleId="ListParagraph">
    <w:name w:val="List Paragraph"/>
    <w:basedOn w:val="Normal"/>
    <w:qFormat/>
    <w:rsid w:val="00103DFA"/>
    <w:pPr>
      <w:ind w:left="720"/>
      <w:contextualSpacing/>
    </w:pPr>
  </w:style>
  <w:style w:type="character" w:styleId="LineNumber">
    <w:name w:val="line number"/>
    <w:rsid w:val="00103DFA"/>
  </w:style>
  <w:style w:type="character" w:styleId="Hyperlink">
    <w:name w:val="Hyperlink"/>
    <w:rsid w:val="00CE7A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vo.co.il/law/72231/4b" TargetMode="External"/><Relationship Id="rId21" Type="http://schemas.openxmlformats.org/officeDocument/2006/relationships/hyperlink" Target="http://www.nevo.co.il/law/72231" TargetMode="External"/><Relationship Id="rId42" Type="http://schemas.openxmlformats.org/officeDocument/2006/relationships/hyperlink" Target="http://www.nevo.co.il/safrut/bookgroup/2057" TargetMode="External"/><Relationship Id="rId47" Type="http://schemas.openxmlformats.org/officeDocument/2006/relationships/hyperlink" Target="http://www.nevo.co.il/safrut/book/25504" TargetMode="External"/><Relationship Id="rId63" Type="http://schemas.openxmlformats.org/officeDocument/2006/relationships/hyperlink" Target="http://www.nevo.co.il/law/72231" TargetMode="External"/><Relationship Id="rId68" Type="http://schemas.openxmlformats.org/officeDocument/2006/relationships/hyperlink" Target="http://www.nevo.co.il/case/21473076" TargetMode="External"/><Relationship Id="rId84" Type="http://schemas.openxmlformats.org/officeDocument/2006/relationships/hyperlink" Target="http://www.nevo.co.il/law/72231" TargetMode="External"/><Relationship Id="rId89" Type="http://schemas.openxmlformats.org/officeDocument/2006/relationships/hyperlink" Target="http://www.nevo.co.il/law/72231/4a.a" TargetMode="External"/><Relationship Id="rId16" Type="http://schemas.openxmlformats.org/officeDocument/2006/relationships/hyperlink" Target="http://www.nevo.co.il/law/72231" TargetMode="External"/><Relationship Id="rId11" Type="http://schemas.openxmlformats.org/officeDocument/2006/relationships/hyperlink" Target="http://www.nevo.co.il/law/72231/4a.a" TargetMode="External"/><Relationship Id="rId32" Type="http://schemas.openxmlformats.org/officeDocument/2006/relationships/hyperlink" Target="http://www.nevo.co.il/law/72231/4b" TargetMode="External"/><Relationship Id="rId37" Type="http://schemas.openxmlformats.org/officeDocument/2006/relationships/hyperlink" Target="http://www.nevo.co.il/law/72231" TargetMode="External"/><Relationship Id="rId53" Type="http://schemas.openxmlformats.org/officeDocument/2006/relationships/hyperlink" Target="http://www.nevo.co.il/case/26440928" TargetMode="External"/><Relationship Id="rId58" Type="http://schemas.openxmlformats.org/officeDocument/2006/relationships/hyperlink" Target="http://www.nevo.co.il/law/74901/6" TargetMode="External"/><Relationship Id="rId74" Type="http://schemas.openxmlformats.org/officeDocument/2006/relationships/hyperlink" Target="http://www.nevo.co.il/law/72231" TargetMode="External"/><Relationship Id="rId79" Type="http://schemas.openxmlformats.org/officeDocument/2006/relationships/hyperlink" Target="http://www.nevo.co.il/law/72231"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www.nevo.co.il/law/72231" TargetMode="External"/><Relationship Id="rId95" Type="http://schemas.openxmlformats.org/officeDocument/2006/relationships/hyperlink" Target="http://www.nevo.co.il/law/72231" TargetMode="External"/><Relationship Id="rId22" Type="http://schemas.openxmlformats.org/officeDocument/2006/relationships/hyperlink" Target="http://www.nevo.co.il/law/72231" TargetMode="External"/><Relationship Id="rId27" Type="http://schemas.openxmlformats.org/officeDocument/2006/relationships/hyperlink" Target="http://www.nevo.co.il/law/72231/4a.a" TargetMode="External"/><Relationship Id="rId43" Type="http://schemas.openxmlformats.org/officeDocument/2006/relationships/hyperlink" Target="http://www.nevo.co.il/safrut/bookgroup/2057" TargetMode="External"/><Relationship Id="rId48" Type="http://schemas.openxmlformats.org/officeDocument/2006/relationships/hyperlink" Target="http://www.nevo.co.il/safrut/bookgroup/385" TargetMode="External"/><Relationship Id="rId64" Type="http://schemas.openxmlformats.org/officeDocument/2006/relationships/hyperlink" Target="http://www.nevo.co.il/law/72231/4a.a" TargetMode="External"/><Relationship Id="rId69" Type="http://schemas.openxmlformats.org/officeDocument/2006/relationships/hyperlink" Target="http://www.nevo.co.il/law/72231" TargetMode="External"/><Relationship Id="rId80" Type="http://schemas.openxmlformats.org/officeDocument/2006/relationships/hyperlink" Target="http://www.nevo.co.il/law/72231" TargetMode="External"/><Relationship Id="rId85" Type="http://schemas.openxmlformats.org/officeDocument/2006/relationships/hyperlink" Target="http://www.nevo.co.il/case/20985875" TargetMode="External"/><Relationship Id="rId12" Type="http://schemas.openxmlformats.org/officeDocument/2006/relationships/hyperlink" Target="http://www.nevo.co.il/law/72231/4b" TargetMode="External"/><Relationship Id="rId17" Type="http://schemas.openxmlformats.org/officeDocument/2006/relationships/hyperlink" Target="http://www.nevo.co.il/law/72231" TargetMode="External"/><Relationship Id="rId25" Type="http://schemas.openxmlformats.org/officeDocument/2006/relationships/hyperlink" Target="http://www.nevo.co.il/law/72231" TargetMode="External"/><Relationship Id="rId33" Type="http://schemas.openxmlformats.org/officeDocument/2006/relationships/hyperlink" Target="http://www.nevo.co.il/law/72231" TargetMode="External"/><Relationship Id="rId38" Type="http://schemas.openxmlformats.org/officeDocument/2006/relationships/hyperlink" Target="http://www.nevo.co.il/law/72231" TargetMode="External"/><Relationship Id="rId46" Type="http://schemas.openxmlformats.org/officeDocument/2006/relationships/hyperlink" Target="http://www.nevo.co.il/safrut/bookgroup/385" TargetMode="External"/><Relationship Id="rId59" Type="http://schemas.openxmlformats.org/officeDocument/2006/relationships/hyperlink" Target="http://www.nevo.co.il/law/74901" TargetMode="External"/><Relationship Id="rId67" Type="http://schemas.openxmlformats.org/officeDocument/2006/relationships/hyperlink" Target="http://www.nevo.co.il/law/72231/4b" TargetMode="External"/><Relationship Id="rId20" Type="http://schemas.openxmlformats.org/officeDocument/2006/relationships/hyperlink" Target="http://www.nevo.co.il/law/72231/4a.a" TargetMode="External"/><Relationship Id="rId41" Type="http://schemas.openxmlformats.org/officeDocument/2006/relationships/hyperlink" Target="http://www.nevo.co.il/case/29511836" TargetMode="External"/><Relationship Id="rId54" Type="http://schemas.openxmlformats.org/officeDocument/2006/relationships/hyperlink" Target="http://www.nevo.co.il/case/27780409" TargetMode="External"/><Relationship Id="rId62" Type="http://schemas.openxmlformats.org/officeDocument/2006/relationships/hyperlink" Target="http://www.nevo.co.il/law/72231/1" TargetMode="External"/><Relationship Id="rId70" Type="http://schemas.openxmlformats.org/officeDocument/2006/relationships/hyperlink" Target="http://www.nevo.co.il/case/7821828" TargetMode="External"/><Relationship Id="rId75" Type="http://schemas.openxmlformats.org/officeDocument/2006/relationships/hyperlink" Target="http://www.nevo.co.il/law/72231" TargetMode="External"/><Relationship Id="rId83" Type="http://schemas.openxmlformats.org/officeDocument/2006/relationships/hyperlink" Target="http://www.nevo.co.il/law/72231" TargetMode="External"/><Relationship Id="rId88" Type="http://schemas.openxmlformats.org/officeDocument/2006/relationships/hyperlink" Target="http://www.nevo.co.il/law/72231/4b" TargetMode="External"/><Relationship Id="rId91" Type="http://schemas.openxmlformats.org/officeDocument/2006/relationships/hyperlink" Target="http://www.nevo.co.il/law/72231" TargetMode="External"/><Relationship Id="rId96" Type="http://schemas.openxmlformats.org/officeDocument/2006/relationships/hyperlink" Target="http://www.nevo.co.il/advertisements/nevo-100.doc"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84250" TargetMode="External"/><Relationship Id="rId23" Type="http://schemas.openxmlformats.org/officeDocument/2006/relationships/hyperlink" Target="http://www.nevo.co.il/law/72231" TargetMode="External"/><Relationship Id="rId28" Type="http://schemas.openxmlformats.org/officeDocument/2006/relationships/hyperlink" Target="http://www.nevo.co.il/law/72231" TargetMode="External"/><Relationship Id="rId36" Type="http://schemas.openxmlformats.org/officeDocument/2006/relationships/hyperlink" Target="http://www.nevo.co.il/law/72231" TargetMode="External"/><Relationship Id="rId49" Type="http://schemas.openxmlformats.org/officeDocument/2006/relationships/hyperlink" Target="http://www.nevo.co.il/case/5681512" TargetMode="External"/><Relationship Id="rId57" Type="http://schemas.openxmlformats.org/officeDocument/2006/relationships/hyperlink" Target="http://www.nevo.co.il/law/72231" TargetMode="External"/><Relationship Id="rId10" Type="http://schemas.openxmlformats.org/officeDocument/2006/relationships/hyperlink" Target="http://www.nevo.co.il/law/72231/4a" TargetMode="External"/><Relationship Id="rId31" Type="http://schemas.openxmlformats.org/officeDocument/2006/relationships/hyperlink" Target="http://www.nevo.co.il/law/72231" TargetMode="External"/><Relationship Id="rId44" Type="http://schemas.openxmlformats.org/officeDocument/2006/relationships/hyperlink" Target="http://www.nevo.co.il/case/22530115" TargetMode="External"/><Relationship Id="rId52" Type="http://schemas.openxmlformats.org/officeDocument/2006/relationships/hyperlink" Target="http://www.nevo.co.il/safrut/bookgroup/385" TargetMode="External"/><Relationship Id="rId60" Type="http://schemas.openxmlformats.org/officeDocument/2006/relationships/hyperlink" Target="http://www.nevo.co.il/law/72231" TargetMode="External"/><Relationship Id="rId65" Type="http://schemas.openxmlformats.org/officeDocument/2006/relationships/hyperlink" Target="http://www.nevo.co.il/law/72231" TargetMode="External"/><Relationship Id="rId73" Type="http://schemas.openxmlformats.org/officeDocument/2006/relationships/hyperlink" Target="http://www.nevo.co.il/case/17939588" TargetMode="External"/><Relationship Id="rId78" Type="http://schemas.openxmlformats.org/officeDocument/2006/relationships/hyperlink" Target="http://www.nevo.co.il/law/72231" TargetMode="External"/><Relationship Id="rId81" Type="http://schemas.openxmlformats.org/officeDocument/2006/relationships/hyperlink" Target="http://www.nevo.co.il/case/5590073" TargetMode="External"/><Relationship Id="rId86" Type="http://schemas.openxmlformats.org/officeDocument/2006/relationships/hyperlink" Target="http://www.nevo.co.il/case/5830461" TargetMode="External"/><Relationship Id="rId94" Type="http://schemas.openxmlformats.org/officeDocument/2006/relationships/hyperlink" Target="http://www.nevo.co.il/law/72231/4b"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vo.co.il/law/72231/1" TargetMode="External"/><Relationship Id="rId13" Type="http://schemas.openxmlformats.org/officeDocument/2006/relationships/hyperlink" Target="http://www.nevo.co.il/law/74901" TargetMode="External"/><Relationship Id="rId18" Type="http://schemas.openxmlformats.org/officeDocument/2006/relationships/hyperlink" Target="http://www.nevo.co.il/law/72231" TargetMode="External"/><Relationship Id="rId39" Type="http://schemas.openxmlformats.org/officeDocument/2006/relationships/hyperlink" Target="http://www.nevo.co.il/law/72231" TargetMode="External"/><Relationship Id="rId34" Type="http://schemas.openxmlformats.org/officeDocument/2006/relationships/hyperlink" Target="http://www.nevo.co.il/law/72231" TargetMode="External"/><Relationship Id="rId50" Type="http://schemas.openxmlformats.org/officeDocument/2006/relationships/hyperlink" Target="http://www.nevo.co.il/safrut/bookgroup/2057" TargetMode="External"/><Relationship Id="rId55" Type="http://schemas.openxmlformats.org/officeDocument/2006/relationships/hyperlink" Target="http://www.nevo.co.il/law/72231" TargetMode="External"/><Relationship Id="rId76" Type="http://schemas.openxmlformats.org/officeDocument/2006/relationships/hyperlink" Target="http://www.nevo.co.il/law/72231" TargetMode="External"/><Relationship Id="rId97" Type="http://schemas.openxmlformats.org/officeDocument/2006/relationships/header" Target="header1.xml"/><Relationship Id="rId7" Type="http://schemas.openxmlformats.org/officeDocument/2006/relationships/hyperlink" Target="http://www.nevo.co.il/safrut/book/25504" TargetMode="External"/><Relationship Id="rId71" Type="http://schemas.openxmlformats.org/officeDocument/2006/relationships/hyperlink" Target="http://www.nevo.co.il/case/20930826" TargetMode="External"/><Relationship Id="rId92" Type="http://schemas.openxmlformats.org/officeDocument/2006/relationships/hyperlink" Target="http://www.nevo.co.il/law/72231/4a" TargetMode="External"/><Relationship Id="rId2" Type="http://schemas.openxmlformats.org/officeDocument/2006/relationships/styles" Target="styles.xml"/><Relationship Id="rId29" Type="http://schemas.openxmlformats.org/officeDocument/2006/relationships/hyperlink" Target="http://www.nevo.co.il/law/72231" TargetMode="External"/><Relationship Id="rId24" Type="http://schemas.openxmlformats.org/officeDocument/2006/relationships/hyperlink" Target="http://www.nevo.co.il/law/72231" TargetMode="External"/><Relationship Id="rId40" Type="http://schemas.openxmlformats.org/officeDocument/2006/relationships/hyperlink" Target="http://www.nevo.co.il/law/72231" TargetMode="External"/><Relationship Id="rId45" Type="http://schemas.openxmlformats.org/officeDocument/2006/relationships/hyperlink" Target="http://www.nevo.co.il/safrut/bookgroup/385" TargetMode="External"/><Relationship Id="rId66" Type="http://schemas.openxmlformats.org/officeDocument/2006/relationships/hyperlink" Target="http://www.nevo.co.il/law/84250" TargetMode="External"/><Relationship Id="rId87" Type="http://schemas.openxmlformats.org/officeDocument/2006/relationships/hyperlink" Target="http://www.nevo.co.il/case/20967020" TargetMode="External"/><Relationship Id="rId61" Type="http://schemas.openxmlformats.org/officeDocument/2006/relationships/hyperlink" Target="http://www.nevo.co.il/law/72231" TargetMode="External"/><Relationship Id="rId82" Type="http://schemas.openxmlformats.org/officeDocument/2006/relationships/hyperlink" Target="http://www.nevo.co.il/case/5917763" TargetMode="External"/><Relationship Id="rId19" Type="http://schemas.openxmlformats.org/officeDocument/2006/relationships/hyperlink" Target="http://www.nevo.co.il/law/72231" TargetMode="External"/><Relationship Id="rId14" Type="http://schemas.openxmlformats.org/officeDocument/2006/relationships/hyperlink" Target="http://www.nevo.co.il/law/74901/6" TargetMode="External"/><Relationship Id="rId30" Type="http://schemas.openxmlformats.org/officeDocument/2006/relationships/hyperlink" Target="http://www.nevo.co.il/law/72231/4a" TargetMode="External"/><Relationship Id="rId35" Type="http://schemas.openxmlformats.org/officeDocument/2006/relationships/hyperlink" Target="http://www.nevo.co.il/case/29783437" TargetMode="External"/><Relationship Id="rId56" Type="http://schemas.openxmlformats.org/officeDocument/2006/relationships/hyperlink" Target="http://www.nevo.co.il/case/29783437" TargetMode="External"/><Relationship Id="rId77" Type="http://schemas.openxmlformats.org/officeDocument/2006/relationships/hyperlink" Target="http://www.nevo.co.il/law/72231" TargetMode="External"/><Relationship Id="rId100" Type="http://schemas.openxmlformats.org/officeDocument/2006/relationships/footer" Target="footer2.xml"/><Relationship Id="rId8" Type="http://schemas.openxmlformats.org/officeDocument/2006/relationships/hyperlink" Target="http://www.nevo.co.il/law/72231" TargetMode="External"/><Relationship Id="rId51" Type="http://schemas.openxmlformats.org/officeDocument/2006/relationships/hyperlink" Target="http://www.nevo.co.il/safrut/book/35250" TargetMode="External"/><Relationship Id="rId72" Type="http://schemas.openxmlformats.org/officeDocument/2006/relationships/hyperlink" Target="http://www.nevo.co.il/case/6049258" TargetMode="External"/><Relationship Id="rId93" Type="http://schemas.openxmlformats.org/officeDocument/2006/relationships/hyperlink" Target="http://www.nevo.co.il/law/72231" TargetMode="External"/><Relationship Id="rId98" Type="http://schemas.openxmlformats.org/officeDocument/2006/relationships/header" Target="header2.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11113</Words>
  <Characters>54011</Characters>
  <Application>Microsoft Office Word</Application>
  <DocSecurity>0</DocSecurity>
  <Lines>1500</Lines>
  <Paragraphs>845</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64279</CharactersWithSpaces>
  <SharedDoc>false</SharedDoc>
  <HLinks>
    <vt:vector size="558" baseType="variant">
      <vt:variant>
        <vt:i4>393283</vt:i4>
      </vt:variant>
      <vt:variant>
        <vt:i4>276</vt:i4>
      </vt:variant>
      <vt:variant>
        <vt:i4>0</vt:i4>
      </vt:variant>
      <vt:variant>
        <vt:i4>5</vt:i4>
      </vt:variant>
      <vt:variant>
        <vt:lpwstr>http://www.nevo.co.il/advertisements/nevo-100.doc</vt:lpwstr>
      </vt:variant>
      <vt:variant>
        <vt:lpwstr/>
      </vt:variant>
      <vt:variant>
        <vt:i4>8061029</vt:i4>
      </vt:variant>
      <vt:variant>
        <vt:i4>273</vt:i4>
      </vt:variant>
      <vt:variant>
        <vt:i4>0</vt:i4>
      </vt:variant>
      <vt:variant>
        <vt:i4>5</vt:i4>
      </vt:variant>
      <vt:variant>
        <vt:lpwstr>http://www.nevo.co.il/law/72231</vt:lpwstr>
      </vt:variant>
      <vt:variant>
        <vt:lpwstr/>
      </vt:variant>
      <vt:variant>
        <vt:i4>3539040</vt:i4>
      </vt:variant>
      <vt:variant>
        <vt:i4>270</vt:i4>
      </vt:variant>
      <vt:variant>
        <vt:i4>0</vt:i4>
      </vt:variant>
      <vt:variant>
        <vt:i4>5</vt:i4>
      </vt:variant>
      <vt:variant>
        <vt:lpwstr>http://www.nevo.co.il/law/72231/4b</vt:lpwstr>
      </vt:variant>
      <vt:variant>
        <vt:lpwstr/>
      </vt:variant>
      <vt:variant>
        <vt:i4>8061029</vt:i4>
      </vt:variant>
      <vt:variant>
        <vt:i4>267</vt:i4>
      </vt:variant>
      <vt:variant>
        <vt:i4>0</vt:i4>
      </vt:variant>
      <vt:variant>
        <vt:i4>5</vt:i4>
      </vt:variant>
      <vt:variant>
        <vt:lpwstr>http://www.nevo.co.il/law/72231</vt:lpwstr>
      </vt:variant>
      <vt:variant>
        <vt:lpwstr/>
      </vt:variant>
      <vt:variant>
        <vt:i4>3473504</vt:i4>
      </vt:variant>
      <vt:variant>
        <vt:i4>264</vt:i4>
      </vt:variant>
      <vt:variant>
        <vt:i4>0</vt:i4>
      </vt:variant>
      <vt:variant>
        <vt:i4>5</vt:i4>
      </vt:variant>
      <vt:variant>
        <vt:lpwstr>http://www.nevo.co.il/law/72231/4a</vt:lpwstr>
      </vt:variant>
      <vt:variant>
        <vt:lpwstr/>
      </vt:variant>
      <vt:variant>
        <vt:i4>8061029</vt:i4>
      </vt:variant>
      <vt:variant>
        <vt:i4>261</vt:i4>
      </vt:variant>
      <vt:variant>
        <vt:i4>0</vt:i4>
      </vt:variant>
      <vt:variant>
        <vt:i4>5</vt:i4>
      </vt:variant>
      <vt:variant>
        <vt:lpwstr>http://www.nevo.co.il/law/72231</vt:lpwstr>
      </vt:variant>
      <vt:variant>
        <vt:lpwstr/>
      </vt:variant>
      <vt:variant>
        <vt:i4>8061029</vt:i4>
      </vt:variant>
      <vt:variant>
        <vt:i4>258</vt:i4>
      </vt:variant>
      <vt:variant>
        <vt:i4>0</vt:i4>
      </vt:variant>
      <vt:variant>
        <vt:i4>5</vt:i4>
      </vt:variant>
      <vt:variant>
        <vt:lpwstr>http://www.nevo.co.il/law/72231</vt:lpwstr>
      </vt:variant>
      <vt:variant>
        <vt:lpwstr/>
      </vt:variant>
      <vt:variant>
        <vt:i4>5505102</vt:i4>
      </vt:variant>
      <vt:variant>
        <vt:i4>255</vt:i4>
      </vt:variant>
      <vt:variant>
        <vt:i4>0</vt:i4>
      </vt:variant>
      <vt:variant>
        <vt:i4>5</vt:i4>
      </vt:variant>
      <vt:variant>
        <vt:lpwstr>http://www.nevo.co.il/law/72231/4a.a</vt:lpwstr>
      </vt:variant>
      <vt:variant>
        <vt:lpwstr/>
      </vt:variant>
      <vt:variant>
        <vt:i4>3539040</vt:i4>
      </vt:variant>
      <vt:variant>
        <vt:i4>252</vt:i4>
      </vt:variant>
      <vt:variant>
        <vt:i4>0</vt:i4>
      </vt:variant>
      <vt:variant>
        <vt:i4>5</vt:i4>
      </vt:variant>
      <vt:variant>
        <vt:lpwstr>http://www.nevo.co.il/law/72231/4b</vt:lpwstr>
      </vt:variant>
      <vt:variant>
        <vt:lpwstr/>
      </vt:variant>
      <vt:variant>
        <vt:i4>4063346</vt:i4>
      </vt:variant>
      <vt:variant>
        <vt:i4>249</vt:i4>
      </vt:variant>
      <vt:variant>
        <vt:i4>0</vt:i4>
      </vt:variant>
      <vt:variant>
        <vt:i4>5</vt:i4>
      </vt:variant>
      <vt:variant>
        <vt:lpwstr>http://www.nevo.co.il/case/20967020</vt:lpwstr>
      </vt:variant>
      <vt:variant>
        <vt:lpwstr/>
      </vt:variant>
      <vt:variant>
        <vt:i4>3342458</vt:i4>
      </vt:variant>
      <vt:variant>
        <vt:i4>246</vt:i4>
      </vt:variant>
      <vt:variant>
        <vt:i4>0</vt:i4>
      </vt:variant>
      <vt:variant>
        <vt:i4>5</vt:i4>
      </vt:variant>
      <vt:variant>
        <vt:lpwstr>http://www.nevo.co.il/case/5830461</vt:lpwstr>
      </vt:variant>
      <vt:variant>
        <vt:lpwstr/>
      </vt:variant>
      <vt:variant>
        <vt:i4>3735668</vt:i4>
      </vt:variant>
      <vt:variant>
        <vt:i4>243</vt:i4>
      </vt:variant>
      <vt:variant>
        <vt:i4>0</vt:i4>
      </vt:variant>
      <vt:variant>
        <vt:i4>5</vt:i4>
      </vt:variant>
      <vt:variant>
        <vt:lpwstr>http://www.nevo.co.il/case/20985875</vt:lpwstr>
      </vt:variant>
      <vt:variant>
        <vt:lpwstr/>
      </vt:variant>
      <vt:variant>
        <vt:i4>8061029</vt:i4>
      </vt:variant>
      <vt:variant>
        <vt:i4>240</vt:i4>
      </vt:variant>
      <vt:variant>
        <vt:i4>0</vt:i4>
      </vt:variant>
      <vt:variant>
        <vt:i4>5</vt:i4>
      </vt:variant>
      <vt:variant>
        <vt:lpwstr>http://www.nevo.co.il/law/72231</vt:lpwstr>
      </vt:variant>
      <vt:variant>
        <vt:lpwstr/>
      </vt:variant>
      <vt:variant>
        <vt:i4>8061029</vt:i4>
      </vt:variant>
      <vt:variant>
        <vt:i4>237</vt:i4>
      </vt:variant>
      <vt:variant>
        <vt:i4>0</vt:i4>
      </vt:variant>
      <vt:variant>
        <vt:i4>5</vt:i4>
      </vt:variant>
      <vt:variant>
        <vt:lpwstr>http://www.nevo.co.il/law/72231</vt:lpwstr>
      </vt:variant>
      <vt:variant>
        <vt:lpwstr/>
      </vt:variant>
      <vt:variant>
        <vt:i4>3145852</vt:i4>
      </vt:variant>
      <vt:variant>
        <vt:i4>234</vt:i4>
      </vt:variant>
      <vt:variant>
        <vt:i4>0</vt:i4>
      </vt:variant>
      <vt:variant>
        <vt:i4>5</vt:i4>
      </vt:variant>
      <vt:variant>
        <vt:lpwstr>http://www.nevo.co.il/case/5917763</vt:lpwstr>
      </vt:variant>
      <vt:variant>
        <vt:lpwstr/>
      </vt:variant>
      <vt:variant>
        <vt:i4>4128886</vt:i4>
      </vt:variant>
      <vt:variant>
        <vt:i4>231</vt:i4>
      </vt:variant>
      <vt:variant>
        <vt:i4>0</vt:i4>
      </vt:variant>
      <vt:variant>
        <vt:i4>5</vt:i4>
      </vt:variant>
      <vt:variant>
        <vt:lpwstr>http://www.nevo.co.il/case/5590073</vt:lpwstr>
      </vt:variant>
      <vt:variant>
        <vt:lpwstr/>
      </vt:variant>
      <vt:variant>
        <vt:i4>8061029</vt:i4>
      </vt:variant>
      <vt:variant>
        <vt:i4>228</vt:i4>
      </vt:variant>
      <vt:variant>
        <vt:i4>0</vt:i4>
      </vt:variant>
      <vt:variant>
        <vt:i4>5</vt:i4>
      </vt:variant>
      <vt:variant>
        <vt:lpwstr>http://www.nevo.co.il/law/72231</vt:lpwstr>
      </vt:variant>
      <vt:variant>
        <vt:lpwstr/>
      </vt:variant>
      <vt:variant>
        <vt:i4>8061029</vt:i4>
      </vt:variant>
      <vt:variant>
        <vt:i4>225</vt:i4>
      </vt:variant>
      <vt:variant>
        <vt:i4>0</vt:i4>
      </vt:variant>
      <vt:variant>
        <vt:i4>5</vt:i4>
      </vt:variant>
      <vt:variant>
        <vt:lpwstr>http://www.nevo.co.il/law/72231</vt:lpwstr>
      </vt:variant>
      <vt:variant>
        <vt:lpwstr/>
      </vt:variant>
      <vt:variant>
        <vt:i4>8061029</vt:i4>
      </vt:variant>
      <vt:variant>
        <vt:i4>222</vt:i4>
      </vt:variant>
      <vt:variant>
        <vt:i4>0</vt:i4>
      </vt:variant>
      <vt:variant>
        <vt:i4>5</vt:i4>
      </vt:variant>
      <vt:variant>
        <vt:lpwstr>http://www.nevo.co.il/law/72231</vt:lpwstr>
      </vt:variant>
      <vt:variant>
        <vt:lpwstr/>
      </vt:variant>
      <vt:variant>
        <vt:i4>8061029</vt:i4>
      </vt:variant>
      <vt:variant>
        <vt:i4>219</vt:i4>
      </vt:variant>
      <vt:variant>
        <vt:i4>0</vt:i4>
      </vt:variant>
      <vt:variant>
        <vt:i4>5</vt:i4>
      </vt:variant>
      <vt:variant>
        <vt:lpwstr>http://www.nevo.co.il/law/72231</vt:lpwstr>
      </vt:variant>
      <vt:variant>
        <vt:lpwstr/>
      </vt:variant>
      <vt:variant>
        <vt:i4>8061029</vt:i4>
      </vt:variant>
      <vt:variant>
        <vt:i4>216</vt:i4>
      </vt:variant>
      <vt:variant>
        <vt:i4>0</vt:i4>
      </vt:variant>
      <vt:variant>
        <vt:i4>5</vt:i4>
      </vt:variant>
      <vt:variant>
        <vt:lpwstr>http://www.nevo.co.il/law/72231</vt:lpwstr>
      </vt:variant>
      <vt:variant>
        <vt:lpwstr/>
      </vt:variant>
      <vt:variant>
        <vt:i4>8061029</vt:i4>
      </vt:variant>
      <vt:variant>
        <vt:i4>213</vt:i4>
      </vt:variant>
      <vt:variant>
        <vt:i4>0</vt:i4>
      </vt:variant>
      <vt:variant>
        <vt:i4>5</vt:i4>
      </vt:variant>
      <vt:variant>
        <vt:lpwstr>http://www.nevo.co.il/law/72231</vt:lpwstr>
      </vt:variant>
      <vt:variant>
        <vt:lpwstr/>
      </vt:variant>
      <vt:variant>
        <vt:i4>8061029</vt:i4>
      </vt:variant>
      <vt:variant>
        <vt:i4>210</vt:i4>
      </vt:variant>
      <vt:variant>
        <vt:i4>0</vt:i4>
      </vt:variant>
      <vt:variant>
        <vt:i4>5</vt:i4>
      </vt:variant>
      <vt:variant>
        <vt:lpwstr>http://www.nevo.co.il/law/72231</vt:lpwstr>
      </vt:variant>
      <vt:variant>
        <vt:lpwstr/>
      </vt:variant>
      <vt:variant>
        <vt:i4>3735669</vt:i4>
      </vt:variant>
      <vt:variant>
        <vt:i4>207</vt:i4>
      </vt:variant>
      <vt:variant>
        <vt:i4>0</vt:i4>
      </vt:variant>
      <vt:variant>
        <vt:i4>5</vt:i4>
      </vt:variant>
      <vt:variant>
        <vt:lpwstr>http://www.nevo.co.il/case/17939588</vt:lpwstr>
      </vt:variant>
      <vt:variant>
        <vt:lpwstr/>
      </vt:variant>
      <vt:variant>
        <vt:i4>3670136</vt:i4>
      </vt:variant>
      <vt:variant>
        <vt:i4>204</vt:i4>
      </vt:variant>
      <vt:variant>
        <vt:i4>0</vt:i4>
      </vt:variant>
      <vt:variant>
        <vt:i4>5</vt:i4>
      </vt:variant>
      <vt:variant>
        <vt:lpwstr>http://www.nevo.co.il/case/6049258</vt:lpwstr>
      </vt:variant>
      <vt:variant>
        <vt:lpwstr/>
      </vt:variant>
      <vt:variant>
        <vt:i4>3735679</vt:i4>
      </vt:variant>
      <vt:variant>
        <vt:i4>201</vt:i4>
      </vt:variant>
      <vt:variant>
        <vt:i4>0</vt:i4>
      </vt:variant>
      <vt:variant>
        <vt:i4>5</vt:i4>
      </vt:variant>
      <vt:variant>
        <vt:lpwstr>http://www.nevo.co.il/case/20930826</vt:lpwstr>
      </vt:variant>
      <vt:variant>
        <vt:lpwstr/>
      </vt:variant>
      <vt:variant>
        <vt:i4>3473535</vt:i4>
      </vt:variant>
      <vt:variant>
        <vt:i4>198</vt:i4>
      </vt:variant>
      <vt:variant>
        <vt:i4>0</vt:i4>
      </vt:variant>
      <vt:variant>
        <vt:i4>5</vt:i4>
      </vt:variant>
      <vt:variant>
        <vt:lpwstr>http://www.nevo.co.il/case/7821828</vt:lpwstr>
      </vt:variant>
      <vt:variant>
        <vt:lpwstr/>
      </vt:variant>
      <vt:variant>
        <vt:i4>8061029</vt:i4>
      </vt:variant>
      <vt:variant>
        <vt:i4>195</vt:i4>
      </vt:variant>
      <vt:variant>
        <vt:i4>0</vt:i4>
      </vt:variant>
      <vt:variant>
        <vt:i4>5</vt:i4>
      </vt:variant>
      <vt:variant>
        <vt:lpwstr>http://www.nevo.co.il/law/72231</vt:lpwstr>
      </vt:variant>
      <vt:variant>
        <vt:lpwstr/>
      </vt:variant>
      <vt:variant>
        <vt:i4>3276914</vt:i4>
      </vt:variant>
      <vt:variant>
        <vt:i4>192</vt:i4>
      </vt:variant>
      <vt:variant>
        <vt:i4>0</vt:i4>
      </vt:variant>
      <vt:variant>
        <vt:i4>5</vt:i4>
      </vt:variant>
      <vt:variant>
        <vt:lpwstr>http://www.nevo.co.il/case/21473076</vt:lpwstr>
      </vt:variant>
      <vt:variant>
        <vt:lpwstr/>
      </vt:variant>
      <vt:variant>
        <vt:i4>3539040</vt:i4>
      </vt:variant>
      <vt:variant>
        <vt:i4>189</vt:i4>
      </vt:variant>
      <vt:variant>
        <vt:i4>0</vt:i4>
      </vt:variant>
      <vt:variant>
        <vt:i4>5</vt:i4>
      </vt:variant>
      <vt:variant>
        <vt:lpwstr>http://www.nevo.co.il/law/72231/4b</vt:lpwstr>
      </vt:variant>
      <vt:variant>
        <vt:lpwstr/>
      </vt:variant>
      <vt:variant>
        <vt:i4>8061034</vt:i4>
      </vt:variant>
      <vt:variant>
        <vt:i4>186</vt:i4>
      </vt:variant>
      <vt:variant>
        <vt:i4>0</vt:i4>
      </vt:variant>
      <vt:variant>
        <vt:i4>5</vt:i4>
      </vt:variant>
      <vt:variant>
        <vt:lpwstr>http://www.nevo.co.il/law/84250</vt:lpwstr>
      </vt:variant>
      <vt:variant>
        <vt:lpwstr/>
      </vt:variant>
      <vt:variant>
        <vt:i4>8061029</vt:i4>
      </vt:variant>
      <vt:variant>
        <vt:i4>183</vt:i4>
      </vt:variant>
      <vt:variant>
        <vt:i4>0</vt:i4>
      </vt:variant>
      <vt:variant>
        <vt:i4>5</vt:i4>
      </vt:variant>
      <vt:variant>
        <vt:lpwstr>http://www.nevo.co.il/law/72231</vt:lpwstr>
      </vt:variant>
      <vt:variant>
        <vt:lpwstr/>
      </vt:variant>
      <vt:variant>
        <vt:i4>5505102</vt:i4>
      </vt:variant>
      <vt:variant>
        <vt:i4>180</vt:i4>
      </vt:variant>
      <vt:variant>
        <vt:i4>0</vt:i4>
      </vt:variant>
      <vt:variant>
        <vt:i4>5</vt:i4>
      </vt:variant>
      <vt:variant>
        <vt:lpwstr>http://www.nevo.co.il/law/72231/4a.a</vt:lpwstr>
      </vt:variant>
      <vt:variant>
        <vt:lpwstr/>
      </vt:variant>
      <vt:variant>
        <vt:i4>8061029</vt:i4>
      </vt:variant>
      <vt:variant>
        <vt:i4>177</vt:i4>
      </vt:variant>
      <vt:variant>
        <vt:i4>0</vt:i4>
      </vt:variant>
      <vt:variant>
        <vt:i4>5</vt:i4>
      </vt:variant>
      <vt:variant>
        <vt:lpwstr>http://www.nevo.co.il/law/72231</vt:lpwstr>
      </vt:variant>
      <vt:variant>
        <vt:lpwstr/>
      </vt:variant>
      <vt:variant>
        <vt:i4>5505108</vt:i4>
      </vt:variant>
      <vt:variant>
        <vt:i4>174</vt:i4>
      </vt:variant>
      <vt:variant>
        <vt:i4>0</vt:i4>
      </vt:variant>
      <vt:variant>
        <vt:i4>5</vt:i4>
      </vt:variant>
      <vt:variant>
        <vt:lpwstr>http://www.nevo.co.il/law/72231/1</vt:lpwstr>
      </vt:variant>
      <vt:variant>
        <vt:lpwstr/>
      </vt:variant>
      <vt:variant>
        <vt:i4>8061029</vt:i4>
      </vt:variant>
      <vt:variant>
        <vt:i4>171</vt:i4>
      </vt:variant>
      <vt:variant>
        <vt:i4>0</vt:i4>
      </vt:variant>
      <vt:variant>
        <vt:i4>5</vt:i4>
      </vt:variant>
      <vt:variant>
        <vt:lpwstr>http://www.nevo.co.il/law/72231</vt:lpwstr>
      </vt:variant>
      <vt:variant>
        <vt:lpwstr/>
      </vt:variant>
      <vt:variant>
        <vt:i4>8061029</vt:i4>
      </vt:variant>
      <vt:variant>
        <vt:i4>168</vt:i4>
      </vt:variant>
      <vt:variant>
        <vt:i4>0</vt:i4>
      </vt:variant>
      <vt:variant>
        <vt:i4>5</vt:i4>
      </vt:variant>
      <vt:variant>
        <vt:lpwstr>http://www.nevo.co.il/law/72231</vt:lpwstr>
      </vt:variant>
      <vt:variant>
        <vt:lpwstr/>
      </vt:variant>
      <vt:variant>
        <vt:i4>8257646</vt:i4>
      </vt:variant>
      <vt:variant>
        <vt:i4>165</vt:i4>
      </vt:variant>
      <vt:variant>
        <vt:i4>0</vt:i4>
      </vt:variant>
      <vt:variant>
        <vt:i4>5</vt:i4>
      </vt:variant>
      <vt:variant>
        <vt:lpwstr>http://www.nevo.co.il/law/74901</vt:lpwstr>
      </vt:variant>
      <vt:variant>
        <vt:lpwstr/>
      </vt:variant>
      <vt:variant>
        <vt:i4>5308511</vt:i4>
      </vt:variant>
      <vt:variant>
        <vt:i4>162</vt:i4>
      </vt:variant>
      <vt:variant>
        <vt:i4>0</vt:i4>
      </vt:variant>
      <vt:variant>
        <vt:i4>5</vt:i4>
      </vt:variant>
      <vt:variant>
        <vt:lpwstr>http://www.nevo.co.il/law/74901/6</vt:lpwstr>
      </vt:variant>
      <vt:variant>
        <vt:lpwstr/>
      </vt:variant>
      <vt:variant>
        <vt:i4>8061029</vt:i4>
      </vt:variant>
      <vt:variant>
        <vt:i4>159</vt:i4>
      </vt:variant>
      <vt:variant>
        <vt:i4>0</vt:i4>
      </vt:variant>
      <vt:variant>
        <vt:i4>5</vt:i4>
      </vt:variant>
      <vt:variant>
        <vt:lpwstr>http://www.nevo.co.il/law/72231</vt:lpwstr>
      </vt:variant>
      <vt:variant>
        <vt:lpwstr/>
      </vt:variant>
      <vt:variant>
        <vt:i4>3473521</vt:i4>
      </vt:variant>
      <vt:variant>
        <vt:i4>156</vt:i4>
      </vt:variant>
      <vt:variant>
        <vt:i4>0</vt:i4>
      </vt:variant>
      <vt:variant>
        <vt:i4>5</vt:i4>
      </vt:variant>
      <vt:variant>
        <vt:lpwstr>http://www.nevo.co.il/case/29783437</vt:lpwstr>
      </vt:variant>
      <vt:variant>
        <vt:lpwstr/>
      </vt:variant>
      <vt:variant>
        <vt:i4>8061029</vt:i4>
      </vt:variant>
      <vt:variant>
        <vt:i4>153</vt:i4>
      </vt:variant>
      <vt:variant>
        <vt:i4>0</vt:i4>
      </vt:variant>
      <vt:variant>
        <vt:i4>5</vt:i4>
      </vt:variant>
      <vt:variant>
        <vt:lpwstr>http://www.nevo.co.il/law/72231</vt:lpwstr>
      </vt:variant>
      <vt:variant>
        <vt:lpwstr/>
      </vt:variant>
      <vt:variant>
        <vt:i4>3473535</vt:i4>
      </vt:variant>
      <vt:variant>
        <vt:i4>150</vt:i4>
      </vt:variant>
      <vt:variant>
        <vt:i4>0</vt:i4>
      </vt:variant>
      <vt:variant>
        <vt:i4>5</vt:i4>
      </vt:variant>
      <vt:variant>
        <vt:lpwstr>http://www.nevo.co.il/case/27780409</vt:lpwstr>
      </vt:variant>
      <vt:variant>
        <vt:lpwstr/>
      </vt:variant>
      <vt:variant>
        <vt:i4>3407999</vt:i4>
      </vt:variant>
      <vt:variant>
        <vt:i4>147</vt:i4>
      </vt:variant>
      <vt:variant>
        <vt:i4>0</vt:i4>
      </vt:variant>
      <vt:variant>
        <vt:i4>5</vt:i4>
      </vt:variant>
      <vt:variant>
        <vt:lpwstr>http://www.nevo.co.il/case/26440928</vt:lpwstr>
      </vt:variant>
      <vt:variant>
        <vt:lpwstr/>
      </vt:variant>
      <vt:variant>
        <vt:i4>2097184</vt:i4>
      </vt:variant>
      <vt:variant>
        <vt:i4>144</vt:i4>
      </vt:variant>
      <vt:variant>
        <vt:i4>0</vt:i4>
      </vt:variant>
      <vt:variant>
        <vt:i4>5</vt:i4>
      </vt:variant>
      <vt:variant>
        <vt:lpwstr>http://www.nevo.co.il/safrut/bookgroup/385</vt:lpwstr>
      </vt:variant>
      <vt:variant>
        <vt:lpwstr/>
      </vt:variant>
      <vt:variant>
        <vt:i4>7405617</vt:i4>
      </vt:variant>
      <vt:variant>
        <vt:i4>141</vt:i4>
      </vt:variant>
      <vt:variant>
        <vt:i4>0</vt:i4>
      </vt:variant>
      <vt:variant>
        <vt:i4>5</vt:i4>
      </vt:variant>
      <vt:variant>
        <vt:lpwstr>http://www.nevo.co.il/safrut/book/35250</vt:lpwstr>
      </vt:variant>
      <vt:variant>
        <vt:lpwstr/>
      </vt:variant>
      <vt:variant>
        <vt:i4>2162728</vt:i4>
      </vt:variant>
      <vt:variant>
        <vt:i4>138</vt:i4>
      </vt:variant>
      <vt:variant>
        <vt:i4>0</vt:i4>
      </vt:variant>
      <vt:variant>
        <vt:i4>5</vt:i4>
      </vt:variant>
      <vt:variant>
        <vt:lpwstr>http://www.nevo.co.il/safrut/bookgroup/2057</vt:lpwstr>
      </vt:variant>
      <vt:variant>
        <vt:lpwstr/>
      </vt:variant>
      <vt:variant>
        <vt:i4>3801202</vt:i4>
      </vt:variant>
      <vt:variant>
        <vt:i4>135</vt:i4>
      </vt:variant>
      <vt:variant>
        <vt:i4>0</vt:i4>
      </vt:variant>
      <vt:variant>
        <vt:i4>5</vt:i4>
      </vt:variant>
      <vt:variant>
        <vt:lpwstr>http://www.nevo.co.il/case/5681512</vt:lpwstr>
      </vt:variant>
      <vt:variant>
        <vt:lpwstr/>
      </vt:variant>
      <vt:variant>
        <vt:i4>2097184</vt:i4>
      </vt:variant>
      <vt:variant>
        <vt:i4>132</vt:i4>
      </vt:variant>
      <vt:variant>
        <vt:i4>0</vt:i4>
      </vt:variant>
      <vt:variant>
        <vt:i4>5</vt:i4>
      </vt:variant>
      <vt:variant>
        <vt:lpwstr>http://www.nevo.co.il/safrut/bookgroup/385</vt:lpwstr>
      </vt:variant>
      <vt:variant>
        <vt:lpwstr/>
      </vt:variant>
      <vt:variant>
        <vt:i4>7602231</vt:i4>
      </vt:variant>
      <vt:variant>
        <vt:i4>129</vt:i4>
      </vt:variant>
      <vt:variant>
        <vt:i4>0</vt:i4>
      </vt:variant>
      <vt:variant>
        <vt:i4>5</vt:i4>
      </vt:variant>
      <vt:variant>
        <vt:lpwstr>http://www.nevo.co.il/safrut/book/25504</vt:lpwstr>
      </vt:variant>
      <vt:variant>
        <vt:lpwstr/>
      </vt:variant>
      <vt:variant>
        <vt:i4>2097184</vt:i4>
      </vt:variant>
      <vt:variant>
        <vt:i4>126</vt:i4>
      </vt:variant>
      <vt:variant>
        <vt:i4>0</vt:i4>
      </vt:variant>
      <vt:variant>
        <vt:i4>5</vt:i4>
      </vt:variant>
      <vt:variant>
        <vt:lpwstr>http://www.nevo.co.il/safrut/bookgroup/385</vt:lpwstr>
      </vt:variant>
      <vt:variant>
        <vt:lpwstr/>
      </vt:variant>
      <vt:variant>
        <vt:i4>2097184</vt:i4>
      </vt:variant>
      <vt:variant>
        <vt:i4>123</vt:i4>
      </vt:variant>
      <vt:variant>
        <vt:i4>0</vt:i4>
      </vt:variant>
      <vt:variant>
        <vt:i4>5</vt:i4>
      </vt:variant>
      <vt:variant>
        <vt:lpwstr>http://www.nevo.co.il/safrut/bookgroup/385</vt:lpwstr>
      </vt:variant>
      <vt:variant>
        <vt:lpwstr/>
      </vt:variant>
      <vt:variant>
        <vt:i4>3539060</vt:i4>
      </vt:variant>
      <vt:variant>
        <vt:i4>120</vt:i4>
      </vt:variant>
      <vt:variant>
        <vt:i4>0</vt:i4>
      </vt:variant>
      <vt:variant>
        <vt:i4>5</vt:i4>
      </vt:variant>
      <vt:variant>
        <vt:lpwstr>http://www.nevo.co.il/case/22530115</vt:lpwstr>
      </vt:variant>
      <vt:variant>
        <vt:lpwstr/>
      </vt:variant>
      <vt:variant>
        <vt:i4>2162728</vt:i4>
      </vt:variant>
      <vt:variant>
        <vt:i4>117</vt:i4>
      </vt:variant>
      <vt:variant>
        <vt:i4>0</vt:i4>
      </vt:variant>
      <vt:variant>
        <vt:i4>5</vt:i4>
      </vt:variant>
      <vt:variant>
        <vt:lpwstr>http://www.nevo.co.il/safrut/bookgroup/2057</vt:lpwstr>
      </vt:variant>
      <vt:variant>
        <vt:lpwstr/>
      </vt:variant>
      <vt:variant>
        <vt:i4>2162728</vt:i4>
      </vt:variant>
      <vt:variant>
        <vt:i4>114</vt:i4>
      </vt:variant>
      <vt:variant>
        <vt:i4>0</vt:i4>
      </vt:variant>
      <vt:variant>
        <vt:i4>5</vt:i4>
      </vt:variant>
      <vt:variant>
        <vt:lpwstr>http://www.nevo.co.il/safrut/bookgroup/2057</vt:lpwstr>
      </vt:variant>
      <vt:variant>
        <vt:lpwstr/>
      </vt:variant>
      <vt:variant>
        <vt:i4>3473524</vt:i4>
      </vt:variant>
      <vt:variant>
        <vt:i4>111</vt:i4>
      </vt:variant>
      <vt:variant>
        <vt:i4>0</vt:i4>
      </vt:variant>
      <vt:variant>
        <vt:i4>5</vt:i4>
      </vt:variant>
      <vt:variant>
        <vt:lpwstr>http://www.nevo.co.il/case/29511836</vt:lpwstr>
      </vt:variant>
      <vt:variant>
        <vt:lpwstr/>
      </vt:variant>
      <vt:variant>
        <vt:i4>8061029</vt:i4>
      </vt:variant>
      <vt:variant>
        <vt:i4>108</vt:i4>
      </vt:variant>
      <vt:variant>
        <vt:i4>0</vt:i4>
      </vt:variant>
      <vt:variant>
        <vt:i4>5</vt:i4>
      </vt:variant>
      <vt:variant>
        <vt:lpwstr>http://www.nevo.co.il/law/72231</vt:lpwstr>
      </vt:variant>
      <vt:variant>
        <vt:lpwstr/>
      </vt:variant>
      <vt:variant>
        <vt:i4>8061029</vt:i4>
      </vt:variant>
      <vt:variant>
        <vt:i4>105</vt:i4>
      </vt:variant>
      <vt:variant>
        <vt:i4>0</vt:i4>
      </vt:variant>
      <vt:variant>
        <vt:i4>5</vt:i4>
      </vt:variant>
      <vt:variant>
        <vt:lpwstr>http://www.nevo.co.il/law/72231</vt:lpwstr>
      </vt:variant>
      <vt:variant>
        <vt:lpwstr/>
      </vt:variant>
      <vt:variant>
        <vt:i4>8061029</vt:i4>
      </vt:variant>
      <vt:variant>
        <vt:i4>102</vt:i4>
      </vt:variant>
      <vt:variant>
        <vt:i4>0</vt:i4>
      </vt:variant>
      <vt:variant>
        <vt:i4>5</vt:i4>
      </vt:variant>
      <vt:variant>
        <vt:lpwstr>http://www.nevo.co.il/law/72231</vt:lpwstr>
      </vt:variant>
      <vt:variant>
        <vt:lpwstr/>
      </vt:variant>
      <vt:variant>
        <vt:i4>8061029</vt:i4>
      </vt:variant>
      <vt:variant>
        <vt:i4>99</vt:i4>
      </vt:variant>
      <vt:variant>
        <vt:i4>0</vt:i4>
      </vt:variant>
      <vt:variant>
        <vt:i4>5</vt:i4>
      </vt:variant>
      <vt:variant>
        <vt:lpwstr>http://www.nevo.co.il/law/72231</vt:lpwstr>
      </vt:variant>
      <vt:variant>
        <vt:lpwstr/>
      </vt:variant>
      <vt:variant>
        <vt:i4>8061029</vt:i4>
      </vt:variant>
      <vt:variant>
        <vt:i4>96</vt:i4>
      </vt:variant>
      <vt:variant>
        <vt:i4>0</vt:i4>
      </vt:variant>
      <vt:variant>
        <vt:i4>5</vt:i4>
      </vt:variant>
      <vt:variant>
        <vt:lpwstr>http://www.nevo.co.il/law/72231</vt:lpwstr>
      </vt:variant>
      <vt:variant>
        <vt:lpwstr/>
      </vt:variant>
      <vt:variant>
        <vt:i4>3473521</vt:i4>
      </vt:variant>
      <vt:variant>
        <vt:i4>93</vt:i4>
      </vt:variant>
      <vt:variant>
        <vt:i4>0</vt:i4>
      </vt:variant>
      <vt:variant>
        <vt:i4>5</vt:i4>
      </vt:variant>
      <vt:variant>
        <vt:lpwstr>http://www.nevo.co.il/case/29783437</vt:lpwstr>
      </vt:variant>
      <vt:variant>
        <vt:lpwstr/>
      </vt:variant>
      <vt:variant>
        <vt:i4>8061029</vt:i4>
      </vt:variant>
      <vt:variant>
        <vt:i4>90</vt:i4>
      </vt:variant>
      <vt:variant>
        <vt:i4>0</vt:i4>
      </vt:variant>
      <vt:variant>
        <vt:i4>5</vt:i4>
      </vt:variant>
      <vt:variant>
        <vt:lpwstr>http://www.nevo.co.il/law/72231</vt:lpwstr>
      </vt:variant>
      <vt:variant>
        <vt:lpwstr/>
      </vt:variant>
      <vt:variant>
        <vt:i4>8061029</vt:i4>
      </vt:variant>
      <vt:variant>
        <vt:i4>87</vt:i4>
      </vt:variant>
      <vt:variant>
        <vt:i4>0</vt:i4>
      </vt:variant>
      <vt:variant>
        <vt:i4>5</vt:i4>
      </vt:variant>
      <vt:variant>
        <vt:lpwstr>http://www.nevo.co.il/law/72231</vt:lpwstr>
      </vt:variant>
      <vt:variant>
        <vt:lpwstr/>
      </vt:variant>
      <vt:variant>
        <vt:i4>3539040</vt:i4>
      </vt:variant>
      <vt:variant>
        <vt:i4>84</vt:i4>
      </vt:variant>
      <vt:variant>
        <vt:i4>0</vt:i4>
      </vt:variant>
      <vt:variant>
        <vt:i4>5</vt:i4>
      </vt:variant>
      <vt:variant>
        <vt:lpwstr>http://www.nevo.co.il/law/72231/4b</vt:lpwstr>
      </vt:variant>
      <vt:variant>
        <vt:lpwstr/>
      </vt:variant>
      <vt:variant>
        <vt:i4>8061029</vt:i4>
      </vt:variant>
      <vt:variant>
        <vt:i4>81</vt:i4>
      </vt:variant>
      <vt:variant>
        <vt:i4>0</vt:i4>
      </vt:variant>
      <vt:variant>
        <vt:i4>5</vt:i4>
      </vt:variant>
      <vt:variant>
        <vt:lpwstr>http://www.nevo.co.il/law/72231</vt:lpwstr>
      </vt:variant>
      <vt:variant>
        <vt:lpwstr/>
      </vt:variant>
      <vt:variant>
        <vt:i4>3473504</vt:i4>
      </vt:variant>
      <vt:variant>
        <vt:i4>78</vt:i4>
      </vt:variant>
      <vt:variant>
        <vt:i4>0</vt:i4>
      </vt:variant>
      <vt:variant>
        <vt:i4>5</vt:i4>
      </vt:variant>
      <vt:variant>
        <vt:lpwstr>http://www.nevo.co.il/law/72231/4a</vt:lpwstr>
      </vt:variant>
      <vt:variant>
        <vt:lpwstr/>
      </vt:variant>
      <vt:variant>
        <vt:i4>8061029</vt:i4>
      </vt:variant>
      <vt:variant>
        <vt:i4>75</vt:i4>
      </vt:variant>
      <vt:variant>
        <vt:i4>0</vt:i4>
      </vt:variant>
      <vt:variant>
        <vt:i4>5</vt:i4>
      </vt:variant>
      <vt:variant>
        <vt:lpwstr>http://www.nevo.co.il/law/72231</vt:lpwstr>
      </vt:variant>
      <vt:variant>
        <vt:lpwstr/>
      </vt:variant>
      <vt:variant>
        <vt:i4>8061029</vt:i4>
      </vt:variant>
      <vt:variant>
        <vt:i4>72</vt:i4>
      </vt:variant>
      <vt:variant>
        <vt:i4>0</vt:i4>
      </vt:variant>
      <vt:variant>
        <vt:i4>5</vt:i4>
      </vt:variant>
      <vt:variant>
        <vt:lpwstr>http://www.nevo.co.il/law/72231</vt:lpwstr>
      </vt:variant>
      <vt:variant>
        <vt:lpwstr/>
      </vt:variant>
      <vt:variant>
        <vt:i4>5505102</vt:i4>
      </vt:variant>
      <vt:variant>
        <vt:i4>69</vt:i4>
      </vt:variant>
      <vt:variant>
        <vt:i4>0</vt:i4>
      </vt:variant>
      <vt:variant>
        <vt:i4>5</vt:i4>
      </vt:variant>
      <vt:variant>
        <vt:lpwstr>http://www.nevo.co.il/law/72231/4a.a</vt:lpwstr>
      </vt:variant>
      <vt:variant>
        <vt:lpwstr/>
      </vt:variant>
      <vt:variant>
        <vt:i4>3539040</vt:i4>
      </vt:variant>
      <vt:variant>
        <vt:i4>66</vt:i4>
      </vt:variant>
      <vt:variant>
        <vt:i4>0</vt:i4>
      </vt:variant>
      <vt:variant>
        <vt:i4>5</vt:i4>
      </vt:variant>
      <vt:variant>
        <vt:lpwstr>http://www.nevo.co.il/law/72231/4b</vt:lpwstr>
      </vt:variant>
      <vt:variant>
        <vt:lpwstr/>
      </vt:variant>
      <vt:variant>
        <vt:i4>8061029</vt:i4>
      </vt:variant>
      <vt:variant>
        <vt:i4>63</vt:i4>
      </vt:variant>
      <vt:variant>
        <vt:i4>0</vt:i4>
      </vt:variant>
      <vt:variant>
        <vt:i4>5</vt:i4>
      </vt:variant>
      <vt:variant>
        <vt:lpwstr>http://www.nevo.co.il/law/72231</vt:lpwstr>
      </vt:variant>
      <vt:variant>
        <vt:lpwstr/>
      </vt:variant>
      <vt:variant>
        <vt:i4>8061029</vt:i4>
      </vt:variant>
      <vt:variant>
        <vt:i4>60</vt:i4>
      </vt:variant>
      <vt:variant>
        <vt:i4>0</vt:i4>
      </vt:variant>
      <vt:variant>
        <vt:i4>5</vt:i4>
      </vt:variant>
      <vt:variant>
        <vt:lpwstr>http://www.nevo.co.il/law/72231</vt:lpwstr>
      </vt:variant>
      <vt:variant>
        <vt:lpwstr/>
      </vt:variant>
      <vt:variant>
        <vt:i4>8061029</vt:i4>
      </vt:variant>
      <vt:variant>
        <vt:i4>57</vt:i4>
      </vt:variant>
      <vt:variant>
        <vt:i4>0</vt:i4>
      </vt:variant>
      <vt:variant>
        <vt:i4>5</vt:i4>
      </vt:variant>
      <vt:variant>
        <vt:lpwstr>http://www.nevo.co.il/law/72231</vt:lpwstr>
      </vt:variant>
      <vt:variant>
        <vt:lpwstr/>
      </vt:variant>
      <vt:variant>
        <vt:i4>8061029</vt:i4>
      </vt:variant>
      <vt:variant>
        <vt:i4>54</vt:i4>
      </vt:variant>
      <vt:variant>
        <vt:i4>0</vt:i4>
      </vt:variant>
      <vt:variant>
        <vt:i4>5</vt:i4>
      </vt:variant>
      <vt:variant>
        <vt:lpwstr>http://www.nevo.co.il/law/72231</vt:lpwstr>
      </vt:variant>
      <vt:variant>
        <vt:lpwstr/>
      </vt:variant>
      <vt:variant>
        <vt:i4>8061029</vt:i4>
      </vt:variant>
      <vt:variant>
        <vt:i4>51</vt:i4>
      </vt:variant>
      <vt:variant>
        <vt:i4>0</vt:i4>
      </vt:variant>
      <vt:variant>
        <vt:i4>5</vt:i4>
      </vt:variant>
      <vt:variant>
        <vt:lpwstr>http://www.nevo.co.il/law/72231</vt:lpwstr>
      </vt:variant>
      <vt:variant>
        <vt:lpwstr/>
      </vt:variant>
      <vt:variant>
        <vt:i4>5505102</vt:i4>
      </vt:variant>
      <vt:variant>
        <vt:i4>48</vt:i4>
      </vt:variant>
      <vt:variant>
        <vt:i4>0</vt:i4>
      </vt:variant>
      <vt:variant>
        <vt:i4>5</vt:i4>
      </vt:variant>
      <vt:variant>
        <vt:lpwstr>http://www.nevo.co.il/law/72231/4a.a</vt:lpwstr>
      </vt:variant>
      <vt:variant>
        <vt:lpwstr/>
      </vt:variant>
      <vt:variant>
        <vt:i4>8061029</vt:i4>
      </vt:variant>
      <vt:variant>
        <vt:i4>45</vt:i4>
      </vt:variant>
      <vt:variant>
        <vt:i4>0</vt:i4>
      </vt:variant>
      <vt:variant>
        <vt:i4>5</vt:i4>
      </vt:variant>
      <vt:variant>
        <vt:lpwstr>http://www.nevo.co.il/law/72231</vt:lpwstr>
      </vt:variant>
      <vt:variant>
        <vt:lpwstr/>
      </vt:variant>
      <vt:variant>
        <vt:i4>8061029</vt:i4>
      </vt:variant>
      <vt:variant>
        <vt:i4>42</vt:i4>
      </vt:variant>
      <vt:variant>
        <vt:i4>0</vt:i4>
      </vt:variant>
      <vt:variant>
        <vt:i4>5</vt:i4>
      </vt:variant>
      <vt:variant>
        <vt:lpwstr>http://www.nevo.co.il/law/72231</vt:lpwstr>
      </vt:variant>
      <vt:variant>
        <vt:lpwstr/>
      </vt:variant>
      <vt:variant>
        <vt:i4>8061029</vt:i4>
      </vt:variant>
      <vt:variant>
        <vt:i4>39</vt:i4>
      </vt:variant>
      <vt:variant>
        <vt:i4>0</vt:i4>
      </vt:variant>
      <vt:variant>
        <vt:i4>5</vt:i4>
      </vt:variant>
      <vt:variant>
        <vt:lpwstr>http://www.nevo.co.il/law/72231</vt:lpwstr>
      </vt:variant>
      <vt:variant>
        <vt:lpwstr/>
      </vt:variant>
      <vt:variant>
        <vt:i4>8061029</vt:i4>
      </vt:variant>
      <vt:variant>
        <vt:i4>36</vt:i4>
      </vt:variant>
      <vt:variant>
        <vt:i4>0</vt:i4>
      </vt:variant>
      <vt:variant>
        <vt:i4>5</vt:i4>
      </vt:variant>
      <vt:variant>
        <vt:lpwstr>http://www.nevo.co.il/law/72231</vt:lpwstr>
      </vt:variant>
      <vt:variant>
        <vt:lpwstr/>
      </vt:variant>
      <vt:variant>
        <vt:i4>8061034</vt:i4>
      </vt:variant>
      <vt:variant>
        <vt:i4>33</vt:i4>
      </vt:variant>
      <vt:variant>
        <vt:i4>0</vt:i4>
      </vt:variant>
      <vt:variant>
        <vt:i4>5</vt:i4>
      </vt:variant>
      <vt:variant>
        <vt:lpwstr>http://www.nevo.co.il/law/84250</vt:lpwstr>
      </vt:variant>
      <vt:variant>
        <vt:lpwstr/>
      </vt:variant>
      <vt:variant>
        <vt:i4>5308511</vt:i4>
      </vt:variant>
      <vt:variant>
        <vt:i4>30</vt:i4>
      </vt:variant>
      <vt:variant>
        <vt:i4>0</vt:i4>
      </vt:variant>
      <vt:variant>
        <vt:i4>5</vt:i4>
      </vt:variant>
      <vt:variant>
        <vt:lpwstr>http://www.nevo.co.il/law/74901/6</vt:lpwstr>
      </vt:variant>
      <vt:variant>
        <vt:lpwstr/>
      </vt:variant>
      <vt:variant>
        <vt:i4>8257646</vt:i4>
      </vt:variant>
      <vt:variant>
        <vt:i4>27</vt:i4>
      </vt:variant>
      <vt:variant>
        <vt:i4>0</vt:i4>
      </vt:variant>
      <vt:variant>
        <vt:i4>5</vt:i4>
      </vt:variant>
      <vt:variant>
        <vt:lpwstr>http://www.nevo.co.il/law/74901</vt:lpwstr>
      </vt:variant>
      <vt:variant>
        <vt:lpwstr/>
      </vt:variant>
      <vt:variant>
        <vt:i4>3539040</vt:i4>
      </vt:variant>
      <vt:variant>
        <vt:i4>24</vt:i4>
      </vt:variant>
      <vt:variant>
        <vt:i4>0</vt:i4>
      </vt:variant>
      <vt:variant>
        <vt:i4>5</vt:i4>
      </vt:variant>
      <vt:variant>
        <vt:lpwstr>http://www.nevo.co.il/law/72231/4b</vt:lpwstr>
      </vt:variant>
      <vt:variant>
        <vt:lpwstr/>
      </vt:variant>
      <vt:variant>
        <vt:i4>5505102</vt:i4>
      </vt:variant>
      <vt:variant>
        <vt:i4>21</vt:i4>
      </vt:variant>
      <vt:variant>
        <vt:i4>0</vt:i4>
      </vt:variant>
      <vt:variant>
        <vt:i4>5</vt:i4>
      </vt:variant>
      <vt:variant>
        <vt:lpwstr>http://www.nevo.co.il/law/72231/4a.a</vt:lpwstr>
      </vt:variant>
      <vt:variant>
        <vt:lpwstr/>
      </vt:variant>
      <vt:variant>
        <vt:i4>3473504</vt:i4>
      </vt:variant>
      <vt:variant>
        <vt:i4>18</vt:i4>
      </vt:variant>
      <vt:variant>
        <vt:i4>0</vt:i4>
      </vt:variant>
      <vt:variant>
        <vt:i4>5</vt:i4>
      </vt:variant>
      <vt:variant>
        <vt:lpwstr>http://www.nevo.co.il/law/72231/4a</vt:lpwstr>
      </vt:variant>
      <vt:variant>
        <vt:lpwstr/>
      </vt:variant>
      <vt:variant>
        <vt:i4>5505108</vt:i4>
      </vt:variant>
      <vt:variant>
        <vt:i4>15</vt:i4>
      </vt:variant>
      <vt:variant>
        <vt:i4>0</vt:i4>
      </vt:variant>
      <vt:variant>
        <vt:i4>5</vt:i4>
      </vt:variant>
      <vt:variant>
        <vt:lpwstr>http://www.nevo.co.il/law/72231/1</vt:lpwstr>
      </vt:variant>
      <vt:variant>
        <vt:lpwstr/>
      </vt:variant>
      <vt:variant>
        <vt:i4>8061029</vt:i4>
      </vt:variant>
      <vt:variant>
        <vt:i4>12</vt:i4>
      </vt:variant>
      <vt:variant>
        <vt:i4>0</vt:i4>
      </vt:variant>
      <vt:variant>
        <vt:i4>5</vt:i4>
      </vt:variant>
      <vt:variant>
        <vt:lpwstr>http://www.nevo.co.il/law/72231</vt:lpwstr>
      </vt:variant>
      <vt:variant>
        <vt:lpwstr/>
      </vt:variant>
      <vt:variant>
        <vt:i4>2162728</vt:i4>
      </vt:variant>
      <vt:variant>
        <vt:i4>9</vt:i4>
      </vt:variant>
      <vt:variant>
        <vt:i4>0</vt:i4>
      </vt:variant>
      <vt:variant>
        <vt:i4>5</vt:i4>
      </vt:variant>
      <vt:variant>
        <vt:lpwstr>http://www.nevo.co.il/safrut/bookgroup/2057</vt:lpwstr>
      </vt:variant>
      <vt:variant>
        <vt:lpwstr/>
      </vt:variant>
      <vt:variant>
        <vt:i4>2097184</vt:i4>
      </vt:variant>
      <vt:variant>
        <vt:i4>6</vt:i4>
      </vt:variant>
      <vt:variant>
        <vt:i4>0</vt:i4>
      </vt:variant>
      <vt:variant>
        <vt:i4>5</vt:i4>
      </vt:variant>
      <vt:variant>
        <vt:lpwstr>http://www.nevo.co.il/safrut/bookgroup/385</vt:lpwstr>
      </vt:variant>
      <vt:variant>
        <vt:lpwstr/>
      </vt:variant>
      <vt:variant>
        <vt:i4>7602231</vt:i4>
      </vt:variant>
      <vt:variant>
        <vt:i4>3</vt:i4>
      </vt:variant>
      <vt:variant>
        <vt:i4>0</vt:i4>
      </vt:variant>
      <vt:variant>
        <vt:i4>5</vt:i4>
      </vt:variant>
      <vt:variant>
        <vt:lpwstr>http://www.nevo.co.il/safrut/book/25504</vt:lpwstr>
      </vt:variant>
      <vt:variant>
        <vt:lpwstr/>
      </vt:variant>
      <vt:variant>
        <vt:i4>7405617</vt:i4>
      </vt:variant>
      <vt:variant>
        <vt:i4>0</vt:i4>
      </vt:variant>
      <vt:variant>
        <vt:i4>0</vt:i4>
      </vt:variant>
      <vt:variant>
        <vt:i4>5</vt:i4>
      </vt:variant>
      <vt:variant>
        <vt:lpwstr>http://www.nevo.co.il/safrut/book/35250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ronen</dc:creator>
  <cp:keywords/>
  <dc:description/>
  <cp:lastModifiedBy>Ronen Ben Meir</cp:lastModifiedBy>
  <cp:revision>2</cp:revision>
  <dcterms:created xsi:type="dcterms:W3CDTF">2026-07-29T17:34:00Z</dcterms:created>
  <dcterms:modified xsi:type="dcterms:W3CDTF">2026-07-29T17:34:00Z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6</vt:lpwstr>
  </property>
  <property fmtid="{D5CDD505-2E9C-101B-9397-08002B2CF9AE}" pid="3" name="PSAKDIN">
    <vt:lpwstr>פסק-דין</vt:lpwstr>
  </property>
  <property fmtid="{D5CDD505-2E9C-101B-9397-08002B2CF9AE}" pid="4" name="NEWPROC">
    <vt:lpwstr>עתמ</vt:lpwstr>
  </property>
  <property fmtid="{D5CDD505-2E9C-101B-9397-08002B2CF9AE}" pid="5" name="NEWPARTA">
    <vt:lpwstr>2308</vt:lpwstr>
  </property>
  <property fmtid="{D5CDD505-2E9C-101B-9397-08002B2CF9AE}" pid="6" name="NEWPARTB">
    <vt:lpwstr>11</vt:lpwstr>
  </property>
  <property fmtid="{D5CDD505-2E9C-101B-9397-08002B2CF9AE}" pid="7" name="NEWPARTC">
    <vt:lpwstr>24</vt:lpwstr>
  </property>
  <property fmtid="{D5CDD505-2E9C-101B-9397-08002B2CF9AE}" pid="8" name="APPELLANT">
    <vt:lpwstr>לזניה ארטיום</vt:lpwstr>
  </property>
  <property fmtid="{D5CDD505-2E9C-101B-9397-08002B2CF9AE}" pid="9" name="APPELLEE">
    <vt:lpwstr>רשות האוכלוסין וההגירה משרד הפנים</vt:lpwstr>
  </property>
  <property fmtid="{D5CDD505-2E9C-101B-9397-08002B2CF9AE}" pid="10" name="LAWYER">
    <vt:lpwstr>מקסים ליפקין;ראובן ליפקין;מורן אלבג;נטע מרום מעוז;שלומית ארבל</vt:lpwstr>
  </property>
  <property fmtid="{D5CDD505-2E9C-101B-9397-08002B2CF9AE}" pid="11" name="JUDGE">
    <vt:lpwstr>מיכל אגמון גונן</vt:lpwstr>
  </property>
  <property fmtid="{D5CDD505-2E9C-101B-9397-08002B2CF9AE}" pid="12" name="CITY">
    <vt:lpwstr>ת"א</vt:lpwstr>
  </property>
  <property fmtid="{D5CDD505-2E9C-101B-9397-08002B2CF9AE}" pid="13" name="DATE">
    <vt:lpwstr>20250525</vt:lpwstr>
  </property>
  <property fmtid="{D5CDD505-2E9C-101B-9397-08002B2CF9AE}" pid="14" name="TYPE_N_DATE">
    <vt:lpwstr>40020250525</vt:lpwstr>
  </property>
  <property fmtid="{D5CDD505-2E9C-101B-9397-08002B2CF9AE}" pid="15" name="WORDNUMPAGES">
    <vt:lpwstr>25</vt:lpwstr>
  </property>
  <property fmtid="{D5CDD505-2E9C-101B-9397-08002B2CF9AE}" pid="16" name="TYPE_ABS_DATE">
    <vt:lpwstr>400120250525</vt:lpwstr>
  </property>
  <property fmtid="{D5CDD505-2E9C-101B-9397-08002B2CF9AE}" pid="17" name="ISABSTRACT">
    <vt:lpwstr>Y</vt:lpwstr>
  </property>
  <property fmtid="{D5CDD505-2E9C-101B-9397-08002B2CF9AE}" pid="18" name="CASESLISTTMP1">
    <vt:lpwstr>29783437:2;29511836;22530115;5681512;26440928;27780409;21473076;7821828;20930826;6049258;17939588;5590073;5917763;20985875;5830461;20967020</vt:lpwstr>
  </property>
  <property fmtid="{D5CDD505-2E9C-101B-9397-08002B2CF9AE}" pid="19" name="BOOKLISTTMP1">
    <vt:lpwstr>35250;25504</vt:lpwstr>
  </property>
  <property fmtid="{D5CDD505-2E9C-101B-9397-08002B2CF9AE}" pid="20" name="BOOKGROUPTMP1">
    <vt:lpwstr>385:2:3:4:4;2057:2:3</vt:lpwstr>
  </property>
  <property fmtid="{D5CDD505-2E9C-101B-9397-08002B2CF9AE}" pid="21" name="LAWLISTTMP1">
    <vt:lpwstr>72231/001;004a.a:2;004b:3;004a</vt:lpwstr>
  </property>
  <property fmtid="{D5CDD505-2E9C-101B-9397-08002B2CF9AE}" pid="22" name="LAWLISTTMP2">
    <vt:lpwstr>74901/006</vt:lpwstr>
  </property>
  <property fmtid="{D5CDD505-2E9C-101B-9397-08002B2CF9AE}" pid="23" name="LAWLISTTMP3">
    <vt:lpwstr>84250</vt:lpwstr>
  </property>
  <property fmtid="{D5CDD505-2E9C-101B-9397-08002B2CF9AE}" pid="24" name="METAKZER">
    <vt:lpwstr>אהוד</vt:lpwstr>
  </property>
  <property fmtid="{D5CDD505-2E9C-101B-9397-08002B2CF9AE}" pid="25" name="NOSE1ID">
    <vt:lpwstr>59;59;59;59;61;74;84;84</vt:lpwstr>
  </property>
  <property fmtid="{D5CDD505-2E9C-101B-9397-08002B2CF9AE}" pid="26" name="NOSE2ID">
    <vt:lpwstr>1128;1128;1128;1101;1230;1422;1517;1521</vt:lpwstr>
  </property>
  <property fmtid="{D5CDD505-2E9C-101B-9397-08002B2CF9AE}" pid="27" name="NOSE3ID">
    <vt:lpwstr>6998;15921;6995;6767;7770;8631;13021;9446</vt:lpwstr>
  </property>
  <property fmtid="{D5CDD505-2E9C-101B-9397-08002B2CF9AE}" pid="28" name="NOSE11">
    <vt:lpwstr>משפט חוקתי</vt:lpwstr>
  </property>
  <property fmtid="{D5CDD505-2E9C-101B-9397-08002B2CF9AE}" pid="29" name="NOSE21">
    <vt:lpwstr>שבות</vt:lpwstr>
  </property>
  <property fmtid="{D5CDD505-2E9C-101B-9397-08002B2CF9AE}" pid="30" name="NOSE31">
    <vt:lpwstr>חוק השבות, תשי-1950</vt:lpwstr>
  </property>
  <property fmtid="{D5CDD505-2E9C-101B-9397-08002B2CF9AE}" pid="31" name="NOSE12">
    <vt:lpwstr>משפט חוקתי</vt:lpwstr>
  </property>
  <property fmtid="{D5CDD505-2E9C-101B-9397-08002B2CF9AE}" pid="32" name="NOSE22">
    <vt:lpwstr>שבות</vt:lpwstr>
  </property>
  <property fmtid="{D5CDD505-2E9C-101B-9397-08002B2CF9AE}" pid="33" name="NOSE32">
    <vt:lpwstr>נטל ההוכחה</vt:lpwstr>
  </property>
  <property fmtid="{D5CDD505-2E9C-101B-9397-08002B2CF9AE}" pid="34" name="NOSE13">
    <vt:lpwstr>משפט חוקתי</vt:lpwstr>
  </property>
  <property fmtid="{D5CDD505-2E9C-101B-9397-08002B2CF9AE}" pid="35" name="NOSE23">
    <vt:lpwstr>שבות</vt:lpwstr>
  </property>
  <property fmtid="{D5CDD505-2E9C-101B-9397-08002B2CF9AE}" pid="36" name="NOSE33">
    <vt:lpwstr>בני משפחה של יהודים</vt:lpwstr>
  </property>
  <property fmtid="{D5CDD505-2E9C-101B-9397-08002B2CF9AE}" pid="37" name="NOSE14">
    <vt:lpwstr>משפט חוקתי</vt:lpwstr>
  </property>
  <property fmtid="{D5CDD505-2E9C-101B-9397-08002B2CF9AE}" pid="38" name="NOSE24">
    <vt:lpwstr>אזרחות</vt:lpwstr>
  </property>
  <property fmtid="{D5CDD505-2E9C-101B-9397-08002B2CF9AE}" pid="39" name="NOSE34">
    <vt:lpwstr>רכישתה</vt:lpwstr>
  </property>
  <property fmtid="{D5CDD505-2E9C-101B-9397-08002B2CF9AE}" pid="40" name="NOSE15">
    <vt:lpwstr>משפט עברי</vt:lpwstr>
  </property>
  <property fmtid="{D5CDD505-2E9C-101B-9397-08002B2CF9AE}" pid="41" name="NOSE25">
    <vt:lpwstr>יהודי</vt:lpwstr>
  </property>
  <property fmtid="{D5CDD505-2E9C-101B-9397-08002B2CF9AE}" pid="42" name="NOSE35">
    <vt:lpwstr>יהודי מומר</vt:lpwstr>
  </property>
  <property fmtid="{D5CDD505-2E9C-101B-9397-08002B2CF9AE}" pid="43" name="NOSE16">
    <vt:lpwstr>עדות דתיות</vt:lpwstr>
  </property>
  <property fmtid="{D5CDD505-2E9C-101B-9397-08002B2CF9AE}" pid="44" name="NOSE26">
    <vt:lpwstr>השתייכות לעדה דתית</vt:lpwstr>
  </property>
  <property fmtid="{D5CDD505-2E9C-101B-9397-08002B2CF9AE}" pid="45" name="NOSE36">
    <vt:lpwstr>קביעתה</vt:lpwstr>
  </property>
  <property fmtid="{D5CDD505-2E9C-101B-9397-08002B2CF9AE}" pid="46" name="NOSE17">
    <vt:lpwstr>פרשנות</vt:lpwstr>
  </property>
  <property fmtid="{D5CDD505-2E9C-101B-9397-08002B2CF9AE}" pid="47" name="NOSE27">
    <vt:lpwstr>דין</vt:lpwstr>
  </property>
  <property fmtid="{D5CDD505-2E9C-101B-9397-08002B2CF9AE}" pid="48" name="NOSE37">
    <vt:lpwstr>חוק השבות</vt:lpwstr>
  </property>
  <property fmtid="{D5CDD505-2E9C-101B-9397-08002B2CF9AE}" pid="49" name="NOSE18">
    <vt:lpwstr>פרשנות</vt:lpwstr>
  </property>
  <property fmtid="{D5CDD505-2E9C-101B-9397-08002B2CF9AE}" pid="50" name="NOSE28">
    <vt:lpwstr>מונחים</vt:lpwstr>
  </property>
  <property fmtid="{D5CDD505-2E9C-101B-9397-08002B2CF9AE}" pid="51" name="NOSE38">
    <vt:lpwstr>בן דת אחרת</vt:lpwstr>
  </property>
  <property fmtid="{D5CDD505-2E9C-101B-9397-08002B2CF9AE}" pid="52" name="NOSE19">
    <vt:lpwstr/>
  </property>
  <property fmtid="{D5CDD505-2E9C-101B-9397-08002B2CF9AE}" pid="53" name="NOSE29">
    <vt:lpwstr/>
  </property>
  <property fmtid="{D5CDD505-2E9C-101B-9397-08002B2CF9AE}" pid="54" name="NOSE39">
    <vt:lpwstr/>
  </property>
  <property fmtid="{D5CDD505-2E9C-101B-9397-08002B2CF9AE}" pid="55" name="NOSE110">
    <vt:lpwstr/>
  </property>
  <property fmtid="{D5CDD505-2E9C-101B-9397-08002B2CF9AE}" pid="56" name="NOSE210">
    <vt:lpwstr/>
  </property>
  <property fmtid="{D5CDD505-2E9C-101B-9397-08002B2CF9AE}" pid="57" name="NOSE310">
    <vt:lpwstr/>
  </property>
  <property fmtid="{D5CDD505-2E9C-101B-9397-08002B2CF9AE}" pid="58" name="PADIMAIL">
    <vt:lpwstr>YES</vt:lpwstr>
  </property>
  <property fmtid="{D5CDD505-2E9C-101B-9397-08002B2CF9AE}" pid="59" name="PADIDATE">
    <vt:lpwstr>20250604</vt:lpwstr>
  </property>
</Properties>
</file>