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line="360" w:after="180"/>
        <w:jc w:val="right"/>
      </w:pPr>
      <w:r>
        <w:rPr>
          <w:b/>
          <w:bCs/>
          <w:sz w:val="30"/>
          <w:szCs w:val="30"/>
          <w:rtl/>
          <w:rFonts w:ascii="David" w:cs="David" w:eastAsia="David" w:hAnsi="David"/>
        </w:rPr>
        <w:t xml:space="preserve">חלק א' — משפט ואלימות: רע"א 1954/24 וקנין נ' קיבוץ ניר דוד לצד "על האלימות" לברטולט ברכט</w:t>
      </w:r>
    </w:p>
    <w:p>
      <w:pPr>
        <w:bidi/>
        <w:spacing w:line="360" w:after="120"/>
        <w:jc w:val="both"/>
      </w:pPr>
      <w:r>
        <w:rPr>
          <w:sz w:val="24"/>
          <w:szCs w:val="24"/>
          <w:rtl/>
          <w:rFonts w:ascii="David" w:cs="David" w:eastAsia="David" w:hAnsi="David"/>
        </w:rPr>
        <w:t xml:space="preserve">נתנאל וקנין הוא ממובילי המאבק על זכות הגישה הציבורית לנחל האסי, ומנהל קבוצת הפייסבוק "משחררים את האסי". בעקבות פרסומים חריפים בקבוצה נגד קיבוץ ניר דוד, שלח הקיבוץ לוקנין מכתב התראה. המכתב דרש למחוק כל פרסום פוגעני, לפרסם התנצלות מתואמת, ולשלם פיצוי בסך שניים וחצי מיליון ש"ח. משלא נענו הדרישות, הגיש הקיבוץ נגד וקנין בלבד תביעת לשון הרע, בסכום זהה. כתב התביעה כלל שבעים ושבעה פרסומים מן הקבוצה, שמנתה מעל עשרים אלף חברים, אך רק כשבעה מהם נכתבו בידי וקנין עצמו. וקנין טען כי מדובר בתביעת השתקה וביקש לסלקה על הסף, אך בקשתו נדחתה בכל הערכאות.</w:t>
      </w:r>
    </w:p>
    <w:p>
      <w:pPr>
        <w:bidi/>
        <w:spacing w:line="360" w:after="120"/>
        <w:jc w:val="both"/>
      </w:pPr>
      <w:r>
        <w:rPr>
          <w:sz w:val="24"/>
          <w:szCs w:val="24"/>
          <w:rtl/>
          <w:rFonts w:ascii="David" w:cs="David" w:eastAsia="David" w:hAnsi="David"/>
        </w:rPr>
        <w:t xml:space="preserve">לגישתי, פסק הדין מדגים היטב, ובכמה מישורים, את החיבור שבין המשפט לבין כוח ואלימות. גישת "משפט ואלימות" מערערת על התפיסה המקובלת שלפיה המשפט נועד להגן מפני אלימות. תחת זאת היא גורסת כי לא אחת המשפט עצמו משמש כלי להפעלת אלימות מוסדית, הן בידי בעלי הדין והן בידי בית המשפט. אחד מהוגיה המרכזיים הוא רוברט קאבר, שטען כי החוק אינו יכול לפעול ללא אלימות. לשיטתו, כל פעולה משפטית אינה מופשטת, אלא מותירה אחריה קורבן. כך, אף החלטה דיונית, כהטלת הוצאות או מתן צו מניעה, עשויה לפגוע ממשית ברכושו ובחירותו של אדם. לפיכך גרס קאבר כי יש לנהל את האלימות שבמשפט בחוכמה, ולא לנסות להעלימה.</w:t>
      </w:r>
    </w:p>
    <w:p>
      <w:pPr>
        <w:bidi/>
        <w:spacing w:line="360" w:after="120"/>
        <w:jc w:val="both"/>
      </w:pPr>
      <w:r>
        <w:rPr>
          <w:sz w:val="24"/>
          <w:szCs w:val="24"/>
          <w:rtl/>
          <w:rFonts w:ascii="David" w:cs="David" w:eastAsia="David" w:hAnsi="David"/>
        </w:rPr>
        <w:t xml:space="preserve">חוות דעתו של השופט סולברג פותחת בציון כי בעלי הדין הם צדדים לוויכוח ציבורי סוער. עוד צוין כי וקנין מנהל את קבוצת הפייסבוק המשמשת ערוץ מרכזי למאבק על נחל האסי. דרישת הקיבוץ לפיצוי גבוה ממחישה כיצד פערי כוח בין בעלי דין עשויים להפוך לאלימות עוד בטרם הוגשה תביעה. הרתעת הצד שכנגד, באמצעות ידע משפטי רחב המגיע מבא כוחו, היא ביטוי מובהק לכך. הדבר מתכתב עם טענת קאבר כי האלימות במשפט בלתי נמנעת, וכי מלאכת הפרשנות תמיד תצדיק אלימות. אלימות זו כבר התרחשה, או שפסק הדין מאפשר את התרחשותה בעתיד. ואכן, עצם הפעלת המערכת בידי הקיבוץ עשויה לשנות את התנהגותו של וקנין. היא אף תרתיע נתבעים פוטנציאליים מהשתתפות בשיח הציבורי. השופט סולברג ציין כי הרתעה זו אינה תלויה בתוצאת ההליך, אלא נובעת מעצם קיומו.</w:t>
      </w:r>
    </w:p>
    <w:p>
      <w:pPr>
        <w:bidi/>
        <w:spacing w:line="360" w:after="120"/>
        <w:jc w:val="both"/>
      </w:pPr>
      <w:r>
        <w:rPr>
          <w:sz w:val="24"/>
          <w:szCs w:val="24"/>
          <w:rtl/>
          <w:rFonts w:ascii="David" w:cs="David" w:eastAsia="David" w:hAnsi="David"/>
        </w:rPr>
        <w:t xml:space="preserve">גם עצם התביעה מגלמת אלימות. בקשת הקיבוץ לסעד של מיליוני שקלים, נגד אדם אחד בלבד, עשויה לגבש התנהגות אלימה. זאת במיוחד נוכח מספרם המזערי של הפרסומים שנכתבו בידי וקנין. כדי להגן על עצמו נדרש וקנין להשקיע זמן ומשאבים רבים, כשהוא חשוף לחיוב כספי עצום. כך מאפשרים סדרי הדין לקיבוץ להשתמש במערכת המשפט כערוץ להפעלת אלימות מוסדית. קארל מרקס אף טען כי החוק הוא כלי לשימור הון, ולא לקידום צדק. בענייננו, ההליך אינו מתמצה בשאלת לשון הרע, אלא נוגע גם לשימור הפער בין הקיבוץ לוקנין. הסעד המבוקש אינו הערכת נזק, אלא כלי הרתעה. די בחצי מן הסכום כדי להביא נתבע סביר למחוק ולהתנצל, לא משום ששוכנע, אלא משום שאינו יכול לשאת בעלות ההתדיינות.</w:t>
      </w:r>
    </w:p>
    <w:p>
      <w:pPr>
        <w:bidi/>
        <w:spacing w:line="360" w:after="120"/>
        <w:jc w:val="both"/>
      </w:pPr>
      <w:r>
        <w:rPr>
          <w:sz w:val="24"/>
          <w:szCs w:val="24"/>
          <w:rtl/>
          <w:rFonts w:ascii="David" w:cs="David" w:eastAsia="David" w:hAnsi="David"/>
        </w:rPr>
        <w:t xml:space="preserve">חרף דחיית טענותיו של וקנין, בחר השופט סולברג להתוות הלכה עקרונית. נקבע כי תביעה שתסווג כתביעת השתקה תזכה את הנתבע בהוצאות ההולמות את השימוש לרעה, עד כדי סכום התביעה עצמה. תכליתה המוצהרת של ההלכה היא הרתעת תובעים פוטנציאליים. כאן נכנסת הבחנתו של וולטר בנימין בין אלימות משמרת לאלימות מכוננת. מצאתי כי פסק הדין נושא את שני הפנים. מחד גיסא, דחיית טענות וקנין הותירה על כנם את פערי הכוח, וכפתה הליך ממושך ויקר על שני הצדדים. בכך הפעיל בית המשפט אלימות משמרת, המשמרת את כוח הקיבוץ ואת התמריץ העומד לתובעים עתידיים. מאידך גיסא, ההלכה תמחרה מחדש את התמריצים שבתביעות לשון הרע. המנגנון להשית את מלוא הסכום על התובע הופך לכלי ממשי נגד תביעות השתקה. אין זו הכרעה דיונית ניטרלית, אלא שימוש אקטיבי של בית המשפט ליצירת סדר חדש. במובן זה, ובעקבות בנימין, האלימות המשמרת חדלה מלחסום את המכוננת, ונוצר סדר נורמטיבי חדש.</w:t>
      </w:r>
    </w:p>
    <w:p>
      <w:pPr>
        <w:bidi/>
        <w:spacing w:line="360" w:after="120"/>
        <w:jc w:val="both"/>
      </w:pPr>
      <w:r>
        <w:rPr>
          <w:sz w:val="24"/>
          <w:szCs w:val="24"/>
          <w:rtl/>
          <w:rFonts w:ascii="David" w:cs="David" w:eastAsia="David" w:hAnsi="David"/>
        </w:rPr>
        <w:t xml:space="preserve">על רקע זה עומד שירו של ברטולט ברכט, "על האלימות". ברכט מציין כי הזרם האלים ידוע, אך האפיק המצר אותו לעולם אינו נקרא אלים. הוא שואל מדוע הסופה המכופפת את עצי הלבנה זוכה להכרה, בעוד האלימות המכופפת את גב הפועלים אינה מוכרת. לגישתי, שורה זו ממחישה את חוסר המודעות לחיבור העמוק שבין משפט לאלימות. לצד תביעות ההשתקה, הנתפסות כאלימות, עומד בית המשפט ומתווה התנהגות באמצעות ההלכה המחייבת. כך "מכופף" בית המשפט את הנורמות הקיימות. אף שהשלכות פסק הדין חיוביות, ההלכה עצמה ניתנת לסיווג כהפעלת אלימות. תפיסה זו מקבלת חיזוק אצל פייר בורדייה, שלפיו המשפט ה"ניטרלי" לכאורה משמר בפועל את יחסי הכוח לטובת החזקים. הטקס וסדרי הדין מסווים את הכוח, בדיוק כמו האפיק שבשירו של ברכט.</w:t>
      </w:r>
    </w:p>
    <w:p>
      <w:pPr>
        <w:bidi/>
        <w:spacing w:line="360" w:after="120"/>
        <w:jc w:val="both"/>
      </w:pPr>
      <w:r>
        <w:rPr>
          <w:sz w:val="24"/>
          <w:szCs w:val="24"/>
          <w:rtl/>
          <w:rFonts w:ascii="David" w:cs="David" w:eastAsia="David" w:hAnsi="David"/>
        </w:rPr>
        <w:t xml:space="preserve">השופט עמית, בדעת מיעוט, הסתייג מקביעת ההוצאות ביחס ישיר לסכום התביעה. לדעתו סנקציה זו טומנת אפקט מצנן ואף "מקפיא", ויש בה גוון עונשי של ממש. הוא הוסיף כי היא יוצרת איום גם כלפי תובעים בתום לב. למעשה, עמית זיהה את התרופה שהציעו השופטים סולברג ושטיין כהפעלת כוח מופרז, ובמילים אחרות כאלימות. לפיכך המחלוקת בין השופטים אינה נוגעת לעוצמת הסעד בלבד, אלא לגבולותיו של המונח "אלימות". דעת הרוב מתבוננת בזרם, ואילו דעת המיעוט מפנה את המבט אל האפיק, הוא בית המשפט. כך מלמד שירו של ברכט כי המונח "אלימות" מוענק באופן סלקטיבי. הביטויים החריפים בקבוצה קלים לזיהוי כאלימים, אך התביעה, עלויותיה והאפקט המצנן שבה הם אלימות אף הם. כמו האפיק המצר, ההליך המשפטי נתפס כמסגרת טבעית וניטרלית, ולכן הכוח המופעל דרכו אינו נקרא תמיד אלים.</w:t>
      </w:r>
    </w:p>
    <w:p>
      <w:pPr>
        <w:bidi/>
        <w:spacing w:line="360" w:after="120"/>
        <w:jc w:val="both"/>
      </w:pPr>
      <w:r>
        <w:rPr>
          <w:sz w:val="24"/>
          <w:szCs w:val="24"/>
          <w:rtl/>
          <w:rFonts w:ascii="David" w:cs="David" w:eastAsia="David" w:hAnsi="David"/>
        </w:rPr>
        <w:t xml:space="preserve">האם אכן הדרך הנכונה היא להכיר בחיבור שבין משפט לאלימות ולנהלו בחוכמה, כפי שהמליץ קאבר? סבורני כי פסק הדין ממחיש שחיבור זה עשוי להניב גם תוצאות חיוביות. סמכות השופטים לייצר נורמות היא חלק בלתי נפרד מן המשפט. בעניין תביעות השתקה היא מחייבת בחינה סובייקטיבית של השאלה כלפי מי מופעל הכוח. כך יוכל בית המשפט להשתמש בכוחו כראוי ולמגר תופעות חברתיות פסולות. בעיניי זהו הלקח המרכזי מן הניתוח: השאיפה לנקות את המשפט מאלימות אינה מעשית. על בית המשפט לנהל חיבור זה בצורה מושכלת, שאינה ניטרלית גרידא. כל עוד המחוקק מותיר חלל נורמטיבי, על בית המשפט למלאו באופן שיבטיח את פיזור הכוח בין בעלי הדין. בכך מתגלמת תפיסת קאבר, שלפיה אף שהתערבות בית המשפט כרוכה באלימות, יש בכוחה לעצב נורמות ולצמצם את האלימות בשדה המשפט.</w:t>
      </w:r>
    </w:p>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David" w:cs="David" w:eastAsia="David" w:hAnsi="David"/>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2026-08-04T20:56:47.211Z</dcterms:created>
  <dcterms:modified xsi:type="dcterms:W3CDTF">2026-08-04T20:56:47.212Z</dcterms:modified>
</cp:coreProperties>
</file>

<file path=docProps/custom.xml><?xml version="1.0" encoding="utf-8"?>
<Properties xmlns="http://schemas.openxmlformats.org/officeDocument/2006/custom-properties" xmlns:vt="http://schemas.openxmlformats.org/officeDocument/2006/docPropsVTypes"/>
</file>