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360" w:after="180"/>
        <w:jc w:val="right"/>
      </w:pPr>
      <w:r>
        <w:rPr>
          <w:b/>
          <w:bCs/>
          <w:sz w:val="30"/>
          <w:szCs w:val="30"/>
          <w:rtl/>
          <w:rFonts w:ascii="David" w:cs="David" w:eastAsia="David" w:hAnsi="David"/>
        </w:rPr>
        <w:t xml:space="preserve">חלק א' — רב־תרבותיות</w:t>
      </w:r>
    </w:p>
    <w:p>
      <w:pPr>
        <w:bidi/>
        <w:spacing w:line="360" w:after="120"/>
        <w:jc w:val="both"/>
      </w:pPr>
      <w:r>
        <w:rPr>
          <w:sz w:val="24"/>
          <w:szCs w:val="24"/>
          <w:rtl/>
          <w:rFonts w:ascii="David" w:cs="David" w:eastAsia="David" w:hAnsi="David"/>
        </w:rPr>
        <w:t xml:space="preserve">האם מדיניות הנתפסת כניטרלית כלפי כלל האזרחים בחברה רב־תרבותית מקדמת עקרונות של שוויון וצדק, או שמא עלולה לפגוע בקבוצות בעלות זהות תרבותית ייחודית?</w:t>
      </w:r>
    </w:p>
    <w:p>
      <w:pPr>
        <w:bidi/>
        <w:spacing w:line="360" w:after="120"/>
        <w:jc w:val="both"/>
      </w:pPr>
      <w:r>
        <w:rPr>
          <w:sz w:val="24"/>
          <w:szCs w:val="24"/>
          <w:rtl/>
          <w:rFonts w:ascii="David" w:cs="David" w:eastAsia="David" w:hAnsi="David"/>
        </w:rPr>
        <w:t xml:space="preserve">לקראת יום הכיפורים, עמותת "ראש יהודי" הגישה בקשת היתר לעיריית תל אביב יפו לצורך קיום תפילות ציבוריות בכיכר דיזינגוף. כמקובל במסורת האורתודוקסית, תפילות אלו כוללות הפרדה בין הגברים לנשים באמצעות מחיצה. העירייה סירבה לבקשה, שכן מדיניותה אוסרת קיום אירועים במרחב הציבורי הכוללים הפרדה מגדרית. בלב סוגייה זו עומד המתח בין התפיסה של השוויון הפורמלי, הדוגלת בהחלת כלל אחיד על כלל האזרחים, לבין הגישה הרב־תרבותית, אשר שואפת להתחשבות במאפייניהן הייחודיים של קבוצות שונות בחברה. גישה זו התפתחה מתוך ההכרה כי תפיסת זכויות האדם הליברלית המסורתית, המתמקדת באינדיבידואל ובשוויון הפורמלי, אינה משקפת את המציאות שבה בני האדם משתייכים לקבוצות בעלות זהות תרבותית שונה. לכן, גישה זו גורסת כי אין די בהחלת כללים אחידים על כלל האזרחים. בהתאם, מדיניות הנתפסת כניטרלית עלולה, הלכה למעשה, לחזק את קבוצת הרוב, ולהקשות על קבוצות המיעוט לשמר את זהותן התרבותית. לפיכך, הגישה הרב־תרבותית מדגישה את חשיבות ההכרה בשונות בין הקבוצות וצורכיהן הייחודיים, שכן יחס דומה לשונים אינו מאפשר הגשמת שוויון מהותי. סוגייה זו הגיעה לפתחו של בית המשפט העליון, אשר נדרש להכריע בשאלה: האם מדיניותה הגורפת של עיריית תל אביב יפו, האוסרת על קיום אירועים הדורשים הפרדה מגדרית במרחב הציבורי, היא מדיניות חוקית ומידתית. השופט כשר קבע כי אף שהמדיניות מוחלת באופן אחיד, אין בה בכדי להבטיח שוויון. בחינה מהותית של השלכות מדיניות זו מובילה למסקנה כי היא פוגעת בקבוצות דתיות בהן ההפרדה המגדרית מהווה חלק בלתי־נפרד ממסורת התפילה, לצד קבוצות אחרות שאינן מושפעות ממנה.</w:t>
      </w:r>
    </w:p>
    <w:p>
      <w:pPr>
        <w:bidi/>
        <w:spacing w:line="360" w:after="120"/>
        <w:jc w:val="both"/>
      </w:pPr>
      <w:r>
        <w:rPr>
          <w:sz w:val="24"/>
          <w:szCs w:val="24"/>
          <w:rtl/>
          <w:rFonts w:ascii="David" w:cs="David" w:eastAsia="David" w:hAnsi="David"/>
        </w:rPr>
        <w:t xml:space="preserve">הבחנה זו היא לב הביקורת הרב־תרבותית. השופט כשר עמד על כך שמדיניות העירייה מגלמת הבחנה בהקצאת משאבים ציבוריים, המבוססת על השתייכות דתית.</w:t>
      </w:r>
      <w:r>
        <w:rPr>
          <w:rStyle w:val="FootnoteReference"/>
        </w:rPr>
        <w:footnoteReference w:id="1"/>
      </w:r>
      <w:r>
        <w:rPr>
          <w:sz w:val="24"/>
          <w:szCs w:val="24"/>
          <w:rtl/>
          <w:rFonts w:ascii="David" w:cs="David" w:eastAsia="David" w:hAnsi="David"/>
        </w:rPr>
        <w:t xml:space="preserve"> העירייה נעתרת לקבוצות שההפרדה אינה עומדת במרכז פולחנן, כגון הזרם הרפורמי והקהילות הנוצריות. מנגד, היא מסרבת לקבוצות שההפרדה מגדירה את תפילתן, כגון הזרם האורתודוקסי והקהילה המוסלמית.</w:t>
      </w:r>
      <w:r>
        <w:rPr>
          <w:rStyle w:val="FootnoteReference"/>
        </w:rPr>
        <w:footnoteReference w:id="2"/>
      </w:r>
      <w:r>
        <w:rPr>
          <w:sz w:val="24"/>
          <w:szCs w:val="24"/>
          <w:rtl/>
          <w:rFonts w:ascii="David" w:cs="David" w:eastAsia="David" w:hAnsi="David"/>
        </w:rPr>
        <w:t xml:space="preserve"> הכלל אמנם אחיד, אך תוצאותיו אינן שוות, וכאן מתגלה כשלו של השוויון הפורמלי.</w:t>
      </w:r>
    </w:p>
    <w:p>
      <w:pPr>
        <w:bidi/>
        <w:spacing w:line="360" w:after="120"/>
        <w:jc w:val="both"/>
      </w:pPr>
      <w:r>
        <w:rPr>
          <w:sz w:val="24"/>
          <w:szCs w:val="24"/>
          <w:rtl/>
          <w:rFonts w:ascii="David" w:cs="David" w:eastAsia="David" w:hAnsi="David"/>
        </w:rPr>
        <w:t xml:space="preserve">עומק הניתוח טמון במעבר מזכויות אישיות לזכויות קבוצתיות. הגישה הליברלית הקלאסית רואה את הפרט המופשט, ואילו הגישה הרב־תרבותית רואה גם את הקבוצה שאליה הוא משתייך.</w:t>
      </w:r>
      <w:r>
        <w:rPr>
          <w:rStyle w:val="FootnoteReference"/>
        </w:rPr>
        <w:footnoteReference w:id="3"/>
      </w:r>
      <w:r>
        <w:rPr>
          <w:sz w:val="24"/>
          <w:szCs w:val="24"/>
          <w:rtl/>
          <w:rFonts w:ascii="David" w:cs="David" w:eastAsia="David" w:hAnsi="David"/>
        </w:rPr>
        <w:t xml:space="preserve"> ויל קימליקה טוען כי האוטונומיה של הפרט אינה מתקיימת בחלל ריק, אלא בתוך הקשר תרבותי נתון.</w:t>
      </w:r>
      <w:r>
        <w:rPr>
          <w:rStyle w:val="FootnoteReference"/>
        </w:rPr>
        <w:footnoteReference w:id="4"/>
      </w:r>
      <w:r>
        <w:rPr>
          <w:sz w:val="24"/>
          <w:szCs w:val="24"/>
          <w:rtl/>
          <w:rFonts w:ascii="David" w:cs="David" w:eastAsia="David" w:hAnsi="David"/>
        </w:rPr>
        <w:t xml:space="preserve"> לכן חופש הפולחן אינו רק זכות אישית, אלא גם ביטוי של אוטונומיה קבוצתית הזקוקה למרחב. השופט כשר חידד זאת כאשר קבע כי התעלמות העירייה מן "השוני הרלוונטי" סותרת את חובתה לחלק את משאביה בשוויון.</w:t>
      </w:r>
      <w:r>
        <w:rPr>
          <w:rStyle w:val="FootnoteReference"/>
        </w:rPr>
        <w:footnoteReference w:id="5"/>
      </w:r>
      <w:r>
        <w:rPr>
          <w:sz w:val="24"/>
          <w:szCs w:val="24"/>
          <w:rtl/>
          <w:rFonts w:ascii="David" w:cs="David" w:eastAsia="David" w:hAnsi="David"/>
        </w:rPr>
        <w:t xml:space="preserve"> בכך הוא מבכר שוויון מהותי על פני שוויון פורמלי גרידא.</w:t>
      </w:r>
    </w:p>
    <w:p>
      <w:pPr>
        <w:bidi/>
        <w:spacing w:line="360" w:after="120"/>
        <w:jc w:val="both"/>
      </w:pPr>
      <w:r>
        <w:rPr>
          <w:sz w:val="24"/>
          <w:szCs w:val="24"/>
          <w:rtl/>
          <w:rFonts w:ascii="David" w:cs="David" w:eastAsia="David" w:hAnsi="David"/>
        </w:rPr>
        <w:t xml:space="preserve">לצד השוויון עומד מושג ההכרה. פסק הדין קובע כי המדיניות מעבירה מסר קשה, ולפיו אופן התפילה המסורתי של קהילות שלמות פסול.</w:t>
      </w:r>
      <w:r>
        <w:rPr>
          <w:rStyle w:val="FootnoteReference"/>
        </w:rPr>
        <w:footnoteReference w:id="6"/>
      </w:r>
      <w:r>
        <w:rPr>
          <w:sz w:val="24"/>
          <w:szCs w:val="24"/>
          <w:rtl/>
          <w:rFonts w:ascii="David" w:cs="David" w:eastAsia="David" w:hAnsi="David"/>
        </w:rPr>
        <w:t xml:space="preserve"> פגיעה זו אינה מסתכמת במניעת שירות. היא נוגעת בזהות הקבוצתית עצמה, ובאותה הכרה שהגישה הרב־תרבותית מציבה במרכזה. השופט מינץ הוסיף נדבך, בקובעו כי פגיעה בשוויון בין נשים לגברים אינה מצדיקה כשלעצמה פגיעה בשוויון אחר, זה שבין הזרמים.</w:t>
      </w:r>
      <w:r>
        <w:rPr>
          <w:rStyle w:val="FootnoteReference"/>
        </w:rPr>
        <w:footnoteReference w:id="7"/>
      </w:r>
      <w:r>
        <w:rPr>
          <w:sz w:val="24"/>
          <w:szCs w:val="24"/>
          <w:rtl/>
          <w:rFonts w:ascii="David" w:cs="David" w:eastAsia="David" w:hAnsi="David"/>
        </w:rPr>
        <w:t xml:space="preserve"> אמירה זו ממקמת את הסכסוך במישור הבין־קבוצתי, ולא רק במישור הפרט.</w:t>
      </w:r>
    </w:p>
    <w:p>
      <w:pPr>
        <w:bidi/>
        <w:spacing w:line="360" w:after="120"/>
        <w:jc w:val="both"/>
      </w:pPr>
      <w:r>
        <w:rPr>
          <w:sz w:val="24"/>
          <w:szCs w:val="24"/>
          <w:rtl/>
          <w:rFonts w:ascii="David" w:cs="David" w:eastAsia="David" w:hAnsi="David"/>
        </w:rPr>
        <w:t xml:space="preserve">כאן ראוי להרחיב את המבט מעבר לפסק הדין. הרטוריקה הרווחת מציגה את החילוניות הליברלית כעמדה ניטרלית, ואת הדתיוּת כחריגה התובעת התחשבות. אולם הניתוח הרב־תרבותי הופך את היוצרות. גם "הניטרליות" של המרחב התל־אביבי היא תרבות, בעלת נורמות והעדפות משלה. במובן זה, נוהל אי־ההפרדה פועל כמעין כור היתוך רך, המזמין את המיעוט אל הכיכר אך גובה ממנו את מחיר זהותו. אפשר אף להבחין כאן בין מיעוט יליד למיעוט מהגר, שכן טענתה של קהילה ותיקה לשמר את אורחותיה שונה מטענתו של מהגר חדש.</w:t>
      </w:r>
      <w:r>
        <w:rPr>
          <w:rStyle w:val="FootnoteReference"/>
        </w:rPr>
        <w:footnoteReference w:id="8"/>
      </w:r>
      <w:r>
        <w:rPr>
          <w:sz w:val="24"/>
          <w:szCs w:val="24"/>
          <w:rtl/>
          <w:rFonts w:ascii="David" w:cs="David" w:eastAsia="David" w:hAnsi="David"/>
        </w:rPr>
        <w:t xml:space="preserve"> בין כך ובין כך, המבחן הרב־תרבותי אינו ההגנה על כל מנהג, אלא השאלה אם ההכרה מקדמת שוויון.</w:t>
      </w:r>
    </w:p>
    <w:p>
      <w:pPr>
        <w:bidi/>
        <w:spacing w:line="360" w:after="120"/>
        <w:jc w:val="both"/>
      </w:pPr>
      <w:r>
        <w:rPr>
          <w:sz w:val="24"/>
          <w:szCs w:val="24"/>
          <w:rtl/>
          <w:rFonts w:ascii="David" w:cs="David" w:eastAsia="David" w:hAnsi="David"/>
        </w:rPr>
        <w:t xml:space="preserve">דווקא כאן נדרשת זהירות, שכן ההכרה אינה ערך מוחלט. ההסדר שבמחלוקת הוא הפרדה מגדרית, ולכן הוא עלול לפגוע בנשים בתוך הקבוצה עצמה. זוהי בעיית "המיעוט בתוך המיעוט", שעליה עמדו הוגות כסוזן מולר אוקין.</w:t>
      </w:r>
      <w:r>
        <w:rPr>
          <w:rStyle w:val="FootnoteReference"/>
        </w:rPr>
        <w:footnoteReference w:id="9"/>
      </w:r>
      <w:r>
        <w:rPr>
          <w:sz w:val="24"/>
          <w:szCs w:val="24"/>
          <w:rtl/>
          <w:rFonts w:ascii="David" w:cs="David" w:eastAsia="David" w:hAnsi="David"/>
        </w:rPr>
        <w:t xml:space="preserve"> גישה רב־תרבותית אחראית אינה מגינה על הקבוצה בכל מחיר. היא בוחנת אם נשמרת זכות היציאה מן הקבוצה, ואם ההסדר מקדם שוויון ולא מצמצם אותו.</w:t>
      </w:r>
      <w:r>
        <w:rPr>
          <w:rStyle w:val="FootnoteReference"/>
        </w:rPr>
        <w:footnoteReference w:id="10"/>
      </w:r>
      <w:r>
        <w:rPr>
          <w:sz w:val="24"/>
          <w:szCs w:val="24"/>
          <w:rtl/>
          <w:rFonts w:ascii="David" w:cs="David" w:eastAsia="David" w:hAnsi="David"/>
        </w:rPr>
        <w:t xml:space="preserve"> בסוגיה זו הכריע בית המשפט כי תפילה אורתודוקסית היא המקרה המובהק שבו מוכרת ההצדקה להפרדה, ובכך איזן בין ההכרה לבין גבולותיה.</w:t>
      </w:r>
      <w:r>
        <w:rPr>
          <w:rStyle w:val="FootnoteReference"/>
        </w:rPr>
        <w:footnoteReference w:id="11"/>
      </w:r>
    </w:p>
    <w:p>
      <w:pPr>
        <w:bidi/>
        <w:spacing w:line="360" w:after="120"/>
        <w:jc w:val="both"/>
      </w:pPr>
      <w:r>
        <w:rPr>
          <w:sz w:val="24"/>
          <w:szCs w:val="24"/>
          <w:rtl/>
          <w:rFonts w:ascii="David" w:cs="David" w:eastAsia="David" w:hAnsi="David"/>
        </w:rPr>
        <w:t xml:space="preserve">את אותה תובנה עצמה לוכד המשל של איזופוס על השועל והחסידה. השועל מזמין את החסידה ומגיש לה מרק בצלחת שטוחה. הוא ליקק את מנתו בנקל, בעוד מקורה הארוך של החסידה נותר ריק מול צלחת מלאה. הזווית המחברת את המשל לפסק הדין אינה תוכן הארוחה, אלא צורת הכלי. השועל מעניק "יחס זהה" לכאורה, אך מעצב את ההגשה לפי גופו שלו בלבד. בדיוק כך פועל נוהל העירייה, המציב כלי אחד ואחיד שאינו הולם את כל הסועדים.</w:t>
      </w:r>
    </w:p>
    <w:p>
      <w:pPr>
        <w:bidi/>
        <w:spacing w:line="360" w:after="120"/>
        <w:jc w:val="both"/>
      </w:pPr>
      <w:r>
        <w:rPr>
          <w:sz w:val="24"/>
          <w:szCs w:val="24"/>
          <w:rtl/>
          <w:rFonts w:ascii="David" w:cs="David" w:eastAsia="David" w:hAnsi="David"/>
        </w:rPr>
        <w:t xml:space="preserve">מעניין לשאול אם השועל מדיר את החסידה מתוך כוונה, או מתוך היעדר מחשבה. פסק הדין מלמד שהעירייה כלל לא שקלה את הפגיעה, ולכן ההדרה כאן דומה יותר לעיוורון מאשר לזדון.</w:t>
      </w:r>
      <w:r>
        <w:rPr>
          <w:rStyle w:val="FootnoteReference"/>
        </w:rPr>
        <w:footnoteReference w:id="12"/>
      </w:r>
      <w:r>
        <w:rPr>
          <w:sz w:val="24"/>
          <w:szCs w:val="24"/>
          <w:rtl/>
          <w:rFonts w:ascii="David" w:cs="David" w:eastAsia="David" w:hAnsi="David"/>
        </w:rPr>
        <w:t xml:space="preserve"> תובנה זו מחדדת את הביקורת הרב־תרבותית, משום שהיא מלמדת שגם רוב מיטיב עלול להדיר בהיסח הדעת. המשל אף מרחיק לכת מן הפסיקה, שכן בחלקו השני משיבה החסידה לשועל כגמולו בכד צר. כך הופכת ההדרה למעגל של נקמה, שבו כל צד מרעיב את חברו בתורו. תמונה זו ממחישה את הסכנה שמפניה הזהיר השופט כשר, בקובעו שהמרחב הציבורי אינו יכול להיות משחק סכום אפס.</w:t>
      </w:r>
      <w:r>
        <w:rPr>
          <w:rStyle w:val="FootnoteReference"/>
        </w:rPr>
        <w:footnoteReference w:id="13"/>
      </w:r>
    </w:p>
    <w:p>
      <w:pPr>
        <w:bidi/>
        <w:spacing w:line="360" w:after="120"/>
        <w:jc w:val="both"/>
      </w:pPr>
      <w:r>
        <w:rPr>
          <w:sz w:val="24"/>
          <w:szCs w:val="24"/>
          <w:rtl/>
          <w:rFonts w:ascii="David" w:cs="David" w:eastAsia="David" w:hAnsi="David"/>
        </w:rPr>
        <w:t xml:space="preserve">לדעתי, הניתוח כולו מלמד ששפת הניטרליות אינה תמימה. כל כלל "אובייקטיבי" נכתב מתוך נקודת מבט, ונושא עמו את טעמו של מנסחו. אני סבורה כי צדק במרחב משותף מחייב הכרה בשונות, ולא היתממות של אחידות הכופה על האחר להידמות לרוב. עם זאת, ההכרה אינה זכות בלא גבול, ויש לשקול גם את הפגיעה בנשים ואת זכות היציאה מן הקבוצה. לפיכך האיזון שהתווה בית המשפט נראה בעיניי מידתי וראוי. הוא מתיר את התפילה במרחב שאינו מרכזי, אך אינו הופך את ההכרה לזכות מוחלטת. יתרה מזו, המשל חושף את מה שהמשפט מתקשה לומר במפורש. הוא מזכיר שגם המארח הנדיב עלול להדיר, כאשר הוא מודד את האחר באמות המידה של עצמו בלבד.</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pPr>
      <w:r>
        <w:rPr>
          <w:rStyle w:val="FootnoteReference"/>
        </w:rPr>
        <w:footnoteRef/>
      </w:r>
      <w:r>
        <w:rPr>
          <w:sz w:val="20"/>
          <w:szCs w:val="20"/>
          <w:rtl/>
          <w:rFonts w:ascii="David" w:cs="David" w:eastAsia="David" w:hAnsi="David"/>
        </w:rPr>
        <w:t xml:space="preserve">חוות דעת השופט י' כשר, עע"מ 66315-09-24; עע"מ 2406-10-24 עיריית תל אביב–יפו נ' עירית לינור ואח' (נבו, 2.4.2025), פס' ___ [להשלים מספר פסקה מהעותק שברשותך].</w:t>
      </w:r>
    </w:p>
  </w:footnote>
  <w:footnote w:id="2">
    <w:p>
      <w:pPr>
        <w:bidi/>
      </w:pPr>
      <w:r>
        <w:rPr>
          <w:rStyle w:val="FootnoteReference"/>
        </w:rPr>
        <w:footnoteRef/>
      </w:r>
      <w:r>
        <w:rPr>
          <w:sz w:val="20"/>
          <w:szCs w:val="20"/>
          <w:rtl/>
          <w:rFonts w:ascii="David" w:cs="David" w:eastAsia="David" w:hAnsi="David"/>
        </w:rPr>
        <w:t xml:space="preserve">חוות דעת השופט י' כשר, עע"מ 66315-09-24; עע"מ 2406-10-24 עיריית תל אביב–יפו נ' עירית לינור ואח' (נבו, 2.4.2025), פס' ___ [להשלים מספר פסקה מהעותק שברשותך].</w:t>
      </w:r>
    </w:p>
  </w:footnote>
  <w:footnote w:id="3">
    <w:p>
      <w:pPr>
        <w:bidi/>
      </w:pPr>
      <w:r>
        <w:rPr>
          <w:rStyle w:val="FootnoteReference"/>
        </w:rPr>
        <w:footnoteRef/>
      </w:r>
      <w:r>
        <w:rPr>
          <w:sz w:val="20"/>
          <w:szCs w:val="20"/>
          <w:rtl/>
          <w:rFonts w:ascii="David" w:cs="David" w:eastAsia="David" w:hAnsi="David"/>
        </w:rPr>
        <w:t xml:space="preserve">Will Kymlicka, Multicultural Citizenship: A Liberal Theory of Minority Rights (Oxford University Press, 1995); וכן Will Kymlicka, Liberalism, Community, and Culture (Clarendon Press, 1989), על התלות ההדדית שבין אוטונומיה אישית להשתייכות תרבותית.</w:t>
      </w:r>
    </w:p>
  </w:footnote>
  <w:footnote w:id="4">
    <w:p>
      <w:pPr>
        <w:bidi/>
      </w:pPr>
      <w:r>
        <w:rPr>
          <w:rStyle w:val="FootnoteReference"/>
        </w:rPr>
        <w:footnoteRef/>
      </w:r>
      <w:r>
        <w:rPr>
          <w:sz w:val="20"/>
          <w:szCs w:val="20"/>
          <w:rtl/>
          <w:rFonts w:ascii="David" w:cs="David" w:eastAsia="David" w:hAnsi="David"/>
        </w:rPr>
        <w:t xml:space="preserve">Will Kymlicka, Multicultural Citizenship: A Liberal Theory of Minority Rights (Oxford University Press, 1995); וכן Will Kymlicka, Liberalism, Community, and Culture (Clarendon Press, 1989), על התלות ההדדית שבין אוטונומיה אישית להשתייכות תרבותית.</w:t>
      </w:r>
    </w:p>
  </w:footnote>
  <w:footnote w:id="5">
    <w:p>
      <w:pPr>
        <w:bidi/>
      </w:pPr>
      <w:r>
        <w:rPr>
          <w:rStyle w:val="FootnoteReference"/>
        </w:rPr>
        <w:footnoteRef/>
      </w:r>
      <w:r>
        <w:rPr>
          <w:sz w:val="20"/>
          <w:szCs w:val="20"/>
          <w:rtl/>
          <w:rFonts w:ascii="David" w:cs="David" w:eastAsia="David" w:hAnsi="David"/>
        </w:rPr>
        <w:t xml:space="preserve">חוות דעת השופט י' כשר (לעיל, ה"ש 1), פס' ___ [להשלים].</w:t>
      </w:r>
    </w:p>
  </w:footnote>
  <w:footnote w:id="6">
    <w:p>
      <w:pPr>
        <w:bidi/>
      </w:pPr>
      <w:r>
        <w:rPr>
          <w:rStyle w:val="FootnoteReference"/>
        </w:rPr>
        <w:footnoteRef/>
      </w:r>
      <w:r>
        <w:rPr>
          <w:sz w:val="20"/>
          <w:szCs w:val="20"/>
          <w:rtl/>
          <w:rFonts w:ascii="David" w:cs="David" w:eastAsia="David" w:hAnsi="David"/>
        </w:rPr>
        <w:t xml:space="preserve">שם, פס' ___ [להשלים].</w:t>
      </w:r>
    </w:p>
  </w:footnote>
  <w:footnote w:id="7">
    <w:p>
      <w:pPr>
        <w:bidi/>
      </w:pPr>
      <w:r>
        <w:rPr>
          <w:rStyle w:val="FootnoteReference"/>
        </w:rPr>
        <w:footnoteRef/>
      </w:r>
      <w:r>
        <w:rPr>
          <w:sz w:val="20"/>
          <w:szCs w:val="20"/>
          <w:rtl/>
          <w:rFonts w:ascii="David" w:cs="David" w:eastAsia="David" w:hAnsi="David"/>
        </w:rPr>
        <w:t xml:space="preserve">חוות דעת השופט ד' מינץ (לעיל, ה"ש 1), פס' ___ [להשלים]. השופט מינץ עמד על כך שהשיקול היחיד שהנחה את העירייה היה שמירה על אי־הפרדה, בלא שקילת הפגיעה בזכויות הקבוצות הנוגעות בדבר.</w:t>
      </w:r>
    </w:p>
  </w:footnote>
  <w:footnote w:id="8">
    <w:p>
      <w:pPr>
        <w:bidi/>
      </w:pPr>
      <w:r>
        <w:rPr>
          <w:rStyle w:val="FootnoteReference"/>
        </w:rPr>
        <w:footnoteRef/>
      </w:r>
      <w:r>
        <w:rPr>
          <w:sz w:val="20"/>
          <w:szCs w:val="20"/>
          <w:rtl/>
          <w:rFonts w:ascii="David" w:cs="David" w:eastAsia="David" w:hAnsi="David"/>
        </w:rPr>
        <w:t xml:space="preserve">על ההבחנה בין מיעוט לאומי/יליד לבין מיעוט מהגר (polyethnic) ראו Kymlicka, Multicultural Citizenship (לעיל, ה"ש 2).</w:t>
      </w:r>
    </w:p>
  </w:footnote>
  <w:footnote w:id="9">
    <w:p>
      <w:pPr>
        <w:bidi/>
      </w:pPr>
      <w:r>
        <w:rPr>
          <w:rStyle w:val="FootnoteReference"/>
        </w:rPr>
        <w:footnoteRef/>
      </w:r>
      <w:r>
        <w:rPr>
          <w:sz w:val="20"/>
          <w:szCs w:val="20"/>
          <w:rtl/>
          <w:rFonts w:ascii="David" w:cs="David" w:eastAsia="David" w:hAnsi="David"/>
        </w:rPr>
        <w:t xml:space="preserve">Susan Moller Okin, Is Multiculturalism Bad for Women? (Princeton University Press, 1999); וכן Brian Barry, Culture and Equality (Harvard University Press, 2001), על "המיעוט בתוך המיעוט", זכות היציאה מן הקבוצה, והתנאי שההכרה תקדם שוויון ולא תצמצמו.</w:t>
      </w:r>
    </w:p>
  </w:footnote>
  <w:footnote w:id="10">
    <w:p>
      <w:pPr>
        <w:bidi/>
      </w:pPr>
      <w:r>
        <w:rPr>
          <w:rStyle w:val="FootnoteReference"/>
        </w:rPr>
        <w:footnoteRef/>
      </w:r>
      <w:r>
        <w:rPr>
          <w:sz w:val="20"/>
          <w:szCs w:val="20"/>
          <w:rtl/>
          <w:rFonts w:ascii="David" w:cs="David" w:eastAsia="David" w:hAnsi="David"/>
        </w:rPr>
        <w:t xml:space="preserve">Susan Moller Okin, Is Multiculturalism Bad for Women? (Princeton University Press, 1999); וכן Brian Barry, Culture and Equality (Harvard University Press, 2001), על "המיעוט בתוך המיעוט", זכות היציאה מן הקבוצה, והתנאי שההכרה תקדם שוויון ולא תצמצמו.</w:t>
      </w:r>
    </w:p>
  </w:footnote>
  <w:footnote w:id="11">
    <w:p>
      <w:pPr>
        <w:bidi/>
      </w:pPr>
      <w:r>
        <w:rPr>
          <w:rStyle w:val="FootnoteReference"/>
        </w:rPr>
        <w:footnoteRef/>
      </w:r>
      <w:r>
        <w:rPr>
          <w:sz w:val="20"/>
          <w:szCs w:val="20"/>
          <w:rtl/>
          <w:rFonts w:ascii="David" w:cs="David" w:eastAsia="David" w:hAnsi="David"/>
        </w:rPr>
        <w:t xml:space="preserve">חוות דעת השופט י' כשר (לעיל, ה"ש 1), פס' ___ [להשלים].</w:t>
      </w:r>
    </w:p>
  </w:footnote>
  <w:footnote w:id="12">
    <w:p>
      <w:pPr>
        <w:bidi/>
      </w:pPr>
      <w:r>
        <w:rPr>
          <w:rStyle w:val="FootnoteReference"/>
        </w:rPr>
        <w:footnoteRef/>
      </w:r>
      <w:r>
        <w:rPr>
          <w:sz w:val="20"/>
          <w:szCs w:val="20"/>
          <w:rtl/>
          <w:rFonts w:ascii="David" w:cs="David" w:eastAsia="David" w:hAnsi="David"/>
        </w:rPr>
        <w:t xml:space="preserve">חוות דעת השופט ד' מינץ (לעיל, ה"ש 1), פס' ___ [להשלים]. השופט מינץ עמד על כך שהשיקול היחיד שהנחה את העירייה היה שמירה על אי־הפרדה, בלא שקילת הפגיעה בזכויות הקבוצות הנוגעות בדבר.</w:t>
      </w:r>
    </w:p>
  </w:footnote>
  <w:footnote w:id="13">
    <w:p>
      <w:pPr>
        <w:bidi/>
      </w:pPr>
      <w:r>
        <w:rPr>
          <w:rStyle w:val="FootnoteReference"/>
        </w:rPr>
        <w:footnoteRef/>
      </w:r>
      <w:r>
        <w:rPr>
          <w:sz w:val="20"/>
          <w:szCs w:val="20"/>
          <w:rtl/>
          <w:rFonts w:ascii="David" w:cs="David" w:eastAsia="David" w:hAnsi="David"/>
        </w:rPr>
        <w:t xml:space="preserve">שם, בפסקת הסיום ("הערה אחרונה לפני סיום"), פס' ___ [להשלים].</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David" w:cs="David" w:eastAsia="David" w:hAnsi="David"/>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2026-07-31T15:23:13.085Z</dcterms:created>
  <dcterms:modified xsi:type="dcterms:W3CDTF">2026-07-31T15:23:13.088Z</dcterms:modified>
</cp:coreProperties>
</file>

<file path=docProps/custom.xml><?xml version="1.0" encoding="utf-8"?>
<Properties xmlns="http://schemas.openxmlformats.org/officeDocument/2006/custom-properties" xmlns:vt="http://schemas.openxmlformats.org/officeDocument/2006/docPropsVTypes"/>
</file>