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line="360" w:after="180"/>
        <w:jc w:val="right"/>
      </w:pPr>
      <w:r>
        <w:rPr>
          <w:b/>
          <w:bCs/>
          <w:sz w:val="30"/>
          <w:szCs w:val="30"/>
          <w:rtl/>
          <w:rFonts w:ascii="David" w:cs="David" w:eastAsia="David" w:hAnsi="David"/>
        </w:rPr>
        <w:t xml:space="preserve">חלק א' — רב־תרבותיות: תפילות יום הכיפורים בכיכר דיזנגוף והמשל "השועל והחסידה"</w:t>
      </w:r>
    </w:p>
    <w:p>
      <w:pPr>
        <w:bidi/>
        <w:spacing w:line="360" w:after="120"/>
        <w:jc w:val="both"/>
      </w:pPr>
      <w:r>
        <w:rPr>
          <w:sz w:val="24"/>
          <w:szCs w:val="24"/>
          <w:rtl/>
          <w:rFonts w:ascii="David" w:cs="David" w:eastAsia="David" w:hAnsi="David"/>
        </w:rPr>
        <w:t xml:space="preserve">בערב יום הכיפורים ביקשה עמותת "ראש יהודי" לקיים תפילה בהפרדה מגדרית בכיכר דיזנגוף. עיריית תל אביב–יפו סירבה, מכוח נוהל האוסר הפרדה מגדרית באמצעים פיזיים במרחב הציבורי.</w:t>
      </w:r>
      <w:r>
        <w:rPr>
          <w:rStyle w:val="FootnoteReference"/>
        </w:rPr>
        <w:footnoteReference w:id="1"/>
      </w:r>
      <w:r>
        <w:rPr>
          <w:sz w:val="24"/>
          <w:szCs w:val="24"/>
          <w:rtl/>
          <w:rFonts w:ascii="David" w:cs="David" w:eastAsia="David" w:hAnsi="David"/>
        </w:rPr>
        <w:t xml:space="preserve"> בית המשפט לעניינים מנהליים פסל את האיסור הגורף על עצם התפילה, אך אישר את איסור ההפרדה.</w:t>
      </w:r>
      <w:r>
        <w:rPr>
          <w:rStyle w:val="FootnoteReference"/>
        </w:rPr>
        <w:footnoteReference w:id="2"/>
      </w:r>
      <w:r>
        <w:rPr>
          <w:sz w:val="24"/>
          <w:szCs w:val="24"/>
          <w:rtl/>
          <w:rFonts w:ascii="David" w:cs="David" w:eastAsia="David" w:hAnsi="David"/>
        </w:rPr>
        <w:t xml:space="preserve"> בית המשפט העליון הפך קביעה זו וקיבל את שני הערעורים. נפסק כי הרשות רשאית למנוע תפילה במרחב "אינטנסיבי", אך אינה רשאית לאסור באופן גורף תפילה הנערכת בהפרדה.</w:t>
      </w:r>
      <w:r>
        <w:rPr>
          <w:rStyle w:val="FootnoteReference"/>
        </w:rPr>
        <w:footnoteReference w:id="3"/>
      </w:r>
    </w:p>
    <w:p>
      <w:pPr>
        <w:bidi/>
        <w:spacing w:line="360" w:after="120"/>
        <w:jc w:val="both"/>
      </w:pPr>
      <w:r>
        <w:rPr>
          <w:sz w:val="24"/>
          <w:szCs w:val="24"/>
          <w:rtl/>
          <w:rFonts w:ascii="David" w:cs="David" w:eastAsia="David" w:hAnsi="David"/>
        </w:rPr>
        <w:t xml:space="preserve">מאחורי המחלוקת המשפטית ניצבת שאלה עמוקה יותר, שהגישה הרב־תרבותית מיטיבה לחדד. בעקבות ויל קימליקה גורסת הגישה כי חירות הפרט אינה מתקיימת בחלל ריק. היא תלויה בהקשר התרבותי של הקבוצה שאליה משתייך הפרט, ולכן צדק מחייב הכרה בזהות הקבוצתית ולא רק בפרט המופשט.</w:t>
      </w:r>
      <w:r>
        <w:rPr>
          <w:rStyle w:val="FootnoteReference"/>
        </w:rPr>
        <w:footnoteReference w:id="4"/>
      </w:r>
      <w:r>
        <w:rPr>
          <w:sz w:val="24"/>
          <w:szCs w:val="24"/>
          <w:rtl/>
          <w:rFonts w:ascii="David" w:cs="David" w:eastAsia="David" w:hAnsi="David"/>
        </w:rPr>
        <w:t xml:space="preserve"> מכאן מתחדדת הביקורת על "ניטרליות תרבותית", שכן כלל הנחזה אוניברסלי משקף פעמים רבות את נורמות הרוב. השוויון המהותי נמדד ביכולת ההשתתפות בפועל, ולא באחידות פורמלית בלבד.</w:t>
      </w:r>
      <w:r>
        <w:rPr>
          <w:rStyle w:val="FootnoteReference"/>
        </w:rPr>
        <w:footnoteReference w:id="5"/>
      </w:r>
    </w:p>
    <w:p>
      <w:pPr>
        <w:bidi/>
        <w:spacing w:line="360" w:after="120"/>
        <w:jc w:val="both"/>
      </w:pPr>
      <w:r>
        <w:rPr>
          <w:sz w:val="24"/>
          <w:szCs w:val="24"/>
          <w:rtl/>
          <w:rFonts w:ascii="David" w:cs="David" w:eastAsia="David" w:hAnsi="David"/>
        </w:rPr>
        <w:t xml:space="preserve">דווקא בנקודה זו נוגע פסק הדין בליבה של הגישה. נוהל העירייה נראה ניטרלי לחלוטין, שהרי הוא חל על כל המבקשים כאחד, אך בית המשפט חשף שהאחידות הזו מדומה. השופט כשר קבע כי המדיניות מגלמת הבחנה בהקצאת משאבים ציבוריים, המבוססת על השתייכות דתית. העירייה נעתרת לקבוצות שההפרדה אינה במרכז פולחנן, כגון הזרם הרפורמי והקהילות הנוצריות, ומסרבת לקבוצות שההפרדה מגדירה את תפילתן, כגון הזרם האורתודוקסי והקהילה המוסלמית.</w:t>
      </w:r>
      <w:r>
        <w:rPr>
          <w:rStyle w:val="FootnoteReference"/>
        </w:rPr>
        <w:footnoteReference w:id="6"/>
      </w:r>
      <w:r>
        <w:rPr>
          <w:sz w:val="24"/>
          <w:szCs w:val="24"/>
          <w:rtl/>
          <w:rFonts w:ascii="David" w:cs="David" w:eastAsia="David" w:hAnsi="David"/>
        </w:rPr>
        <w:t xml:space="preserve"> הכלל אמנם אחד, אך פירותיו מחולקים באופן בלתי שווה, וכך מתגלה כשל השוויון הפורמלי עצמו.</w:t>
      </w:r>
    </w:p>
    <w:p>
      <w:pPr>
        <w:bidi/>
        <w:spacing w:line="360" w:after="120"/>
        <w:jc w:val="both"/>
      </w:pPr>
      <w:r>
        <w:rPr>
          <w:sz w:val="24"/>
          <w:szCs w:val="24"/>
          <w:rtl/>
          <w:rFonts w:ascii="David" w:cs="David" w:eastAsia="David" w:hAnsi="David"/>
        </w:rPr>
        <w:t xml:space="preserve">לב הניתוח מצוי במושג "השוני הרלוונטי". השופט כשר קבע כי התעלמות העירייה מן השוני של המבקשים אינה מתיישבת עם חובתה לחלק את משאביה בשוויון.</w:t>
      </w:r>
      <w:r>
        <w:rPr>
          <w:rStyle w:val="FootnoteReference"/>
        </w:rPr>
        <w:footnoteReference w:id="7"/>
      </w:r>
      <w:r>
        <w:rPr>
          <w:sz w:val="24"/>
          <w:szCs w:val="24"/>
          <w:rtl/>
          <w:rFonts w:ascii="David" w:cs="David" w:eastAsia="David" w:hAnsi="David"/>
        </w:rPr>
        <w:t xml:space="preserve"> בכך הוא עובר משוויון פורמלי לשוויון מהותי, שהוא ליבת הביקורת הרב־תרבותית. לצד זאת עומד ממד ההכרה, משום שהמדיניות מעבירה מסר קשה, ולפיו אופן התפילה המסורתי של קהילות שלמות פסול, ואילו דרכן של אחרות ראויה.</w:t>
      </w:r>
      <w:r>
        <w:rPr>
          <w:rStyle w:val="FootnoteReference"/>
        </w:rPr>
        <w:footnoteReference w:id="8"/>
      </w:r>
      <w:r>
        <w:rPr>
          <w:sz w:val="24"/>
          <w:szCs w:val="24"/>
          <w:rtl/>
          <w:rFonts w:ascii="David" w:cs="David" w:eastAsia="David" w:hAnsi="David"/>
        </w:rPr>
        <w:t xml:space="preserve"> שלילה זו אינה מניעת שירות בלבד, אלא פגיעה בזהות הקבוצתית ובאותה הכרה שהגישה מציבה במרכזה. השופט מינץ חידד כי פגיעה בשוויון בין נשים לגברים אינה יכולה לשמש הצדקה יחידה לפגיעה בשוויון אחר, זה שבין זרם דתי למשנהו.</w:t>
      </w:r>
      <w:r>
        <w:rPr>
          <w:rStyle w:val="FootnoteReference"/>
        </w:rPr>
        <w:footnoteReference w:id="9"/>
      </w:r>
    </w:p>
    <w:p>
      <w:pPr>
        <w:bidi/>
        <w:spacing w:line="360" w:after="120"/>
        <w:jc w:val="both"/>
      </w:pPr>
      <w:r>
        <w:rPr>
          <w:sz w:val="24"/>
          <w:szCs w:val="24"/>
          <w:rtl/>
          <w:rFonts w:ascii="David" w:cs="David" w:eastAsia="David" w:hAnsi="David"/>
        </w:rPr>
        <w:t xml:space="preserve">כאן ראוי להעז ולהרחיק מבט. הרטוריקה הרווחת מציגה את החילוניות הליברלית כעמדה נייטרלית, ואת הדתיות כעמדה פרטיקולרית התובעת חריגה. פסק הדין הופך את היוצרות, שכן הוא חושף כי גם "הניטרליות" של תל אביב היא תרבות בעלת נורמות משלה. נוהל אי־ההפרדה מתפקד אפוא ככור היתוך רך, המזמין את המיעוט אל המרחב הציבורי, אך גובה ממנו ויתור על סימני זהותו. הגישה הרב־תרבותית נולדה כתגובה לאותו כור היתוך, ומשום כך פסק הדין מיישם אותה כמעט הלכה למעשה.</w:t>
      </w:r>
    </w:p>
    <w:p>
      <w:pPr>
        <w:bidi/>
        <w:spacing w:line="360" w:after="120"/>
        <w:jc w:val="both"/>
      </w:pPr>
      <w:r>
        <w:rPr>
          <w:sz w:val="24"/>
          <w:szCs w:val="24"/>
          <w:rtl/>
          <w:rFonts w:ascii="David" w:cs="David" w:eastAsia="David" w:hAnsi="David"/>
        </w:rPr>
        <w:t xml:space="preserve">את אותה תובנה עצמה לוכד המשל של איזופוס על השועל והחסידה. השועל מזמין את החסידה ומגיש לה מרק בצלחת שטוחה. הוא ליקק את מנתו בנקל, בעוד מקורה הארוך של החסידה נותר ריק מול הצלחת המלאה.</w:t>
      </w:r>
      <w:r>
        <w:rPr>
          <w:rStyle w:val="FootnoteReference"/>
        </w:rPr>
        <w:footnoteReference w:id="10"/>
      </w:r>
      <w:r>
        <w:rPr>
          <w:sz w:val="24"/>
          <w:szCs w:val="24"/>
          <w:rtl/>
          <w:rFonts w:ascii="David" w:cs="David" w:eastAsia="David" w:hAnsi="David"/>
        </w:rPr>
        <w:t xml:space="preserve"> הזווית המחברת את המשל לפסק הדין אינה תוכן הארוחה, אלא צורת הכלי. השועל מעניק "יחס זהה" לכאורה, אך מעצב את ההגשה לפי גופו שלו, וכך האחידות הפורמלית מולידה הדרה מהותית. באופן דומה מציב נוהל העירייה כלי אחד ואחיד, מרחב ללא הפרדה, המתאים לקבוצות שתפילתן מעורבת ומותיר את האחרות מבחוץ.</w:t>
      </w:r>
    </w:p>
    <w:p>
      <w:pPr>
        <w:bidi/>
        <w:spacing w:line="360" w:after="120"/>
        <w:jc w:val="both"/>
      </w:pPr>
      <w:r>
        <w:rPr>
          <w:sz w:val="24"/>
          <w:szCs w:val="24"/>
          <w:rtl/>
          <w:rFonts w:ascii="David" w:cs="David" w:eastAsia="David" w:hAnsi="David"/>
        </w:rPr>
        <w:t xml:space="preserve">המשל אף מרחיק לכת מן הפסיקה ומוסיף אזהרה משלו. בחלקו השני משיבה החסידה לשועל כגמולו, ומגישה לו מזון בכד צר שרק מקורה מגיע אליו. ההדרה החד־צדדית הופכת כך למעגל של נקמה, שבו כל צד מרעיב את רעהו בתורו. תמונה זו ממחישה את הסכנה שמפניה הזהיר השופט כשר, בקובעו כי המאבק על אופיו של המרחב הציבורי אינו צריך להיות משחק סכום אפס.</w:t>
      </w:r>
      <w:r>
        <w:rPr>
          <w:rStyle w:val="FootnoteReference"/>
        </w:rPr>
        <w:footnoteReference w:id="11"/>
      </w:r>
      <w:r>
        <w:rPr>
          <w:sz w:val="24"/>
          <w:szCs w:val="24"/>
          <w:rtl/>
          <w:rFonts w:ascii="David" w:cs="David" w:eastAsia="David" w:hAnsi="David"/>
        </w:rPr>
        <w:t xml:space="preserve"> המשל מלמד את הלקח דרך השלילה, ומראה כי מרחב שאינו מכיר בשוני נידון להתגלגל מהדרה הדדית לעוינות.</w:t>
      </w:r>
    </w:p>
    <w:p>
      <w:pPr>
        <w:bidi/>
        <w:spacing w:line="360" w:after="120"/>
        <w:jc w:val="both"/>
      </w:pPr>
      <w:r>
        <w:rPr>
          <w:sz w:val="24"/>
          <w:szCs w:val="24"/>
          <w:rtl/>
          <w:rFonts w:ascii="David" w:cs="David" w:eastAsia="David" w:hAnsi="David"/>
        </w:rPr>
        <w:t xml:space="preserve">לדעתי, הניתוח כולו מלמד ששפת הניטרליות אינה תמימה. כל כלל "אובייקטיבי" נכתב מתוך נקודת מבט מסוימת, ונושא עמו את טעמו של מנסחו. אני סבורה כי צדק במרחב משותף מחייב הכרה בשוני, ולא היתממות של אחידות הכופה על האחר להידמות לרוב. עם זאת, איני רואה בהכרה זכות בלתי מוגבלת. דווקא משום שההסדר שבמחלוקת הוא הפרדה מגדרית, יש לשקול גם את הפגיעה בנשים ואת חופש היציאה מן הקבוצה. לפיכך האיזון שהתווה בית המשפט נראה בעיניי מידתי, שכן הוא מתיר את התפילה במרחב שאינו מרכזי בלי להפוך את ההכרה לזכות מוחלטת. יתרה מזו, המשל חושף את מה שהמשפט מתקשה לומר במפורש. הוא מזכיר שגם המארח הנדיב עלול להדיר, כאשר הוא מודד את האחר באמות המידה של עצמו בלבד.</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pPr>
      <w:r>
        <w:rPr>
          <w:rStyle w:val="FootnoteReference"/>
        </w:rPr>
        <w:footnoteRef/>
      </w:r>
      <w:r>
        <w:rPr>
          <w:sz w:val="20"/>
          <w:szCs w:val="20"/>
          <w:rtl/>
          <w:rFonts w:ascii="David" w:cs="David" w:eastAsia="David" w:hAnsi="David"/>
        </w:rPr>
        <w:t xml:space="preserve">נוהל עיריית תל אביב–יפו בעניין שימוש במרחב הציבורי, ס' 6(ד) (איסור הפרדה מגדרית באמצעים פיזיים), כפי שצוטט בפסק הדין.</w:t>
      </w:r>
    </w:p>
  </w:footnote>
  <w:footnote w:id="2">
    <w:p>
      <w:pPr>
        <w:bidi/>
      </w:pPr>
      <w:r>
        <w:rPr>
          <w:rStyle w:val="FootnoteReference"/>
        </w:rPr>
        <w:footnoteRef/>
      </w:r>
      <w:r>
        <w:rPr>
          <w:sz w:val="20"/>
          <w:szCs w:val="20"/>
          <w:rtl/>
          <w:rFonts w:ascii="David" w:cs="David" w:eastAsia="David" w:hAnsi="David"/>
        </w:rPr>
        <w:t xml:space="preserve">עת"מ 22166-08-24 (מנהליים ת"א), פסק דינו של סגן הנשיא א' יקואל (22.9.2024).</w:t>
      </w:r>
    </w:p>
  </w:footnote>
  <w:footnote w:id="3">
    <w:p>
      <w:pPr>
        <w:bidi/>
      </w:pPr>
      <w:r>
        <w:rPr>
          <w:rStyle w:val="FootnoteReference"/>
        </w:rPr>
        <w:footnoteRef/>
      </w:r>
      <w:r>
        <w:rPr>
          <w:sz w:val="20"/>
          <w:szCs w:val="20"/>
          <w:rtl/>
          <w:rFonts w:ascii="David" w:cs="David" w:eastAsia="David" w:hAnsi="David"/>
        </w:rPr>
        <w:t xml:space="preserve">עע"מ 66315-09-24; עע"מ 2406-10-24 עיריית תל אביב–יפו נ' עירית לינור ואח' (נבו, 2.4.2025). ההרכב: השופטים י' כשר, ד' מינץ וע' גרוסקופף.</w:t>
      </w:r>
    </w:p>
  </w:footnote>
  <w:footnote w:id="4">
    <w:p>
      <w:pPr>
        <w:bidi/>
      </w:pPr>
      <w:r>
        <w:rPr>
          <w:rStyle w:val="FootnoteReference"/>
        </w:rPr>
        <w:footnoteRef/>
      </w:r>
      <w:r>
        <w:rPr>
          <w:sz w:val="20"/>
          <w:szCs w:val="20"/>
          <w:rtl/>
          <w:rFonts w:ascii="David" w:cs="David" w:eastAsia="David" w:hAnsi="David"/>
        </w:rPr>
        <w:t xml:space="preserve">Will Kymlicka, Multicultural Citizenship: A Liberal Theory of Minority Rights (Oxford University Press, 1995).</w:t>
      </w:r>
    </w:p>
  </w:footnote>
  <w:footnote w:id="5">
    <w:p>
      <w:pPr>
        <w:bidi/>
      </w:pPr>
      <w:r>
        <w:rPr>
          <w:rStyle w:val="FootnoteReference"/>
        </w:rPr>
        <w:footnoteRef/>
      </w:r>
      <w:r>
        <w:rPr>
          <w:sz w:val="20"/>
          <w:szCs w:val="20"/>
          <w:rtl/>
          <w:rFonts w:ascii="David" w:cs="David" w:eastAsia="David" w:hAnsi="David"/>
        </w:rPr>
        <w:t xml:space="preserve">על ההבחנה בין שוויון פורמלי לשוויון מהותי ועל ביקורת הניטרליות התרבותית ראו קימליקה, שם, וכן חוות דעת השופט כשר בפסק הדין (לעיל, ה"ש 3), פס' ___ [להשלים מספר פסקה מהעותק שברשותך].</w:t>
      </w:r>
    </w:p>
  </w:footnote>
  <w:footnote w:id="6">
    <w:p>
      <w:pPr>
        <w:bidi/>
      </w:pPr>
      <w:r>
        <w:rPr>
          <w:rStyle w:val="FootnoteReference"/>
        </w:rPr>
        <w:footnoteRef/>
      </w:r>
      <w:r>
        <w:rPr>
          <w:sz w:val="20"/>
          <w:szCs w:val="20"/>
          <w:rtl/>
          <w:rFonts w:ascii="David" w:cs="David" w:eastAsia="David" w:hAnsi="David"/>
        </w:rPr>
        <w:t xml:space="preserve">חוות דעת השופט י' כשר (לעיל, ה"ש 3), פס' ___ [להשלים].</w:t>
      </w:r>
    </w:p>
  </w:footnote>
  <w:footnote w:id="7">
    <w:p>
      <w:pPr>
        <w:bidi/>
      </w:pPr>
      <w:r>
        <w:rPr>
          <w:rStyle w:val="FootnoteReference"/>
        </w:rPr>
        <w:footnoteRef/>
      </w:r>
      <w:r>
        <w:rPr>
          <w:sz w:val="20"/>
          <w:szCs w:val="20"/>
          <w:rtl/>
          <w:rFonts w:ascii="David" w:cs="David" w:eastAsia="David" w:hAnsi="David"/>
        </w:rPr>
        <w:t xml:space="preserve">שם, פס' ___ [להשלים].</w:t>
      </w:r>
    </w:p>
  </w:footnote>
  <w:footnote w:id="8">
    <w:p>
      <w:pPr>
        <w:bidi/>
      </w:pPr>
      <w:r>
        <w:rPr>
          <w:rStyle w:val="FootnoteReference"/>
        </w:rPr>
        <w:footnoteRef/>
      </w:r>
      <w:r>
        <w:rPr>
          <w:sz w:val="20"/>
          <w:szCs w:val="20"/>
          <w:rtl/>
          <w:rFonts w:ascii="David" w:cs="David" w:eastAsia="David" w:hAnsi="David"/>
        </w:rPr>
        <w:t xml:space="preserve">שם, פס' ___ [להשלים].</w:t>
      </w:r>
    </w:p>
  </w:footnote>
  <w:footnote w:id="9">
    <w:p>
      <w:pPr>
        <w:bidi/>
      </w:pPr>
      <w:r>
        <w:rPr>
          <w:rStyle w:val="FootnoteReference"/>
        </w:rPr>
        <w:footnoteRef/>
      </w:r>
      <w:r>
        <w:rPr>
          <w:sz w:val="20"/>
          <w:szCs w:val="20"/>
          <w:rtl/>
          <w:rFonts w:ascii="David" w:cs="David" w:eastAsia="David" w:hAnsi="David"/>
        </w:rPr>
        <w:t xml:space="preserve">חוות דעת השופט ד' מינץ (לעיל, ה"ש 3), פס' ___ [להשלים].</w:t>
      </w:r>
    </w:p>
  </w:footnote>
  <w:footnote w:id="10">
    <w:p>
      <w:pPr>
        <w:bidi/>
      </w:pPr>
      <w:r>
        <w:rPr>
          <w:rStyle w:val="FootnoteReference"/>
        </w:rPr>
        <w:footnoteRef/>
      </w:r>
      <w:r>
        <w:rPr>
          <w:sz w:val="20"/>
          <w:szCs w:val="20"/>
          <w:rtl/>
          <w:rFonts w:ascii="David" w:cs="David" w:eastAsia="David" w:hAnsi="David"/>
        </w:rPr>
        <w:t xml:space="preserve">איזופוס, "השועל והחסידה" (משל קלאסי, נחלת הכלל).</w:t>
      </w:r>
    </w:p>
  </w:footnote>
  <w:footnote w:id="11">
    <w:p>
      <w:pPr>
        <w:bidi/>
      </w:pPr>
      <w:r>
        <w:rPr>
          <w:rStyle w:val="FootnoteReference"/>
        </w:rPr>
        <w:footnoteRef/>
      </w:r>
      <w:r>
        <w:rPr>
          <w:sz w:val="20"/>
          <w:szCs w:val="20"/>
          <w:rtl/>
          <w:rFonts w:ascii="David" w:cs="David" w:eastAsia="David" w:hAnsi="David"/>
        </w:rPr>
        <w:t xml:space="preserve">חוות דעת השופט י' כשר (לעיל, ה"ש 3), בפסקת הסיום ("הערה אחרונה לפני סיום"), פס' ___ [להשלים].</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David" w:cs="David" w:eastAsia="David" w:hAnsi="David"/>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2026-07-31T06:23:44.354Z</dcterms:created>
  <dcterms:modified xsi:type="dcterms:W3CDTF">2026-07-31T06:23:44.355Z</dcterms:modified>
</cp:coreProperties>
</file>

<file path=docProps/custom.xml><?xml version="1.0" encoding="utf-8"?>
<Properties xmlns="http://schemas.openxmlformats.org/officeDocument/2006/custom-properties" xmlns:vt="http://schemas.openxmlformats.org/officeDocument/2006/docPropsVTypes"/>
</file>