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ב' — תועלתנות: ועדת סל שירותי הבריאות</w:t>
      </w:r>
    </w:p>
    <w:p>
      <w:pPr>
        <w:bidi/>
        <w:spacing w:line="360" w:after="120"/>
        <w:jc w:val="both"/>
      </w:pPr>
      <w:r>
        <w:rPr>
          <w:sz w:val="24"/>
          <w:szCs w:val="24"/>
          <w:rtl/>
          <w:rFonts w:ascii="David" w:cs="David" w:eastAsia="David" w:hAnsi="David"/>
        </w:rPr>
        <w:t xml:space="preserve">האם הכרעה המבוססת על מקסום התועלת המצרפית מהווה חלוקה צודקת של משאבי בריאות מוגבלים, או שמא היא מקריבה את הפרט שנותר מחוץ לסל?</w:t>
      </w:r>
    </w:p>
    <w:p>
      <w:pPr>
        <w:bidi/>
        <w:spacing w:line="360" w:after="120"/>
        <w:jc w:val="both"/>
      </w:pPr>
      <w:r>
        <w:rPr>
          <w:sz w:val="24"/>
          <w:szCs w:val="24"/>
          <w:rtl/>
          <w:rFonts w:ascii="David" w:cs="David" w:eastAsia="David" w:hAnsi="David"/>
        </w:rPr>
        <w:t xml:space="preserve">מדי שנה נדרשת ועדת סל שירותי הבריאות להכריע אילו תרופות וטכנולוגיות ייכנסו לסל, במסגרת תוספת תקציב קבועה. חוק ביטוח בריאות ממלכתי מצהיר כי המערכת מושתתת על צדק, שוויון ועזרה הדדית, אך מתיר להרחיב את הסל רק במסגרת התקציב שנקבע.</w:t>
      </w:r>
      <w:r>
        <w:rPr>
          <w:rStyle w:val="FootnoteReference"/>
        </w:rPr>
        <w:footnoteReference w:id="1"/>
      </w:r>
      <w:r>
        <w:rPr>
          <w:sz w:val="24"/>
          <w:szCs w:val="24"/>
          <w:rtl/>
          <w:rFonts w:ascii="David" w:cs="David" w:eastAsia="David" w:hAnsi="David"/>
        </w:rPr>
        <w:t xml:space="preserve"> בשנת 2026 עמדה התוספת על 650 מיליון שקלים בלבד, בעוד שלמעלה מ-600 תרופות וטכנולוגיות התמודדו על הכללה, בעלות מצרפית של כחמישה מיליארד שקלים.</w:t>
      </w:r>
      <w:r>
        <w:rPr>
          <w:rStyle w:val="FootnoteReference"/>
        </w:rPr>
        <w:footnoteReference w:id="2"/>
      </w:r>
      <w:r>
        <w:rPr>
          <w:sz w:val="24"/>
          <w:szCs w:val="24"/>
          <w:rtl/>
          <w:rFonts w:ascii="David" w:cs="David" w:eastAsia="David" w:hAnsi="David"/>
        </w:rPr>
        <w:t xml:space="preserve"> פער זה יוצר משחק של משאבים סופיים, שבו כל תרופה הנכנסת דוחקת אחרת. ההכרעה נשענת אפוא על היגיון תועלתני מובהק.</w:t>
      </w:r>
    </w:p>
    <w:p>
      <w:pPr>
        <w:bidi/>
        <w:spacing w:line="360" w:after="120"/>
        <w:jc w:val="both"/>
      </w:pPr>
      <w:r>
        <w:rPr>
          <w:sz w:val="24"/>
          <w:szCs w:val="24"/>
          <w:rtl/>
          <w:rFonts w:ascii="David" w:cs="David" w:eastAsia="David" w:hAnsi="David"/>
        </w:rPr>
        <w:t xml:space="preserve">התועלתנות, בעקבות ג'רמי בנת'ם וג'ון סטיוארט מיל, מודדת את ערך המעשה לפי תרומתו לתועלת הכללית ולהשאת הטוב הגדול ביותר למספר הגדול ביותר.</w:t>
      </w:r>
      <w:r>
        <w:rPr>
          <w:rStyle w:val="FootnoteReference"/>
        </w:rPr>
        <w:footnoteReference w:id="3"/>
      </w:r>
      <w:r>
        <w:rPr>
          <w:sz w:val="24"/>
          <w:szCs w:val="24"/>
          <w:rtl/>
          <w:rFonts w:ascii="David" w:cs="David" w:eastAsia="David" w:hAnsi="David"/>
        </w:rPr>
        <w:t xml:space="preserve"> ועדת הסל מיישמת היגיון זה כמעט במדויק, שכן היא מעניקה עדיפות לטיפולים מצילי חיים ולטיפולים שמספר הנהנים מהם רב. כך, בשנת 2026 הופנה עיקר התקציב לתחום האונקולוגיה, שבו התועלת נמדדת בהצלת חיים ובמספר חולים גדול.</w:t>
      </w:r>
      <w:r>
        <w:rPr>
          <w:rStyle w:val="FootnoteReference"/>
        </w:rPr>
        <w:footnoteReference w:id="4"/>
      </w:r>
      <w:r>
        <w:rPr>
          <w:sz w:val="24"/>
          <w:szCs w:val="24"/>
          <w:rtl/>
          <w:rFonts w:ascii="David" w:cs="David" w:eastAsia="David" w:hAnsi="David"/>
        </w:rPr>
        <w:t xml:space="preserve"> התועלות הנשקלות הן מצרפיות, ואילו העלות נופלת דווקא על תת-קבוצה מזוהה של חולים שנותרה מחוץ לסל.</w:t>
      </w:r>
    </w:p>
    <w:p>
      <w:pPr>
        <w:bidi/>
        <w:spacing w:line="360" w:after="120"/>
        <w:jc w:val="both"/>
      </w:pPr>
      <w:r>
        <w:rPr>
          <w:sz w:val="24"/>
          <w:szCs w:val="24"/>
          <w:rtl/>
          <w:rFonts w:ascii="David" w:cs="David" w:eastAsia="David" w:hAnsi="David"/>
        </w:rPr>
        <w:t xml:space="preserve">דוגמה מובהקת לכך היא ההכרעה בעניין תרופות ההרזיה ממשפחת ה-GLP-1, כגון "ויגובי" ו"מונג'רו". הוועדה בחרה שלא לכלול תרופות אלו עבור כלל האוכלוסייה הבוגרת, והתירה אותן לבני נוער בלבד.</w:t>
      </w:r>
      <w:r>
        <w:rPr>
          <w:rStyle w:val="FootnoteReference"/>
        </w:rPr>
        <w:footnoteReference w:id="5"/>
      </w:r>
      <w:r>
        <w:rPr>
          <w:sz w:val="24"/>
          <w:szCs w:val="24"/>
          <w:rtl/>
          <w:rFonts w:ascii="David" w:cs="David" w:eastAsia="David" w:hAnsi="David"/>
        </w:rPr>
        <w:t xml:space="preserve"> הנימוק המרכזי היה היקף האוכלוסייה העצום שעשוי לתבוע את התרופה, שאותו לא ניתן לממן בתקציב הקיים. במילים אחרות, דווקא ריבוי הנהנים הפוטנציאליים הוא שהוציא את התרופה מן הסל, שכן עלותה המצרפית הייתה מכריעה את התקציב כולו. זהו ביטוי מזוקק של החישוב התועלתני, המעדיף פיזור יעיל של התועלת על פני מתן מענה לכל דורש.</w:t>
      </w:r>
    </w:p>
    <w:p>
      <w:pPr>
        <w:bidi/>
        <w:spacing w:line="360" w:after="120"/>
        <w:jc w:val="both"/>
      </w:pPr>
      <w:r>
        <w:rPr>
          <w:sz w:val="24"/>
          <w:szCs w:val="24"/>
          <w:rtl/>
          <w:rFonts w:ascii="David" w:cs="David" w:eastAsia="David" w:hAnsi="David"/>
        </w:rPr>
        <w:t xml:space="preserve">אולם היגיון זה טומן בחובו קושי מוסרי עמוק. הביקורת המוכרת על התועלתנות היא שהמצרף הכללי עלול להצדיק את הקרבת הפרט, בניגוד לתפיסת זכויות האדם. בסל הבריאות מתגלה קושי זה במלוא חריפותו, שכן חולים במחלות נדירות מפסידים כמעט תמיד בחישוב העלות לחולה. כך, בשנת 2026 לא נכללה תרופה לטיפול בחולי ALS, מחלה קטלנית ונדירה, והדבר הותיר מאחור קבוצה קטנה של חולים חסרי חלופה.</w:t>
      </w:r>
      <w:r>
        <w:rPr>
          <w:rStyle w:val="FootnoteReference"/>
        </w:rPr>
        <w:footnoteReference w:id="6"/>
      </w:r>
      <w:r>
        <w:rPr>
          <w:sz w:val="24"/>
          <w:szCs w:val="24"/>
          <w:rtl/>
          <w:rFonts w:ascii="David" w:cs="David" w:eastAsia="David" w:hAnsi="David"/>
        </w:rPr>
        <w:t xml:space="preserve"> ג'ון רולס עמד על שורש הבעיה, בטענו כי התועלתנות אינה מתייחסת ברצינות להבחנה שבין בני אדם. היא רואה בחברה כולה אדם אחד המבקש למקסם את רווחתו, ולכן סבלו של חולה בודד מתקזז כנגד תועלתם של רבים.</w:t>
      </w:r>
      <w:r>
        <w:rPr>
          <w:rStyle w:val="FootnoteReference"/>
        </w:rPr>
        <w:footnoteReference w:id="7"/>
      </w:r>
    </w:p>
    <w:p>
      <w:pPr>
        <w:bidi/>
        <w:spacing w:line="360" w:after="120"/>
        <w:jc w:val="both"/>
      </w:pPr>
      <w:r>
        <w:rPr>
          <w:sz w:val="24"/>
          <w:szCs w:val="24"/>
          <w:rtl/>
          <w:rFonts w:ascii="David" w:cs="David" w:eastAsia="David" w:hAnsi="David"/>
        </w:rPr>
        <w:t xml:space="preserve">גם המשפט הישראלי נרתע מלהתערב בחישוב זה. בבג"ץ לוזון נדחתה עתירה של חולי סרטן שתרופותיהם לא נכללו בסל, ונקבע כי אין זכות חוקתית למימון תרופה פרטנית, זולת נסיבות חריגות.</w:t>
      </w:r>
      <w:r>
        <w:rPr>
          <w:rStyle w:val="FootnoteReference"/>
        </w:rPr>
        <w:footnoteReference w:id="8"/>
      </w:r>
      <w:r>
        <w:rPr>
          <w:sz w:val="24"/>
          <w:szCs w:val="24"/>
          <w:rtl/>
          <w:rFonts w:ascii="David" w:cs="David" w:eastAsia="David" w:hAnsi="David"/>
        </w:rPr>
        <w:t xml:space="preserve"> בכך הותיר בית המשפט את ההכרעה התועלתנית בידי הוועדה, וחיזק את מעמדו של השיקול התקציבי-מקצועי על פני זכותו של החולה הבודד.</w:t>
      </w:r>
    </w:p>
    <w:p>
      <w:pPr>
        <w:bidi/>
        <w:spacing w:line="360" w:after="120"/>
        <w:jc w:val="both"/>
      </w:pPr>
      <w:r>
        <w:rPr>
          <w:sz w:val="24"/>
          <w:szCs w:val="24"/>
          <w:rtl/>
          <w:rFonts w:ascii="David" w:cs="David" w:eastAsia="David" w:hAnsi="David"/>
        </w:rPr>
        <w:t xml:space="preserve">לטעמי, אי אפשר להימלט מן ההיגיון התועלתני בסוגיה זו, שכן תחת תקציב סופי גם ההימנעות מהכרעה היא הכרעה. ועדה שקופה, הממקסמת שנות חיים איכותיות, מצילה בפועל יותר בני אדם, ובמובן זה התועלתנות היא אחריות ולא ציניות. ובכל זאת, אני סבורה כי אין להניח למצרף לדרוס את הפרט כליל. ערך חיי אדם אינו ניתן להמרה מלאה למטבע כלכלי, והותרת חולה נדיר מחוץ לסל פוגעת בכבוד האדם ובעקרון השוויון שהחוק עצמו מצהיר עליו. עמדתי היא אפוא של תועלתנות מרוסנת, המאמצת כלים תועלתניים שקופים אך מגדרת אותם ברצפת זכויות, כגון מנגנון חריגים למחלות נדירות.</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pPr>
      <w:r>
        <w:rPr>
          <w:rStyle w:val="FootnoteReference"/>
        </w:rPr>
        <w:footnoteRef/>
      </w:r>
      <w:r>
        <w:rPr>
          <w:sz w:val="20"/>
          <w:szCs w:val="20"/>
          <w:rtl/>
          <w:rFonts w:ascii="David" w:cs="David" w:eastAsia="David" w:hAnsi="David"/>
        </w:rPr>
        <w:t xml:space="preserve">חוק ביטוח בריאות ממלכתי, התשנ"ד-1994, ס' 1 (עקרונות של צדק, שוויון ועזרה הדדית) וס' 8 (עדכון הסל במסגרת תקציב קבוע).</w:t>
      </w:r>
    </w:p>
  </w:footnote>
  <w:footnote w:id="2">
    <w:p>
      <w:pPr>
        <w:bidi/>
      </w:pPr>
      <w:r>
        <w:rPr>
          <w:rStyle w:val="FootnoteReference"/>
        </w:rPr>
        <w:footnoteRef/>
      </w:r>
      <w:r>
        <w:rPr>
          <w:sz w:val="20"/>
          <w:szCs w:val="20"/>
          <w:rtl/>
          <w:rFonts w:ascii="David" w:cs="David" w:eastAsia="David" w:hAnsi="David"/>
        </w:rPr>
        <w:t xml:space="preserve">סל הבריאות 2026 כלל 107 תרופות וטכנולוגיות חדשות עבור כ-86,450 מטופלים, בתוספת תקציב של 650 מיליון ש"ח; למעלה מ-600 תרופות התמודדו על הכללה בעלות מצרפית של כ-5 מיליארד ש"ח. ראו: mako, "סל הבריאות 2026" — https://www.mako.co.il/health-news/Article-98d4f447a767c91026.htm; גלובס — https://www.globes.co.il/news/article.aspx?did=1001535656.</w:t>
      </w:r>
    </w:p>
  </w:footnote>
  <w:footnote w:id="3">
    <w:p>
      <w:pPr>
        <w:bidi/>
      </w:pPr>
      <w:r>
        <w:rPr>
          <w:rStyle w:val="FootnoteReference"/>
        </w:rPr>
        <w:footnoteRef/>
      </w:r>
      <w:r>
        <w:rPr>
          <w:sz w:val="20"/>
          <w:szCs w:val="20"/>
          <w:rtl/>
          <w:rFonts w:ascii="David" w:cs="David" w:eastAsia="David" w:hAnsi="David"/>
        </w:rPr>
        <w:t xml:space="preserve">John Stuart Mill, Utilitarianism (1863); Jeremy Bentham, An Introduction to the Principles of Morals and Legislation (1789).</w:t>
      </w:r>
    </w:p>
  </w:footnote>
  <w:footnote w:id="4">
    <w:p>
      <w:pPr>
        <w:bidi/>
      </w:pPr>
      <w:r>
        <w:rPr>
          <w:rStyle w:val="FootnoteReference"/>
        </w:rPr>
        <w:footnoteRef/>
      </w:r>
      <w:r>
        <w:rPr>
          <w:sz w:val="20"/>
          <w:szCs w:val="20"/>
          <w:rtl/>
          <w:rFonts w:ascii="David" w:cs="David" w:eastAsia="David" w:hAnsi="David"/>
        </w:rPr>
        <w:t xml:space="preserve">על מיקוד ההרחבה ב-2026 באונקולוגיה ראו mako (לעיל, ה"ש 2).</w:t>
      </w:r>
    </w:p>
  </w:footnote>
  <w:footnote w:id="5">
    <w:p>
      <w:pPr>
        <w:bidi/>
      </w:pPr>
      <w:r>
        <w:rPr>
          <w:rStyle w:val="FootnoteReference"/>
        </w:rPr>
        <w:footnoteRef/>
      </w:r>
      <w:r>
        <w:rPr>
          <w:sz w:val="20"/>
          <w:szCs w:val="20"/>
          <w:rtl/>
          <w:rFonts w:ascii="David" w:cs="David" w:eastAsia="David" w:hAnsi="David"/>
        </w:rPr>
        <w:t xml:space="preserve">על אי-הכללת תרופות ה-GLP-1 (ויגובי, מונג'רו) לאוכלוסייה הבוגרת, והנימוק של היקף אוכלוסייה מול תקציב, ראו גלובס (לעיל, ה"ש 2).</w:t>
      </w:r>
    </w:p>
  </w:footnote>
  <w:footnote w:id="6">
    <w:p>
      <w:pPr>
        <w:bidi/>
      </w:pPr>
      <w:r>
        <w:rPr>
          <w:rStyle w:val="FootnoteReference"/>
        </w:rPr>
        <w:footnoteRef/>
      </w:r>
      <w:r>
        <w:rPr>
          <w:sz w:val="20"/>
          <w:szCs w:val="20"/>
          <w:rtl/>
          <w:rFonts w:ascii="David" w:cs="David" w:eastAsia="David" w:hAnsi="David"/>
        </w:rPr>
        <w:t xml:space="preserve">על אי-הכללת תרופה לטיפול ב-ALS בסל 2026 ראו mako (לעיל, ה"ש 2).</w:t>
      </w:r>
    </w:p>
  </w:footnote>
  <w:footnote w:id="7">
    <w:p>
      <w:pPr>
        <w:bidi/>
      </w:pPr>
      <w:r>
        <w:rPr>
          <w:rStyle w:val="FootnoteReference"/>
        </w:rPr>
        <w:footnoteRef/>
      </w:r>
      <w:r>
        <w:rPr>
          <w:sz w:val="20"/>
          <w:szCs w:val="20"/>
          <w:rtl/>
          <w:rFonts w:ascii="David" w:cs="David" w:eastAsia="David" w:hAnsi="David"/>
        </w:rPr>
        <w:t xml:space="preserve">John Rawls, A Theory of Justice (Harvard University Press, 1971) — הטענה כי התועלתנות "אינה מתייחסת ברצינות להבחנה שבין בני אדם".</w:t>
      </w:r>
    </w:p>
  </w:footnote>
  <w:footnote w:id="8">
    <w:p>
      <w:pPr>
        <w:bidi/>
      </w:pPr>
      <w:r>
        <w:rPr>
          <w:rStyle w:val="FootnoteReference"/>
        </w:rPr>
        <w:footnoteRef/>
      </w:r>
      <w:r>
        <w:rPr>
          <w:sz w:val="20"/>
          <w:szCs w:val="20"/>
          <w:rtl/>
          <w:rFonts w:ascii="David" w:cs="David" w:eastAsia="David" w:hAnsi="David"/>
        </w:rPr>
        <w:t xml:space="preserve">בג"ץ 3071/05 לוזון נ' ממשלת ישראל (פורסם באתר הרשות השופטת), שבו נדחו עתירות חולי סרטן להכללת תרופות בסל, ונקבע כי אין זכות חוקתית למימון תרופה פרטנית זולת נסיבות חריגות.</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2026-08-03T21:34:33.275Z</dcterms:created>
  <dcterms:modified xsi:type="dcterms:W3CDTF">2026-08-03T21:34:33.277Z</dcterms:modified>
</cp:coreProperties>
</file>

<file path=docProps/custom.xml><?xml version="1.0" encoding="utf-8"?>
<Properties xmlns="http://schemas.openxmlformats.org/officeDocument/2006/custom-properties" xmlns:vt="http://schemas.openxmlformats.org/officeDocument/2006/docPropsVTypes"/>
</file>