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ב' — תועלתנות: ועדת סל שירותי הבריאות</w:t>
      </w:r>
    </w:p>
    <w:p>
      <w:pPr>
        <w:bidi/>
        <w:spacing w:line="360" w:after="120"/>
        <w:jc w:val="both"/>
      </w:pPr>
      <w:r>
        <w:rPr>
          <w:sz w:val="24"/>
          <w:szCs w:val="24"/>
          <w:rtl/>
          <w:rFonts w:ascii="David" w:cs="David" w:eastAsia="David" w:hAnsi="David"/>
        </w:rPr>
        <w:t xml:space="preserve">מדי שנה נדרשת ועדה ציבורית להכריע אילו תרופות וטכנולוגיות ייכנסו לסל הבריאות. ההכרעה מתקבלת תחת תוספת תקציב מוגבלת, הנקבעת מראש בידי הממשלה. חוק ביטוח בריאות ממלכתי מצהיר כי המערכת מושתתת על צדק, שוויון ועזרה הדדית.</w:t>
      </w:r>
      <w:r>
        <w:rPr>
          <w:rStyle w:val="FootnoteReference"/>
        </w:rPr>
        <w:footnoteReference w:id="1"/>
      </w:r>
      <w:r>
        <w:rPr>
          <w:sz w:val="24"/>
          <w:szCs w:val="24"/>
          <w:rtl/>
          <w:rFonts w:ascii="David" w:cs="David" w:eastAsia="David" w:hAnsi="David"/>
        </w:rPr>
        <w:t xml:space="preserve"> ואולם אותו חוק מתיר להרחיב את הסל בעיקר כנגד גריעה, בלי להגדיל את העלות הכוללת.</w:t>
      </w:r>
      <w:r>
        <w:rPr>
          <w:rStyle w:val="FootnoteReference"/>
        </w:rPr>
        <w:footnoteReference w:id="2"/>
      </w:r>
      <w:r>
        <w:rPr>
          <w:sz w:val="24"/>
          <w:szCs w:val="24"/>
          <w:rtl/>
          <w:rFonts w:ascii="David" w:cs="David" w:eastAsia="David" w:hAnsi="David"/>
        </w:rPr>
        <w:t xml:space="preserve"> מבנה זה יוצר משחק של משאבים סופיים, שבו כל תרופה הנכנסת דוחקת את חברתה. ההכרעה נשענת אפוא על שיקול תועלתני מובהק.</w:t>
      </w:r>
    </w:p>
    <w:p>
      <w:pPr>
        <w:bidi/>
        <w:spacing w:line="360" w:after="120"/>
        <w:jc w:val="both"/>
      </w:pPr>
      <w:r>
        <w:rPr>
          <w:sz w:val="24"/>
          <w:szCs w:val="24"/>
          <w:rtl/>
          <w:rFonts w:ascii="David" w:cs="David" w:eastAsia="David" w:hAnsi="David"/>
        </w:rPr>
        <w:t xml:space="preserve">התועלתנות, בעקבות ג'רמי בנת'ם וג'ון סטיוארט מיל, מודדת את ערך המעשה לפי תרומתו לתועלת הכללית.</w:t>
      </w:r>
      <w:r>
        <w:rPr>
          <w:rStyle w:val="FootnoteReference"/>
        </w:rPr>
        <w:footnoteReference w:id="3"/>
      </w:r>
      <w:r>
        <w:rPr>
          <w:sz w:val="24"/>
          <w:szCs w:val="24"/>
          <w:rtl/>
          <w:rFonts w:ascii="David" w:cs="David" w:eastAsia="David" w:hAnsi="David"/>
        </w:rPr>
        <w:t xml:space="preserve"> העיקרון המנחה הוא השאת הטוב הגדול ביותר למספר הגדול ביותר. ועדת הסל מיישמת היגיון זה כמעט במדויק. היא מעניקה עדיפות לטיפולים מצילי חיים, וכן לטיפולים שמספר הנהנים מהם רב יותר. התועלות הנשקלות הן מצרפיות, ונמדדות במכפלה של מספר הנהנים בעוצמת השיפור הרפואי. העלות היא מחיר הטיפול כפול מספר המטופלים, אל מול תקציב סגור. חשוב להבחין של מי התועלת ושל מי העלות. התועלת מיוחסת לכלל מופשט וסטטיסטי, ואילו העלות נופלת על תת־קבוצה מזוהה של חולים שנותרו בחוץ.</w:t>
      </w:r>
    </w:p>
    <w:p>
      <w:pPr>
        <w:bidi/>
        <w:spacing w:line="360" w:after="120"/>
        <w:jc w:val="both"/>
      </w:pPr>
      <w:r>
        <w:rPr>
          <w:sz w:val="24"/>
          <w:szCs w:val="24"/>
          <w:rtl/>
          <w:rFonts w:ascii="David" w:cs="David" w:eastAsia="David" w:hAnsi="David"/>
        </w:rPr>
        <w:t xml:space="preserve">כאן מתגלה הקושי המובהק ביותר של החשיבה התועלתנית. המצרף הכללי עלול להצדיק הקרבה של הפרט, בניגוד לתפיסת זכויות האדם. בסוגיית הסל מחריף הקושי, שכן חולי מחלות נדירות מפסידים כמעט תמיד בחישוב העלות לחולה. פרופ' יורם בלשר תיאר את הדילמה כשאלה אם לתת מעט לרבים או הרבה למעטים.</w:t>
      </w:r>
      <w:r>
        <w:rPr>
          <w:rStyle w:val="FootnoteReference"/>
        </w:rPr>
        <w:footnoteReference w:id="4"/>
      </w:r>
      <w:r>
        <w:rPr>
          <w:sz w:val="24"/>
          <w:szCs w:val="24"/>
          <w:rtl/>
          <w:rFonts w:ascii="David" w:cs="David" w:eastAsia="David" w:hAnsi="David"/>
        </w:rPr>
        <w:t xml:space="preserve"> הוא הצביע על טיפול פורץ דרך למחלת לב קטלנית, שעלותו הגבוהה מנעה את הכללתו בסל. ד"ר שירה בן אור הראתה כיצד טיפול למחלה נדירה אושר רק לחולים עם יותר משלושה התקפים בחודש. חולים הזקוקים לו לא פחות, אך סובלים מהתקף בודד, נותרו מחוץ לגדר.</w:t>
      </w:r>
      <w:r>
        <w:rPr>
          <w:rStyle w:val="FootnoteReference"/>
        </w:rPr>
        <w:footnoteReference w:id="5"/>
      </w:r>
      <w:r>
        <w:rPr>
          <w:sz w:val="24"/>
          <w:szCs w:val="24"/>
          <w:rtl/>
          <w:rFonts w:ascii="David" w:cs="David" w:eastAsia="David" w:hAnsi="David"/>
        </w:rPr>
        <w:t xml:space="preserve"> זהו קו החתך התועלתני בפעולה, המקריב תת־קבוצה של חולים ממשיים לטובת המצרף.</w:t>
      </w:r>
    </w:p>
    <w:p>
      <w:pPr>
        <w:bidi/>
        <w:spacing w:line="360" w:after="120"/>
        <w:jc w:val="both"/>
      </w:pPr>
      <w:r>
        <w:rPr>
          <w:sz w:val="24"/>
          <w:szCs w:val="24"/>
          <w:rtl/>
          <w:rFonts w:ascii="David" w:cs="David" w:eastAsia="David" w:hAnsi="David"/>
        </w:rPr>
        <w:t xml:space="preserve">ביקורתו של ג'ון רולס מיטיבה לחשוף את שורש הבעיה. לטענתו, התועלתנות אינה מתייחסת ברצינות להבחנה שבין בני אדם. היא מתבוננת בחברה כולה כאילו הייתה אדם אחד גדול, המבקש למקסם את רווחתו הכוללת.</w:t>
      </w:r>
      <w:r>
        <w:rPr>
          <w:rStyle w:val="FootnoteReference"/>
        </w:rPr>
        <w:footnoteReference w:id="6"/>
      </w:r>
      <w:r>
        <w:rPr>
          <w:sz w:val="24"/>
          <w:szCs w:val="24"/>
          <w:rtl/>
          <w:rFonts w:ascii="David" w:cs="David" w:eastAsia="David" w:hAnsi="David"/>
        </w:rPr>
        <w:t xml:space="preserve"> בסל הבריאות הופך היגיון זה למדיניות מפורשת, שכן סבלו של חולה בודד מתקזז חשבונית כנגד תועלתם של רבים אחרים. קושי נוסף הוא ההשוואה הבין־אישית של תועלת, משום שקשה למדוד שנת חיים של חולה אחד מול חברו. בלשר מבקר דווקא את היעדרם של "ערכי סף" מפורשים, כלומר של קביעה גלויה כמה המערכת מוכנה לשלם עבור שנת חיים איכותית. עצם ההסתייגות מכימות גלוי שכזה חושפת כמה אנו נרתעים מלתת לחיי אדם מחיר מפורש.</w:t>
      </w:r>
    </w:p>
    <w:p>
      <w:pPr>
        <w:bidi/>
        <w:spacing w:line="360" w:after="120"/>
        <w:jc w:val="both"/>
      </w:pPr>
      <w:r>
        <w:rPr>
          <w:sz w:val="24"/>
          <w:szCs w:val="24"/>
          <w:rtl/>
          <w:rFonts w:ascii="David" w:cs="David" w:eastAsia="David" w:hAnsi="David"/>
        </w:rPr>
        <w:t xml:space="preserve">לדעתי, אי אפשר להימלט מן ההיגיון התועלתני בסוגיה זו. תחת משאבים סופיים, גם ההימנעות מהכרעה היא הכרעה, ולרוב אף גרועה יותר. ועדה שקופה, הממקסמת שנות חיים איכותיות, מצילה בפועל יותר בני אדם, ובמובן זה התועלתנות היא אחריות ולא ציניות. ובכל זאת, אין להניח למצרף לדרוס את הפרט כליל. ערך חיי אדם אינו ניתן להמרה מלאה למטבע כלכלי, והותרת חולה נדיר בחוץ פוגעת בכבוד האדם ובעקרון השוויון שהחוק עצמו מצהיר עליו. עמדתי היא אפוא של תועלתנות מרוסנת, המאמצת כלים תועלתניים שקופים אך מגדרת אותם ברצפת זכויות. דוגמה לכך היא מנגנון חריגים למחלות יתומות, המונע מן החשבון המצרפי למחוק את הפרט. מעניין שדווקא בלשר קרא להגביר את השקיפות ולקבוע ערכי סף גלויים. בכך הוא לימד שהכרעה מפורשת עשויה להיות הוגנת יותר מהכרעה סמויה, המתחבאת מאחורי מספרים.</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חוק ביטוח בריאות ממלכתי, התשנ"ד-1994, ס' 1 (עקרונות של צדק, שוויון ועזרה הדדית).</w:t>
      </w:r>
    </w:p>
  </w:footnote>
  <w:footnote w:id="2">
    <w:p>
      <w:pPr>
        <w:bidi/>
      </w:pPr>
      <w:r>
        <w:rPr>
          <w:rStyle w:val="FootnoteReference"/>
        </w:rPr>
        <w:footnoteRef/>
      </w:r>
      <w:r>
        <w:rPr>
          <w:sz w:val="20"/>
          <w:szCs w:val="20"/>
          <w:rtl/>
          <w:rFonts w:ascii="David" w:cs="David" w:eastAsia="David" w:hAnsi="David"/>
        </w:rPr>
        <w:t xml:space="preserve">שם, ס' 8 (עדכון סל השירותים במסגרת תקציב קבוע, לרבות הוספה כנגד גריעה); וראו ס' 6 (הגדרת סל השירותים).</w:t>
      </w:r>
    </w:p>
  </w:footnote>
  <w:footnote w:id="3">
    <w:p>
      <w:pPr>
        <w:bidi/>
      </w:pPr>
      <w:r>
        <w:rPr>
          <w:rStyle w:val="FootnoteReference"/>
        </w:rPr>
        <w:footnoteRef/>
      </w:r>
      <w:r>
        <w:rPr>
          <w:sz w:val="20"/>
          <w:szCs w:val="20"/>
          <w:rtl/>
          <w:rFonts w:ascii="David" w:cs="David" w:eastAsia="David" w:hAnsi="David"/>
        </w:rPr>
        <w:t xml:space="preserve">John Stuart Mill, Utilitarianism (1863); Jeremy Bentham, An Introduction to the Principles of Morals and Legislation (1789).</w:t>
      </w:r>
    </w:p>
  </w:footnote>
  <w:footnote w:id="4">
    <w:p>
      <w:pPr>
        <w:bidi/>
      </w:pPr>
      <w:r>
        <w:rPr>
          <w:rStyle w:val="FootnoteReference"/>
        </w:rPr>
        <w:footnoteRef/>
      </w:r>
      <w:r>
        <w:rPr>
          <w:sz w:val="20"/>
          <w:szCs w:val="20"/>
          <w:rtl/>
          <w:rFonts w:ascii="David" w:cs="David" w:eastAsia="David" w:hAnsi="David"/>
        </w:rPr>
        <w:t xml:space="preserve">יורם בלשר, "מי לחיים ומי למוות? הדילמה המוסרית של חברי ועדת סל התרופות", גלובס, 3.2.2021: https://www.globes.co.il/news/article.aspx?did=1001359359. הכתבה היא גם המקור לדוגמת הטיפול היקר שנדחה ולקריאה לקבוע "ערכי סף".</w:t>
      </w:r>
    </w:p>
  </w:footnote>
  <w:footnote w:id="5">
    <w:p>
      <w:pPr>
        <w:bidi/>
      </w:pPr>
      <w:r>
        <w:rPr>
          <w:rStyle w:val="FootnoteReference"/>
        </w:rPr>
        <w:footnoteRef/>
      </w:r>
      <w:r>
        <w:rPr>
          <w:sz w:val="20"/>
          <w:szCs w:val="20"/>
          <w:rtl/>
          <w:rFonts w:ascii="David" w:cs="David" w:eastAsia="David" w:hAnsi="David"/>
        </w:rPr>
        <w:t xml:space="preserve">שירה בן אור, "מי יקבל את התרופה ומי לא: הדילמה הבלתי אפשרית של ועדת סל התרופות", ynet: https://www.ynet.co.il/health/article/bjtf11je6k (הכתבה מתייחסת לתקציב 2022; יש לאמת את תאריך הפרסום המדויק בעת ההגשה).</w:t>
      </w:r>
    </w:p>
  </w:footnote>
  <w:footnote w:id="6">
    <w:p>
      <w:pPr>
        <w:bidi/>
      </w:pPr>
      <w:r>
        <w:rPr>
          <w:rStyle w:val="FootnoteReference"/>
        </w:rPr>
        <w:footnoteRef/>
      </w:r>
      <w:r>
        <w:rPr>
          <w:sz w:val="20"/>
          <w:szCs w:val="20"/>
          <w:rtl/>
          <w:rFonts w:ascii="David" w:cs="David" w:eastAsia="David" w:hAnsi="David"/>
        </w:rPr>
        <w:t xml:space="preserve">John Rawls, A Theory of Justice (Harvard University Press, 1971) — הטענה כי התועלתנות אינה מתייחסת ברצינות להבחנה שבין בני אדם.</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2026-07-31T06:23:44.381Z</dcterms:created>
  <dcterms:modified xsi:type="dcterms:W3CDTF">2026-07-31T06:23:44.381Z</dcterms:modified>
</cp:coreProperties>
</file>

<file path=docProps/custom.xml><?xml version="1.0" encoding="utf-8"?>
<Properties xmlns="http://schemas.openxmlformats.org/officeDocument/2006/custom-properties" xmlns:vt="http://schemas.openxmlformats.org/officeDocument/2006/docPropsVTypes"/>
</file>